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D161" w14:textId="2C2DFCD6" w:rsidR="00D41B1E" w:rsidRDefault="00D41B1E" w:rsidP="009575C3">
      <w:pPr>
        <w:pStyle w:val="Heading1"/>
        <w:rPr>
          <w:color w:val="auto"/>
          <w:spacing w:val="-10"/>
          <w:kern w:val="28"/>
          <w:sz w:val="52"/>
          <w:szCs w:val="52"/>
        </w:rPr>
      </w:pPr>
      <w:bookmarkStart w:id="0" w:name="_Toc123304698"/>
      <w:bookmarkStart w:id="1" w:name="_Toc123391056"/>
      <w:bookmarkStart w:id="2" w:name="_Toc124023343"/>
      <w:r w:rsidRPr="00D41B1E">
        <w:rPr>
          <w:color w:val="auto"/>
          <w:spacing w:val="-10"/>
          <w:kern w:val="28"/>
          <w:sz w:val="52"/>
          <w:szCs w:val="52"/>
        </w:rPr>
        <w:t xml:space="preserve">A Practical </w:t>
      </w:r>
      <w:r w:rsidR="001D278C">
        <w:rPr>
          <w:color w:val="auto"/>
          <w:spacing w:val="-10"/>
          <w:kern w:val="28"/>
          <w:sz w:val="52"/>
          <w:szCs w:val="52"/>
        </w:rPr>
        <w:t>Guide</w:t>
      </w:r>
      <w:r w:rsidRPr="00D41B1E">
        <w:rPr>
          <w:color w:val="auto"/>
          <w:spacing w:val="-10"/>
          <w:kern w:val="28"/>
          <w:sz w:val="52"/>
          <w:szCs w:val="52"/>
        </w:rPr>
        <w:t xml:space="preserve"> </w:t>
      </w:r>
      <w:r w:rsidR="001D278C">
        <w:rPr>
          <w:color w:val="auto"/>
          <w:spacing w:val="-10"/>
          <w:kern w:val="28"/>
          <w:sz w:val="52"/>
          <w:szCs w:val="52"/>
        </w:rPr>
        <w:t>to</w:t>
      </w:r>
      <w:r w:rsidRPr="00D41B1E">
        <w:rPr>
          <w:color w:val="auto"/>
          <w:spacing w:val="-10"/>
          <w:kern w:val="28"/>
          <w:sz w:val="52"/>
          <w:szCs w:val="52"/>
        </w:rPr>
        <w:t xml:space="preserve"> Machine Learning Pipelines for </w:t>
      </w:r>
      <w:r w:rsidR="00147FC8">
        <w:rPr>
          <w:color w:val="auto"/>
          <w:spacing w:val="-10"/>
          <w:kern w:val="28"/>
          <w:sz w:val="52"/>
          <w:szCs w:val="52"/>
        </w:rPr>
        <w:t xml:space="preserve">Structured </w:t>
      </w:r>
      <w:r w:rsidRPr="00D41B1E">
        <w:rPr>
          <w:color w:val="auto"/>
          <w:spacing w:val="-10"/>
          <w:kern w:val="28"/>
          <w:sz w:val="52"/>
          <w:szCs w:val="52"/>
        </w:rPr>
        <w:t>Health Data</w:t>
      </w:r>
    </w:p>
    <w:p w14:paraId="1B1C0F82" w14:textId="11B3838F" w:rsidR="009575C3" w:rsidRDefault="009575C3" w:rsidP="009575C3">
      <w:pPr>
        <w:pStyle w:val="Heading1"/>
      </w:pPr>
      <w:r>
        <w:t>1. Introduction</w:t>
      </w:r>
      <w:bookmarkEnd w:id="0"/>
      <w:bookmarkEnd w:id="1"/>
      <w:bookmarkEnd w:id="2"/>
    </w:p>
    <w:p w14:paraId="3FE08ABD" w14:textId="26A80BDB" w:rsidR="007316D6" w:rsidRPr="008257EA" w:rsidRDefault="007316D6" w:rsidP="007316D6">
      <w:pPr>
        <w:rPr>
          <w:rFonts w:cstheme="majorBidi"/>
          <w:highlight w:val="magenta"/>
        </w:rPr>
      </w:pPr>
      <w:r w:rsidRPr="008257EA">
        <w:rPr>
          <w:rFonts w:cstheme="majorBidi"/>
        </w:rPr>
        <w:t xml:space="preserve">Advances in computer science and electronics have enabled high throughput collection and processing of a vast amount of data and widespread use in science, business and most aspects of today’s human society. In the same time, due to the widespread quantization of unstructured observations, the concept of data itself has expanded to include many things that were previously thought immeasurable or even useless. </w:t>
      </w:r>
      <w:r w:rsidRPr="008257EA">
        <w:rPr>
          <w:rFonts w:cstheme="majorBidi"/>
          <w:color w:val="000000"/>
        </w:rPr>
        <w:t xml:space="preserve">While many consider data as “the oil of the 21st century”, </w:t>
      </w:r>
      <w:r w:rsidRPr="008257EA">
        <w:rPr>
          <w:rFonts w:cstheme="majorBidi"/>
        </w:rPr>
        <w:t xml:space="preserve">it has no value </w:t>
      </w:r>
      <w:r w:rsidRPr="008257EA">
        <w:rPr>
          <w:rFonts w:cstheme="majorBidi"/>
          <w:i/>
          <w:iCs/>
        </w:rPr>
        <w:t>per se</w:t>
      </w:r>
      <w:r w:rsidRPr="008257EA">
        <w:rPr>
          <w:rFonts w:cstheme="majorBidi"/>
        </w:rPr>
        <w:t xml:space="preserve">, but it is the insight derived from data that aids in prediction and informed decision-making. To reach such insight, raw data must first be converted into information </w:t>
      </w:r>
      <w:r w:rsidRPr="008257EA">
        <w:rPr>
          <w:rFonts w:cstheme="majorBidi"/>
        </w:rPr>
        <w:fldChar w:fldCharType="begin"/>
      </w:r>
      <w:r w:rsidR="007A1315" w:rsidRPr="008257EA">
        <w:rPr>
          <w:rFonts w:cstheme="majorBidi"/>
        </w:rPr>
        <w:instrText xml:space="preserve"> ADDIN ZOTERO_ITEM CSL_CITATION {"citationID":"c2oPfbN4","properties":{"formattedCitation":"\\super 1\\nosupersub{}","plainCitation":"1","noteIndex":0},"citationItems":[{"id":"95wkc4X2/rNC964h4","uris":["http://zotero.org/users/7931734/items/87A3QN4V"],"itemData":{"id":4381,"type":"book","title":"Data, information, knowledge, and wisdom","author":[{"family":"Bellinger","given":"Gene"},{"family":"Castro","given":"Durval"},{"family":"Mills","given":"Anthony"}],"issued":{"date-parts":[["2004"]]}}}],"schema":"https://github.com/citation-style-language/schema/raw/master/csl-citation.json"} </w:instrText>
      </w:r>
      <w:r w:rsidRPr="008257EA">
        <w:rPr>
          <w:rFonts w:cstheme="majorBidi"/>
        </w:rPr>
        <w:fldChar w:fldCharType="separate"/>
      </w:r>
      <w:r w:rsidR="007A1315" w:rsidRPr="008257EA">
        <w:rPr>
          <w:rFonts w:cstheme="majorBidi"/>
          <w:vertAlign w:val="superscript"/>
        </w:rPr>
        <w:t>1</w:t>
      </w:r>
      <w:r w:rsidRPr="008257EA">
        <w:rPr>
          <w:rFonts w:cstheme="majorBidi"/>
        </w:rPr>
        <w:fldChar w:fldCharType="end"/>
      </w:r>
      <w:r w:rsidRPr="008257EA">
        <w:rPr>
          <w:rFonts w:cstheme="majorBidi"/>
        </w:rPr>
        <w:t>, for which exist a myriad of approaches.</w:t>
      </w:r>
    </w:p>
    <w:p w14:paraId="3DCA741D" w14:textId="495A8AE1" w:rsidR="00874840" w:rsidRPr="008257EA" w:rsidRDefault="007A18D6" w:rsidP="00874840">
      <w:pPr>
        <w:jc w:val="both"/>
        <w:rPr>
          <w:rFonts w:eastAsia="Times New Roman" w:cstheme="majorBidi"/>
        </w:rPr>
      </w:pPr>
      <w:r w:rsidRPr="008257EA">
        <w:rPr>
          <w:rFonts w:cstheme="majorBidi"/>
        </w:rPr>
        <w:t xml:space="preserve">Machine learning </w:t>
      </w:r>
      <w:r w:rsidR="00874840" w:rsidRPr="008257EA">
        <w:rPr>
          <w:rFonts w:cstheme="majorBidi"/>
        </w:rPr>
        <w:t xml:space="preserve">(ML) </w:t>
      </w:r>
      <w:r w:rsidRPr="008257EA">
        <w:rPr>
          <w:rFonts w:cstheme="majorBidi"/>
        </w:rPr>
        <w:t>methods are well-suited for this purpose due to their high predictive ability and better outcomes compared to traditional statistical analysis. This is especially important when viewed from a population health perspective.</w:t>
      </w:r>
      <w:r w:rsidR="00874840" w:rsidRPr="008257EA">
        <w:rPr>
          <w:rFonts w:cstheme="majorBidi"/>
        </w:rPr>
        <w:t xml:space="preserve"> While </w:t>
      </w:r>
      <w:r w:rsidR="00874840" w:rsidRPr="008257EA">
        <w:rPr>
          <w:rFonts w:eastAsia="Times New Roman" w:cstheme="majorBidi"/>
        </w:rPr>
        <w:t xml:space="preserve">specialized modalities such as </w:t>
      </w:r>
      <w:r w:rsidR="00874840" w:rsidRPr="008257EA">
        <w:rPr>
          <w:rFonts w:cstheme="majorBidi"/>
        </w:rPr>
        <w:t>functional imaging</w:t>
      </w:r>
      <w:r w:rsidR="00874840" w:rsidRPr="008257EA">
        <w:rPr>
          <w:rFonts w:eastAsia="Times New Roman" w:cstheme="majorBidi"/>
        </w:rPr>
        <w:t xml:space="preserve"> and molecular biomarkers can be highly predictive, they are not feasible to implement at a population level and are mostly limited to research purposes at this time </w:t>
      </w:r>
      <w:r w:rsidR="00874840" w:rsidRPr="008257EA">
        <w:rPr>
          <w:rFonts w:eastAsia="Times New Roman" w:cstheme="majorBidi"/>
        </w:rPr>
        <w:fldChar w:fldCharType="begin"/>
      </w:r>
      <w:r w:rsidR="007A1315" w:rsidRPr="008257EA">
        <w:rPr>
          <w:rFonts w:eastAsia="Times New Roman" w:cstheme="majorBidi"/>
        </w:rPr>
        <w:instrText xml:space="preserve"> ADDIN ZOTERO_ITEM CSL_CITATION {"citationID":"pBbDU7J5","properties":{"formattedCitation":"\\super 2\\uc0\\u8211{}4\\nosupersub{}","plainCitation":"2–4","noteIndex":0},"citationItems":[{"id":389,"uris":["http://zotero.org/users/7931734/items/L7H3ELEU"],"itemData":{"id":389,"type":"article-journal","abstract":"Depression is the leading psychiatric disorder worldwide with a significant economic and emotional strain on society. There is a need for robust biomarkers which will help improve diagnosis and accelerate the drug discovery process. These are objective, peripheral physiological indicators whose presence can be used to predict the probability of onset or presence of depression, stratify according to severity or symptomatology, indicate prognosis and predict or track response to therapeutic interventions. In this review, we will address several issues pertaining to biomarkers in depression which will be grouped under the headings transcriptomic, proteomic, genomic and telomeric biomarkers. We will review some of the main pitfalls and also address ethical, moral and legal issues which relate to biomarker use in the clinic. We anticipate that in conjunction with initiatives such as the NIH Research Domain Criteria (RDoC), biomarkers will have a significant role to play in the psychiatric clinic in the years to come with a view to improving the lives of sufferers worldwide.","container-title":"Neuroscience &amp; Biobehavioral Reviews","DOI":"10/f8k4v7","ISSN":"0149-7634","journalAbbreviation":"Neuroscience &amp; Biobehavioral Reviews","language":"en","page":"101-133","source":"ScienceDirect","title":"Molecular biomarkers of depression","volume":"64","author":[{"family":"Gururajan","given":"Anand"},{"family":"Clarke","given":"Gerard"},{"family":"Dinan","given":"Timothy G."},{"family":"Cryan","given":"John F."}],"issued":{"date-parts":[["2016",5,1]]}}},{"id":376,"uris":["http://zotero.org/users/7931734/items/TNLNNFM5"],"itemData":{"id":376,"type":"article-journal","abstract":"Neuroimaging‐based approaches have been extensively applied to study mental illness in recent years and have deepened our understanding of both cognitively healthy and disordered brain structure and function. Recent advancements in machine learning ...","container-title":"Human Brain Mapping","DOI":"10.1002/hbm.25013","issue":"12","language":"en","note":"publisher: Wiley-Blackwell\nPMID: 32374075","page":"3468","source":"www.ncbi.nlm.nih.gov","title":"Towards a brain‐based predictome of mental illness","volume":"41","author":[{"family":"Rashid","given":"Barnaly"},{"family":"Calhoun","given":"Vince"}],"issued":{"date-parts":[["2020",8,8]]}}},{"id":375,"uris":["http://zotero.org/users/7931734/items/VLNUCY6T"],"itemData":{"id":375,"type":"article-journal","abstract":"Background: Psychiatric disorders have been historically classified using symptom information alone. Recently, there has been a dramatic increase in research interest not only in identifying the mechanisms underlying defined pathologies but also in redefining ...","container-title":"Frontiers in Psychiatry","DOI":"10.3389/fpsyt.2021.665536","language":"en","note":"publisher: Frontiers Media SA\nPMID: 34744805","source":"www.ncbi.nlm.nih.gov","title":"Systematic Review of Functional MRI Applications for Psychiatric Disease Subtyping","URL":"https://www.ncbi.nlm.nih.gov/pmc/articles/PMC8569315/","volume":"12","author":[{"family":"Miranda","given":"Lucas"},{"family":"Paul","given":"Riya"},{"family":"Pütz","given":"Benno"},{"family":"Koutsouleris","given":"Nikolaos"},{"family":"Müller-Myhsok","given":"Bertram"}],"accessed":{"date-parts":[["2022",12,16]]},"issued":{"date-parts":[["2021"]]}}}],"schema":"https://github.com/citation-style-language/schema/raw/master/csl-citation.json"} </w:instrText>
      </w:r>
      <w:r w:rsidR="00874840" w:rsidRPr="008257EA">
        <w:rPr>
          <w:rFonts w:eastAsia="Times New Roman" w:cstheme="majorBidi"/>
        </w:rPr>
        <w:fldChar w:fldCharType="separate"/>
      </w:r>
      <w:r w:rsidR="007A1315" w:rsidRPr="008257EA">
        <w:rPr>
          <w:rFonts w:cstheme="majorBidi"/>
          <w:vertAlign w:val="superscript"/>
        </w:rPr>
        <w:t>2–4</w:t>
      </w:r>
      <w:r w:rsidR="00874840" w:rsidRPr="008257EA">
        <w:rPr>
          <w:rFonts w:eastAsia="Times New Roman" w:cstheme="majorBidi"/>
        </w:rPr>
        <w:fldChar w:fldCharType="end"/>
      </w:r>
      <w:r w:rsidR="00874840" w:rsidRPr="008257EA">
        <w:rPr>
          <w:rFonts w:eastAsia="Times New Roman" w:cstheme="majorBidi"/>
        </w:rPr>
        <w:t xml:space="preserve">. At the same time, ML can leverage data that is feasible and relatively inexpensive to collect at the population level, such as surveys and health records. This approach can be used for screening a large population in a consecutive manner, starting with inexpensive and routine tests, in which individuals proceeding to next levels are candidates for more specialized testing </w:t>
      </w:r>
      <w:r w:rsidR="00874840" w:rsidRPr="008257EA">
        <w:rPr>
          <w:rFonts w:eastAsia="Times New Roman" w:cstheme="majorBidi"/>
        </w:rPr>
        <w:fldChar w:fldCharType="begin"/>
      </w:r>
      <w:r w:rsidR="007A1315" w:rsidRPr="008257EA">
        <w:rPr>
          <w:rFonts w:eastAsia="Times New Roman" w:cstheme="majorBidi"/>
        </w:rPr>
        <w:instrText xml:space="preserve"> ADDIN ZOTERO_ITEM CSL_CITATION {"citationID":"usTCZiHc","properties":{"formattedCitation":"\\super 5,6\\nosupersub{}","plainCitation":"5,6","noteIndex":0},"citationItems":[{"id":241,"uris":["http://zotero.org/users/7931734/items/IBMIJY6H"],"itemData":{"id":241,"type":"article-journal","abstract":"The coronavirus disease 2019 (COVID-19) pandemic and its immediate aftermath present a serious threat to the mental health of health care workers (HCWs), who may develop elevated rates of anxiety, depression, posttraumatic stress disorder, or even suicidal behaviors. Therefore, the aim of this article is to address the problem of prevention of HCWs’ mental health disorders by early prediction of individuals at a higher risk of later chronic mental health disorders due to high distress during the COVID-19 pandemic. The article proposes a methodology for prediction of mental health disorders induced by the pandemic, which includes: Phase 1) objective assessment of the intensity of HCWs’ stressor exposure, based on information retrieved from hospital archives and clinical records; Phase 2) subjective self-report assessment of stress during the COVID-19 pandemic experienced by HCWs and their relevant psychological traits; Phase 3) design and development of appropriate multimodal stimulation paradigms to optimally elicit specific neuro-physiological reactions; Phase 4) objective measurement and computation of relevant neuro-physiological predictor features based on HCWs’ reactions; and Phase 5) statistical and machine learning analysis of highly heterogeneous data sets obtained in previous phases. The proposed methodology aims to expand traditionally used subjective self-report predictors of mental health disorders with more objective metrics, which is aligned with the recent literature related to predictive modeling based on artificial intelligence. This approach is generally applicable to all those exposed to high levels of stress during the COVID-19 pandemic and might assist mental health practitioners to make diagnoses more quickly and accurately.","container-title":"Croatian Medical Journal","DOI":"10.3325/cmj.2020.61.279","ISSN":"0353-9504","issue":"3","journalAbbreviation":"Croat Med J","note":"PMID: 32643346\nPMCID: PMC7358693","page":"279-288","source":"PubMed Central","title":"Artificial intelligence in prediction of mental health disorders induced by the COVID-19 pandemic among health care workers","volume":"61","author":[{"family":"Ćosić","given":"Krešimir"},{"family":"Popović","given":"Siniša"},{"family":"Šarlija","given":"Marko"},{"family":"Kesedžić","given":"Ivan"},{"family":"Jovanovic","given":"Tanja"}],"issued":{"date-parts":[["2020",6]]}}},{"id":307,"uris":["http://zotero.org/users/7931734/items/EIMPGA96"],"itemData":{"id":307,"type":"article-journal","abstract":"The COVID-19 pandemic has adverse consequences on human psychology and behavior long after initial recovery from the virus. These COVID-19 health sequelae, if undetected and left untreated, may lead to more enduring mental health problems, and put vulnerable individuals at risk of developing more serious psychopathologies. Therefore, an early distinction of such vulnerable individuals from those who are more resilient is important to undertake timely preventive interventions. The main aim of this article is to present a comprehensive multimodal conceptual approach for addressing these potential psychological and behavioral mental health changes using state-of-the-art tools and means of artificial intelligence (AI). Mental health COVID-19 recovery programs at post-COVID clinics based on AI prediction and prevention strategies may significantly improve the global mental health of ex-COVID-19 patients. Most COVID-19 recovery programs currently involve specialists such as pulmonologists, cardiologists, and neurologists, but there is a lack of psychiatrist care. The focus of this article is on new tools which can enhance the current limited psychiatrist resources and capabilities in coping with the upcoming challenges related to widespread mental health disorders. Patients affected by COVID-19 are more vulnerable to psychological and behavioral changes than non-COVID populations and therefore they deserve careful clinical psychological screening in post-COVID clinics. However, despite significant advances in research, the pace of progress in prevention of psychiatric disorders in these patients is still insufficient. Current approaches for the diagnosis of psychiatric disorders largely rely on clinical rating scales, as well as self-rating questionnaires that are inadequate for comprehensive assessment of ex-COVID-19 patients’ susceptibility to mental health deterioration. These limitations can presumably be overcome by applying state-of-the-art AI-based tools in diagnosis, prevention, and treatment of psychiatric disorders in acute phase of disease to prevent more chronic psychiatric consequences.","container-title":"Frontiers in Psychology","DOI":"10.3389/fpsyg.2021.782866","ISSN":"1664-1078","source":"Frontiers","title":"AI-Based Prediction and Prevention of Psychological and Behavioral Changes in Ex-COVID-19 Patients","URL":"https://www.frontiersin.org/articles/10.3389/fpsyg.2021.782866","volume":"12","author":[{"family":"Ćosić","given":"Krešimir"},{"family":"Popović","given":"Siniša"},{"family":"Šarlija","given":"Marko"},{"family":"Kesedžić","given":"Ivan"},{"family":"Gambiraža","given":"Mate"},{"family":"Dropuljić","given":"Branimir"},{"family":"Mijić","given":"Igor"},{"family":"Henigsberg","given":"Neven"},{"family":"Jovanovic","given":"Tanja"}],"accessed":{"date-parts":[["2022",11,29]]},"issued":{"date-parts":[["2021"]]}}}],"schema":"https://github.com/citation-style-language/schema/raw/master/csl-citation.json"} </w:instrText>
      </w:r>
      <w:r w:rsidR="00874840" w:rsidRPr="008257EA">
        <w:rPr>
          <w:rFonts w:eastAsia="Times New Roman" w:cstheme="majorBidi"/>
        </w:rPr>
        <w:fldChar w:fldCharType="separate"/>
      </w:r>
      <w:r w:rsidR="007A1315" w:rsidRPr="008257EA">
        <w:rPr>
          <w:rFonts w:cstheme="majorBidi"/>
          <w:vertAlign w:val="superscript"/>
        </w:rPr>
        <w:t>5,6</w:t>
      </w:r>
      <w:r w:rsidR="00874840" w:rsidRPr="008257EA">
        <w:rPr>
          <w:rFonts w:eastAsia="Times New Roman" w:cstheme="majorBidi"/>
        </w:rPr>
        <w:fldChar w:fldCharType="end"/>
      </w:r>
      <w:r w:rsidR="00874840" w:rsidRPr="008257EA">
        <w:rPr>
          <w:rFonts w:eastAsia="Times New Roman" w:cstheme="majorBidi"/>
        </w:rPr>
        <w:t xml:space="preserve">. </w:t>
      </w:r>
      <w:r w:rsidR="0068260E" w:rsidRPr="008257EA">
        <w:rPr>
          <w:rFonts w:cstheme="majorBidi"/>
        </w:rPr>
        <w:t xml:space="preserve">In this manner, I agree with the model provided by Ćosić et al. </w:t>
      </w:r>
      <w:r w:rsidR="0068260E" w:rsidRPr="008257EA">
        <w:rPr>
          <w:rFonts w:cstheme="majorBidi"/>
        </w:rPr>
        <w:fldChar w:fldCharType="begin"/>
      </w:r>
      <w:r w:rsidR="007A1315" w:rsidRPr="008257EA">
        <w:rPr>
          <w:rFonts w:cstheme="majorBidi"/>
        </w:rPr>
        <w:instrText xml:space="preserve"> ADDIN ZOTERO_ITEM CSL_CITATION {"citationID":"hmaYLOqy","properties":{"formattedCitation":"\\super 5,6\\nosupersub{}","plainCitation":"5,6","noteIndex":0},"citationItems":[{"id":241,"uris":["http://zotero.org/users/7931734/items/IBMIJY6H"],"itemData":{"id":241,"type":"article-journal","abstract":"The coronavirus disease 2019 (COVID-19) pandemic and its immediate aftermath present a serious threat to the mental health of health care workers (HCWs), who may develop elevated rates of anxiety, depression, posttraumatic stress disorder, or even suicidal behaviors. Therefore, the aim of this article is to address the problem of prevention of HCWs’ mental health disorders by early prediction of individuals at a higher risk of later chronic mental health disorders due to high distress during the COVID-19 pandemic. The article proposes a methodology for prediction of mental health disorders induced by the pandemic, which includes: Phase 1) objective assessment of the intensity of HCWs’ stressor exposure, based on information retrieved from hospital archives and clinical records; Phase 2) subjective self-report assessment of stress during the COVID-19 pandemic experienced by HCWs and their relevant psychological traits; Phase 3) design and development of appropriate multimodal stimulation paradigms to optimally elicit specific neuro-physiological reactions; Phase 4) objective measurement and computation of relevant neuro-physiological predictor features based on HCWs’ reactions; and Phase 5) statistical and machine learning analysis of highly heterogeneous data sets obtained in previous phases. The proposed methodology aims to expand traditionally used subjective self-report predictors of mental health disorders with more objective metrics, which is aligned with the recent literature related to predictive modeling based on artificial intelligence. This approach is generally applicable to all those exposed to high levels of stress during the COVID-19 pandemic and might assist mental health practitioners to make diagnoses more quickly and accurately.","container-title":"Croatian Medical Journal","DOI":"10.3325/cmj.2020.61.279","ISSN":"0353-9504","issue":"3","journalAbbreviation":"Croat Med J","note":"PMID: 32643346\nPMCID: PMC7358693","page":"279-288","source":"PubMed Central","title":"Artificial intelligence in prediction of mental health disorders induced by the COVID-19 pandemic among health care workers","volume":"61","author":[{"family":"Ćosić","given":"Krešimir"},{"family":"Popović","given":"Siniša"},{"family":"Šarlija","given":"Marko"},{"family":"Kesedžić","given":"Ivan"},{"family":"Jovanovic","given":"Tanja"}],"issued":{"date-parts":[["2020",6]]}}},{"id":307,"uris":["http://zotero.org/users/7931734/items/EIMPGA96"],"itemData":{"id":307,"type":"article-journal","abstract":"The COVID-19 pandemic has adverse consequences on human psychology and behavior long after initial recovery from the virus. These COVID-19 health sequelae, if undetected and left untreated, may lead to more enduring mental health problems, and put vulnerable individuals at risk of developing more serious psychopathologies. Therefore, an early distinction of such vulnerable individuals from those who are more resilient is important to undertake timely preventive interventions. The main aim of this article is to present a comprehensive multimodal conceptual approach for addressing these potential psychological and behavioral mental health changes using state-of-the-art tools and means of artificial intelligence (AI). Mental health COVID-19 recovery programs at post-COVID clinics based on AI prediction and prevention strategies may significantly improve the global mental health of ex-COVID-19 patients. Most COVID-19 recovery programs currently involve specialists such as pulmonologists, cardiologists, and neurologists, but there is a lack of psychiatrist care. The focus of this article is on new tools which can enhance the current limited psychiatrist resources and capabilities in coping with the upcoming challenges related to widespread mental health disorders. Patients affected by COVID-19 are more vulnerable to psychological and behavioral changes than non-COVID populations and therefore they deserve careful clinical psychological screening in post-COVID clinics. However, despite significant advances in research, the pace of progress in prevention of psychiatric disorders in these patients is still insufficient. Current approaches for the diagnosis of psychiatric disorders largely rely on clinical rating scales, as well as self-rating questionnaires that are inadequate for comprehensive assessment of ex-COVID-19 patients’ susceptibility to mental health deterioration. These limitations can presumably be overcome by applying state-of-the-art AI-based tools in diagnosis, prevention, and treatment of psychiatric disorders in acute phase of disease to prevent more chronic psychiatric consequences.","container-title":"Frontiers in Psychology","DOI":"10.3389/fpsyg.2021.782866","ISSN":"1664-1078","source":"Frontiers","title":"AI-Based Prediction and Prevention of Psychological and Behavioral Changes in Ex-COVID-19 Patients","URL":"https://www.frontiersin.org/articles/10.3389/fpsyg.2021.782866","volume":"12","author":[{"family":"Ćosić","given":"Krešimir"},{"family":"Popović","given":"Siniša"},{"family":"Šarlija","given":"Marko"},{"family":"Kesedžić","given":"Ivan"},{"family":"Gambiraža","given":"Mate"},{"family":"Dropuljić","given":"Branimir"},{"family":"Mijić","given":"Igor"},{"family":"Henigsberg","given":"Neven"},{"family":"Jovanovic","given":"Tanja"}],"accessed":{"date-parts":[["2022",11,29]]},"issued":{"date-parts":[["2021"]]}}}],"schema":"https://github.com/citation-style-language/schema/raw/master/csl-citation.json"} </w:instrText>
      </w:r>
      <w:r w:rsidR="0068260E" w:rsidRPr="008257EA">
        <w:rPr>
          <w:rFonts w:cstheme="majorBidi"/>
        </w:rPr>
        <w:fldChar w:fldCharType="separate"/>
      </w:r>
      <w:r w:rsidR="007A1315" w:rsidRPr="008257EA">
        <w:rPr>
          <w:rFonts w:cstheme="majorBidi"/>
          <w:vertAlign w:val="superscript"/>
        </w:rPr>
        <w:t>5,6</w:t>
      </w:r>
      <w:r w:rsidR="0068260E" w:rsidRPr="008257EA">
        <w:rPr>
          <w:rFonts w:cstheme="majorBidi"/>
        </w:rPr>
        <w:fldChar w:fldCharType="end"/>
      </w:r>
      <w:r w:rsidR="0068260E" w:rsidRPr="008257EA">
        <w:rPr>
          <w:rFonts w:cstheme="majorBidi"/>
        </w:rPr>
        <w:t>, using the modalities in a consecutive manner, starting with inexpensive and routine tests, in which individuals proceeding to next levels are candidates for more specialized testing.</w:t>
      </w:r>
    </w:p>
    <w:p w14:paraId="2A2EC84D" w14:textId="7A922789" w:rsidR="0068260E" w:rsidRPr="008257EA" w:rsidRDefault="007316D6" w:rsidP="0068260E">
      <w:pPr>
        <w:rPr>
          <w:rFonts w:cstheme="majorBidi"/>
        </w:rPr>
      </w:pPr>
      <w:r w:rsidRPr="008257EA">
        <w:rPr>
          <w:rFonts w:cstheme="majorBidi"/>
        </w:rPr>
        <w:t xml:space="preserve">In this review, I aim to present a complete framework starting from data acquisition to extracting meaningful insight that aids prediction and decision-making for healthcare using machine learning. From a data science standpoint, such framework is called a </w:t>
      </w:r>
      <w:r w:rsidRPr="008257EA">
        <w:rPr>
          <w:rFonts w:cstheme="majorBidi"/>
          <w:i/>
          <w:iCs/>
        </w:rPr>
        <w:t xml:space="preserve">pipeline </w:t>
      </w:r>
      <w:r w:rsidRPr="008257EA">
        <w:rPr>
          <w:rFonts w:cstheme="majorBidi"/>
          <w:i/>
          <w:iCs/>
        </w:rPr>
        <w:fldChar w:fldCharType="begin"/>
      </w:r>
      <w:r w:rsidR="007A1315" w:rsidRPr="008257EA">
        <w:rPr>
          <w:rFonts w:cstheme="majorBidi"/>
          <w:i/>
          <w:iCs/>
        </w:rPr>
        <w:instrText xml:space="preserve"> ADDIN ZOTERO_ITEM CSL_CITATION {"citationID":"9RzVqzvG","properties":{"formattedCitation":"\\super 7\\nosupersub{}","plainCitation":"7","noteIndex":0},"citationItems":[{"id":80,"uris":["http://zotero.org/users/7931734/items/WY9Z9PDD"],"itemData":{"id":80,"type":"webpage","container-title":"Google Developers","language":"en","title":"Machine Learning Glossary","URL":"https://developers.google.com/machine-learning/glossary","accessed":{"date-parts":[["2022",12,16]]},"issued":{"date-parts":[["2022",11,8]]}}}],"schema":"https://github.com/citation-style-language/schema/raw/master/csl-citation.json"} </w:instrText>
      </w:r>
      <w:r w:rsidRPr="008257EA">
        <w:rPr>
          <w:rFonts w:cstheme="majorBidi"/>
          <w:i/>
          <w:iCs/>
        </w:rPr>
        <w:fldChar w:fldCharType="separate"/>
      </w:r>
      <w:r w:rsidR="007A1315" w:rsidRPr="008257EA">
        <w:rPr>
          <w:rFonts w:cstheme="majorBidi"/>
          <w:vertAlign w:val="superscript"/>
        </w:rPr>
        <w:t>7</w:t>
      </w:r>
      <w:r w:rsidRPr="008257EA">
        <w:rPr>
          <w:rFonts w:cstheme="majorBidi"/>
          <w:i/>
          <w:iCs/>
        </w:rPr>
        <w:fldChar w:fldCharType="end"/>
      </w:r>
      <w:r w:rsidRPr="008257EA">
        <w:rPr>
          <w:rFonts w:cstheme="majorBidi"/>
        </w:rPr>
        <w:t xml:space="preserve">. A machine learning pipeline is usually divided into various stages, however, the boundary between the stages, and even their naming convention is somewhat arbitrary </w:t>
      </w:r>
      <w:r w:rsidRPr="008257EA">
        <w:rPr>
          <w:rFonts w:cstheme="majorBidi"/>
          <w:i/>
          <w:iCs/>
        </w:rPr>
        <w:fldChar w:fldCharType="begin"/>
      </w:r>
      <w:r w:rsidR="007A1315" w:rsidRPr="008257EA">
        <w:rPr>
          <w:rFonts w:cstheme="majorBidi"/>
          <w:i/>
          <w:iCs/>
        </w:rPr>
        <w:instrText xml:space="preserve"> ADDIN ZOTERO_ITEM CSL_CITATION {"citationID":"rriPIHmi","properties":{"formattedCitation":"\\super 8\\nosupersub{}","plainCitation":"8","noteIndex":0},"citationItems":[{"id":25,"uris":["http://zotero.org/users/7931734/items/YV2DEY6M"],"itemData":{"id":25,"type":"paper-conference","abstract":"Increasingly larger number of software systems today are including data science components for descriptive, predictive, and prescriptive analytics. The collection of data science stages from acquisition, to cleaning/curation, to modeling, and so on are referred to as data science pipelines. To facilitate research and practice on data science pipelines, it is essential to understand their nature. What are the typical stages of a data science pipeline? How are they connected? Do the pipelines differ in the theoretical representations and that in the practice? Today we do not fully understand these architectural characteristics of data science pipelines. In this work, we present a three-pronged comprehensive study to answer this for the state-of-the-art, data science in-the-small, and data science in-the-large. Our study analyzes three datasets: a collection of 71 proposals for data science pipelines and related concepts in theory, a collection of over 105 implementations of curated data science pipelines from Kaggle competitions to understand data science in-the-small, and a collection of 21 mature data science projects from GitHub to understand data science in-the-large. Our study has led to three representations of data science pipelines that capture the essence of our subjects in theory, in-the-small, and in-the-large.","collection-title":"ICSE '22","container-title":"Proceedings of the 44th International Conference on Software Engineering","DOI":"10.1145/3510003.3510057","event-place":"New York, NY, USA","ISBN":"978-1-4503-9221-1","page":"2091–2103","publisher":"Association for Computing Machinery","publisher-place":"New York, NY, USA","source":"ACM Digital Library","title":"The art and practice of data science pipelines: A comprehensive study of data science pipelines in theory, in-the-small, and in-the-large","title-short":"The art and practice of data science pipelines","URL":"https://doi.org/10.1145/3510003.3510057","author":[{"family":"Biswas","given":"Sumon"},{"family":"Wardat","given":"Mohammad"},{"family":"Rajan","given":"Hridesh"}],"accessed":{"date-parts":[["2022",12,1]]},"issued":{"date-parts":[["2022",7,5]]}}}],"schema":"https://github.com/citation-style-language/schema/raw/master/csl-citation.json"} </w:instrText>
      </w:r>
      <w:r w:rsidRPr="008257EA">
        <w:rPr>
          <w:rFonts w:cstheme="majorBidi"/>
          <w:i/>
          <w:iCs/>
        </w:rPr>
        <w:fldChar w:fldCharType="separate"/>
      </w:r>
      <w:r w:rsidR="007A1315" w:rsidRPr="008257EA">
        <w:rPr>
          <w:rFonts w:cstheme="majorBidi"/>
          <w:vertAlign w:val="superscript"/>
        </w:rPr>
        <w:t>8</w:t>
      </w:r>
      <w:r w:rsidRPr="008257EA">
        <w:rPr>
          <w:rFonts w:cstheme="majorBidi"/>
          <w:i/>
          <w:iCs/>
        </w:rPr>
        <w:fldChar w:fldCharType="end"/>
      </w:r>
      <w:r w:rsidRPr="008257EA">
        <w:rPr>
          <w:rFonts w:cstheme="majorBidi"/>
        </w:rPr>
        <w:t>. In this article, I divide the pipeline into data collection, data preparation, data analysis and post-hoc.</w:t>
      </w:r>
    </w:p>
    <w:p w14:paraId="561A5D2C" w14:textId="43CE516B" w:rsidR="007316D6" w:rsidRPr="0068260E" w:rsidRDefault="0068260E" w:rsidP="0068260E">
      <w:pPr>
        <w:pStyle w:val="Heading1"/>
      </w:pPr>
      <w:r w:rsidRPr="0068260E">
        <w:t>2. Data Collection</w:t>
      </w:r>
    </w:p>
    <w:p w14:paraId="251F0579" w14:textId="4727DCFF" w:rsidR="0068260E" w:rsidRPr="008257EA" w:rsidRDefault="0068260E" w:rsidP="0068260E">
      <w:pPr>
        <w:pStyle w:val="CommentText"/>
        <w:rPr>
          <w:rFonts w:cstheme="majorBidi"/>
          <w:sz w:val="24"/>
          <w:szCs w:val="24"/>
        </w:rPr>
      </w:pPr>
      <w:r w:rsidRPr="008257EA">
        <w:rPr>
          <w:rFonts w:cstheme="majorBidi"/>
          <w:sz w:val="24"/>
          <w:szCs w:val="24"/>
        </w:rPr>
        <w:t xml:space="preserve">After carefully establishing a clear research methodology, the first step is usually data collection. Data used in health research can be collected from various sources. Here, I arbitrary divide health based on the method of entry to active (manual), semi-automated, and passive (automated). Moreover, I use the example of mental health to illustrate. </w:t>
      </w:r>
    </w:p>
    <w:p w14:paraId="65DC8598" w14:textId="0AC87B92" w:rsidR="007A1315" w:rsidRPr="008257EA" w:rsidRDefault="007A1315" w:rsidP="007A1315">
      <w:pPr>
        <w:rPr>
          <w:rFonts w:eastAsia="Times New Roman" w:cstheme="majorBidi"/>
        </w:rPr>
      </w:pPr>
      <w:r w:rsidRPr="008257EA">
        <w:rPr>
          <w:rFonts w:eastAsia="Times New Roman" w:cstheme="majorBidi"/>
        </w:rPr>
        <w:t xml:space="preserve">After carefully establishing a clear research methodology, the first step is usually data collection. Data used in mental health research can be collected from various sources. The traditional </w:t>
      </w:r>
      <w:r w:rsidRPr="008257EA">
        <w:rPr>
          <w:rFonts w:eastAsia="Times New Roman" w:cstheme="majorBidi"/>
        </w:rPr>
        <w:lastRenderedPageBreak/>
        <w:t xml:space="preserve">method for these studies is active data collection (survey) of direct patient input, whether by in-person, phone or online interview by a health professional, or by using self-reported questionnaire. While the former is expensive, takes a lot of time and is infeasible to use at a wide population, it is more accurate. Many standardized and validated scales are available for (semi-)quantitatively measure different aspects of mental such as </w:t>
      </w:r>
      <w:r w:rsidRPr="008257EA">
        <w:rPr>
          <w:rFonts w:eastAsia="Times New Roman" w:cstheme="majorBidi"/>
          <w:color w:val="000000"/>
        </w:rPr>
        <w:t>GAD-7 (General Anxiety Disorder-7), DASS-42 (Depression Anxiety and Stress Scale-42), and PHQ-9 (Patient Health Questionnaire-9)</w:t>
      </w:r>
      <w:r w:rsidRPr="008257EA">
        <w:rPr>
          <w:rFonts w:eastAsia="Times New Roman" w:cstheme="majorBidi"/>
        </w:rPr>
        <w:t xml:space="preserve">. While each scale is shown to have good internal consistency, it is unclear how they can be aggregated into an overall evaluation of mental health </w:t>
      </w:r>
      <w:r w:rsidRPr="008257EA">
        <w:rPr>
          <w:rFonts w:eastAsia="Times New Roman" w:cstheme="majorBidi"/>
        </w:rPr>
        <w:fldChar w:fldCharType="begin"/>
      </w:r>
      <w:r w:rsidRPr="008257EA">
        <w:rPr>
          <w:rFonts w:eastAsia="Times New Roman" w:cstheme="majorBidi"/>
        </w:rPr>
        <w:instrText xml:space="preserve"> ADDIN ZOTERO_ITEM CSL_CITATION {"citationID":"K7ryZihQ","properties":{"formattedCitation":"\\super 9\\nosupersub{}","plainCitation":"9","noteIndex":0},"citationItems":[{"id":104,"uris":["http://zotero.org/users/7931734/items/RHNRZP8X"],"itemData":{"id":104,"type":"article-journal","abstract":"Mental health prediction is one of the most essential parts of reducing the probability of serious mental illness. Meanwhile, mental health prediction can  provide a theoretical basis for public health department to work out  psychological intervention plans for medical workers. The purpose of this paper  is to predict mental health of medical workers based on machine learning by 32  factors. We collected the 32 factors of 5,108 Chinese medical workers through  questionnaire survey, and the results of Self-reporting Inventory was applied to  characterize mental health. In this study, we propose a novel prediction model  based on optimization algorithm and neural network, which can select and rank the  most important factors that affect mental health of medical workers. Besides, we  use stepwise logistic regression, binary bat algorithm, hybrid improved dragonfly  algorithm and the proposed prediction model to predict mental health of medical  workers. The results show that the prediction accuracy of the proposed model is  92.55%, which is better than the existing algorithms. This method can be used to  predict mental health of global medical worker. In addition, the method proposed  in this paper can also play a role in the appropriate work plan for medical  worker.","container-title":"Frontiers in public health","DOI":"10/grchdp","ISSN":"2296-2565","journalAbbreviation":"Front Public Health","language":"eng","license":"Copyright © 2021 Wang, Li, Sun, Zhang, Wang, Dong and Guo.","note":"publisher-place: Switzerland\nPMID: 34557468 \nPMCID: PMC8452905","page":"697850","title":"Prediction of Mental Health in Medical Workers During COVID-19 Based on Machine Learning.","volume":"9","author":[{"family":"Wang","given":"Xiaofeng"},{"family":"Li","given":"Hu"},{"family":"Sun","given":"Chuanyong"},{"family":"Zhang","given":"Xiumin"},{"family":"Wang","given":"Tan"},{"family":"Dong","given":"Chenyu"},{"family":"Guo","given":"Dongyang"}],"issued":{"date-parts":[["2021"]]}}}],"schema":"https://github.com/citation-style-language/schema/raw/master/csl-citation.json"} </w:instrText>
      </w:r>
      <w:r w:rsidRPr="008257EA">
        <w:rPr>
          <w:rFonts w:eastAsia="Times New Roman" w:cstheme="majorBidi"/>
        </w:rPr>
        <w:fldChar w:fldCharType="separate"/>
      </w:r>
      <w:r w:rsidRPr="008257EA">
        <w:rPr>
          <w:rFonts w:cstheme="majorBidi"/>
          <w:vertAlign w:val="superscript"/>
        </w:rPr>
        <w:t>9</w:t>
      </w:r>
      <w:r w:rsidRPr="008257EA">
        <w:rPr>
          <w:rFonts w:eastAsia="Times New Roman" w:cstheme="majorBidi"/>
        </w:rPr>
        <w:fldChar w:fldCharType="end"/>
      </w:r>
      <w:r w:rsidRPr="008257EA">
        <w:rPr>
          <w:rFonts w:eastAsia="Times New Roman" w:cstheme="majorBidi"/>
        </w:rPr>
        <w:t xml:space="preserve">. Moreover, as almost all these scales are based on self-reported questionnaires, they are prone to bias. All active collection methods are also subject to recall and retrospective bias, and are mostly one-time report. This can be solved using Ecological Momentary Assessment (EMA) that collects </w:t>
      </w:r>
      <w:r w:rsidRPr="008257EA">
        <w:rPr>
          <w:rFonts w:eastAsia="Times New Roman" w:cstheme="majorBidi"/>
          <w:color w:val="000000"/>
        </w:rPr>
        <w:t xml:space="preserve">real-time and self-reported user data. EMA can be as simple as logging daily information using mobile apps, emails, or even text messages. EMA can connect with the user using forms, real-time surveys or interactive multimedia. This real-time data collection has potential benefits compared to traditional patient interview and surveying. It allows for a more valid, reliable and complete data gathering, less prone to subjectivity and bias. Many different mental, physical, physiological and event data can be collected in this manner. The intervals at which the user reports data can be either time-based (e.g., daily) or event-based (e.g., after eating lunch) </w:t>
      </w:r>
      <w:r w:rsidRPr="008257EA">
        <w:rPr>
          <w:rFonts w:eastAsia="Times New Roman" w:cstheme="majorBidi"/>
          <w:color w:val="000000"/>
        </w:rPr>
        <w:fldChar w:fldCharType="begin"/>
      </w:r>
      <w:r w:rsidRPr="008257EA">
        <w:rPr>
          <w:rFonts w:eastAsia="Times New Roman" w:cstheme="majorBidi"/>
          <w:color w:val="000000"/>
        </w:rPr>
        <w:instrText xml:space="preserve"> ADDIN ZOTERO_ITEM CSL_CITATION {"citationID":"xbX2qc5O","properties":{"formattedCitation":"\\super 10\\uc0\\u8211{}12\\nosupersub{}","plainCitation":"10–12","noteIndex":0},"citationItems":[{"id":333,"uris":["http://zotero.org/users/7931734/items/83IQAVAU"],"itemData":{"id":333,"type":"article-journal","abstract":"The digital revolution has reached the world of mental health. Prominent examples include the rapidly growing use of mobile health apps, the integration of sophisticated machine learning or artificial intelligence for clinical decision support and automated therapy, and the incorporation of virtual reality-based treatments. These diverse technologies hold the promise of addressing several important problems in mental health care, including lack of measurement, uneven access to clinicians, delay in receiving care, fragmentation of care, and negative attitudes toward psychiatry. Here, the authors summarize the current and swiftly changing state of digital mental health. Specifically, they highlight the current unmet needs that emerging technologies may be able to address; summarize what digital health can offer for assessment, treatment, and care integration; and describe some of the challenges and some new directions for innovations in this field. The review concludes with guidance for clinicians to integrate digital technologies into their work and to provide responsible and useful advice to their patients.","container-title":"Focus (American Psychiatric Publishing)","DOI":"10.1176/appi.focus.20180001","ISSN":"1541-4094","issue":"3","journalAbbreviation":"Focus (Am Psychiatr Publ)","language":"eng","note":"PMID: 31975919\nPMCID: PMC6493099","page":"251-258","source":"PubMed","title":"Digital Technologies in Psychiatry: Present and Future","title-short":"Digital Technologies in Psychiatry","volume":"16","author":[{"family":"Hirschtritt","given":"Mathew E."},{"family":"Insel","given":"Thomas R."}],"issued":{"date-parts":[["2018",7]]}}},{"id":332,"uris":["http://zotero.org/users/7931734/items/7BRJK7NN"],"itemData":{"id":332,"type":"article-journal","abstract":"PURPOSE OF REVIEW: Mental health practitioners should understand the features of current, publicly available apps; the features of novel, research apps; and issues behind the integration of mobile apps and digital health services into clinical workflows.\nRECENT FINDINGS: The review is based on a research literature and the authors' clinical and healthcare administration experiences. Articles searched-on telepsychiatry, telemental health, mobile mental health, informatics, cellular phone, ambulatory monitoring, telemetry, and algorithms-were restricted to 2016 and 2017. Technologies are used in a variety of clinical settings, including patients with varying mental illness severity, social supports, and technological literacy. Good practices for evaluating apps, understanding user needs, and training and educating users can increase success rates. Ethics and risk management should be considered. Mobile apps are versatile. Integrating apps into psychiatric treatment requires addressing both patient and clinical workflows, design and usability principles, accessibility, social concerns, and digital health literacy.","container-title":"Current Psychiatry Reports","DOI":"10.1007/s11920-017-0848-9","ISSN":"1535-1645","issue":"12","journalAbbreviation":"Curr Psychiatry Rep","language":"eng","note":"PMID: 29082425","page":"96","source":"PubMed","title":"Review of Use and Integration of Mobile Apps Into Psychiatric Treatments","volume":"19","author":[{"family":"Chan","given":"Steven"},{"family":"Godwin","given":"Haley"},{"family":"Gonzalez","given":"Alvaro"},{"family":"Yellowlees","given":"Peter M."},{"family":"Hilty","given":"Donald M."}],"issued":{"date-parts":[["2017",10,30]]}}},{"id":16,"uris":["http://zotero.org/users/7931734/items/Z47DRJN6"],"itemData":{"id":16,"type":"article-journal","abstract":"BACKGROUND: The number of mental health apps (MHapps) developed and now available to smartphone users has increased in recent years. MHapps and other technology-based solutions have the potential to play an important part in the future of mental health care; however, there is no single guide for the development of evidence-based MHapps. Many currently available MHapps lack features that would greatly improve their functionality, or include features that are not optimized. Furthermore, MHapp developers rarely conduct or publish trial-based experimental validation of their apps. Indeed, a previous systematic review revealed a complete lack of trial-based evidence for many of the hundreds of MHapps available.\nOBJECTIVE: To guide future MHapp development, a set of clear, practical, evidence-based recommendations is presented for MHapp developers to create better, more rigorous apps.\nMETHODS: A literature review was conducted, scrutinizing research across diverse fields, including mental health interventions, preventative health, mobile health, and mobile app design.\nRESULTS: Sixteen recommendations were formulated. Evidence for each recommendation is discussed, and guidance on how these recommendations might be integrated into the overall design of an MHapp is offered. Each recommendation is rated on the basis of the strength of associated evidence. It is important to design an MHapp using a behavioral plan and interactive framework that encourages the user to engage with the app; thus, it may not be possible to incorporate all 16 recommendations into a single MHapp.\nCONCLUSIONS: Randomized controlled trials are required to validate future MHapps and the principles upon which they are designed, and to further investigate the recommendations presented in this review. Effective MHapps are required to help prevent mental health problems and to ease the burden on health systems.","container-title":"JMIR mental health","DOI":"10.2196/mental.4984","ISSN":"2368-7959","issue":"1","journalAbbreviation":"JMIR Ment Health","language":"eng","note":"PMID: 26932350\nPMCID: PMC4795320","page":"e7","source":"PubMed","title":"Mental Health Smartphone Apps: Review and Evidence-Based Recommendations for Future Developments","title-short":"Mental Health Smartphone Apps","volume":"3","author":[{"family":"Bakker","given":"David"},{"family":"Kazantzis","given":"Nikolaos"},{"family":"Rickwood","given":"Debra"},{"family":"Rickard","given":"Nikki"}],"issued":{"date-parts":[["2016",3,1]]}}}],"schema":"https://github.com/citation-style-language/schema/raw/master/csl-citation.json"} </w:instrText>
      </w:r>
      <w:r w:rsidRPr="008257EA">
        <w:rPr>
          <w:rFonts w:eastAsia="Times New Roman" w:cstheme="majorBidi"/>
          <w:color w:val="000000"/>
        </w:rPr>
        <w:fldChar w:fldCharType="separate"/>
      </w:r>
      <w:r w:rsidRPr="008257EA">
        <w:rPr>
          <w:rFonts w:cstheme="majorBidi"/>
          <w:vertAlign w:val="superscript"/>
        </w:rPr>
        <w:t>10–12</w:t>
      </w:r>
      <w:r w:rsidRPr="008257EA">
        <w:rPr>
          <w:rFonts w:eastAsia="Times New Roman" w:cstheme="majorBidi"/>
          <w:color w:val="000000"/>
        </w:rPr>
        <w:fldChar w:fldCharType="end"/>
      </w:r>
      <w:r w:rsidRPr="008257EA">
        <w:rPr>
          <w:rFonts w:eastAsia="Times New Roman" w:cstheme="majorBidi"/>
          <w:color w:val="000000"/>
        </w:rPr>
        <w:t>. As</w:t>
      </w:r>
      <w:r w:rsidRPr="008257EA">
        <w:rPr>
          <w:rFonts w:eastAsia="Times New Roman" w:cstheme="majorBidi"/>
        </w:rPr>
        <w:t xml:space="preserve"> many studies may use an online surveying with a combination of these scales, in addition to demographic data or researcher-designed questions, the said bias may extend to many current studies. </w:t>
      </w:r>
      <w:r w:rsidRPr="008257EA">
        <w:rPr>
          <w:rFonts w:eastAsia="Times New Roman" w:cstheme="majorBidi"/>
          <w:color w:val="000000"/>
        </w:rPr>
        <w:t>The true place that machine learning shines is the opportunity to use methods that are almost impossible to use with statistical analysis. Electronic health records (EHRs) for example, are a rich</w:t>
      </w:r>
      <w:r w:rsidRPr="008257EA">
        <w:rPr>
          <w:rFonts w:cstheme="majorBidi"/>
        </w:rPr>
        <w:t xml:space="preserve"> reservoir of health data, especially in countries with widespread adoption such as US </w:t>
      </w:r>
      <w:r w:rsidRPr="008257EA">
        <w:rPr>
          <w:rFonts w:cstheme="majorBidi"/>
        </w:rPr>
        <w:fldChar w:fldCharType="begin"/>
      </w:r>
      <w:r w:rsidRPr="008257EA">
        <w:rPr>
          <w:rFonts w:cstheme="majorBidi"/>
        </w:rPr>
        <w:instrText xml:space="preserve"> ADDIN ZOTERO_ITEM CSL_CITATION {"citationID":"lb4MdQEw","properties":{"formattedCitation":"\\super 13\\nosupersub{}","plainCitation":"13","noteIndex":0},"citationItems":[{"id":250,"uris":["http://zotero.org/users/7931734/items/DTATV3YC"],"itemData":{"id":250,"type":"article-journal","abstract":"The widespread adoption of electronic health record (EHRs) in healthcare systems has created a vast and continuously growing resource of clinical data and provides new opportunities for population-based research. In particular, the linking of EHRs to biospecimens and genomic data in biobanks may help address what has become a rate-limiting study for genetic research: the need for large sample sizes. The principal roadblock to capitalizing on these resources is the need to establish the validity of phenotypes extracted from the EHR. For psychiatric genetic research, this represents a particular challenge given that diagnosis is based on patient reports and clinician observations that may not be well-captured in billing codes or narrative records. This review addresses the opportunities and pitfalls in EHR-based phenotyping with a focus on their application to psychiatric genetic research. A growing number of studies have demonstrated that diagnostic algorithms with high positive predictive value can be derived from EHRs, especially when structured data are supplemented by text mining approaches. Such algorithms enable semi-automated phenotyping for large-scale case-control studies. In addition, the scale and scope of EHR databases have been used successfully to identify phenotypic subgroups and derive algorithms for longitudinal risk prediction. EHR-based genomics are particularly well-suited to rapid look-up replication of putative risk genes, studies of pleiotropy (phenomewide association studies or PheWAS), investigations of genetic networks and overlap across the phenome, and pharmacogenomic research. EHR phenotyping has been relatively under-utilized in psychiatric genomic research but may become a key component of efforts to advance precision psychiatry.","container-title":"American Journal of Medical Genetics. Part B, Neuropsychiatric Genetics: The Official Publication of the International Society of Psychiatric Genetics","DOI":"10.1002/ajmg.b.32548","ISSN":"1552-485X","issue":"7","journalAbbreviation":"Am J Med Genet B Neuropsychiatr Genet","language":"eng","note":"PMID: 28557243\nPMCID: PMC6440216","page":"601-612","source":"PubMed","title":"The use of electronic health records for psychiatric phenotyping and genomics","volume":"177","author":[{"family":"Smoller","given":"Jordan W."}],"issued":{"date-parts":[["2018",10]]}}}],"schema":"https://github.com/citation-style-language/schema/raw/master/csl-citation.json"} </w:instrText>
      </w:r>
      <w:r w:rsidRPr="008257EA">
        <w:rPr>
          <w:rFonts w:cstheme="majorBidi"/>
        </w:rPr>
        <w:fldChar w:fldCharType="separate"/>
      </w:r>
      <w:r w:rsidRPr="008257EA">
        <w:rPr>
          <w:rFonts w:cstheme="majorBidi"/>
          <w:vertAlign w:val="superscript"/>
        </w:rPr>
        <w:t>13</w:t>
      </w:r>
      <w:r w:rsidRPr="008257EA">
        <w:rPr>
          <w:rFonts w:cstheme="majorBidi"/>
        </w:rPr>
        <w:fldChar w:fldCharType="end"/>
      </w:r>
      <w:r w:rsidRPr="008257EA">
        <w:rPr>
          <w:rFonts w:cstheme="majorBidi"/>
        </w:rPr>
        <w:t xml:space="preserve">. While many of the unstructured EHR data such as clinical notes were, until recently, considered unusable “dark data”, natural language processing (NLP), especially when combined with deep learning, has started to change this. </w:t>
      </w:r>
    </w:p>
    <w:p w14:paraId="57CE2B6D" w14:textId="3E25288F" w:rsidR="007A1315" w:rsidRPr="008257EA" w:rsidRDefault="007A1315" w:rsidP="007A1315">
      <w:pPr>
        <w:rPr>
          <w:rFonts w:cstheme="majorBidi"/>
          <w:color w:val="000000"/>
        </w:rPr>
      </w:pPr>
      <w:r w:rsidRPr="008257EA">
        <w:rPr>
          <w:rFonts w:eastAsia="Times New Roman" w:cstheme="majorBidi"/>
        </w:rPr>
        <w:t xml:space="preserve">A passive alternative to active data collection is </w:t>
      </w:r>
      <w:r w:rsidRPr="008257EA">
        <w:rPr>
          <w:rFonts w:cstheme="majorBidi"/>
          <w:color w:val="000000"/>
        </w:rPr>
        <w:t xml:space="preserve">Digital Phenotyping, that is the automated and continuous acquisition of quantified indicators of physiological/pathological states or processes, using digital technologies such as smartphones and wearables, that can be used to predict or monitor an individual’s health </w:t>
      </w:r>
      <w:r w:rsidRPr="008257EA">
        <w:rPr>
          <w:rFonts w:cstheme="majorBidi"/>
          <w:color w:val="000000"/>
        </w:rPr>
        <w:fldChar w:fldCharType="begin"/>
      </w:r>
      <w:r w:rsidRPr="008257EA">
        <w:rPr>
          <w:rFonts w:cstheme="majorBidi"/>
          <w:color w:val="000000"/>
        </w:rPr>
        <w:instrText xml:space="preserve"> ADDIN ZOTERO_ITEM CSL_CITATION {"citationID":"pGtnL3UW","properties":{"formattedCitation":"\\super 14,15\\nosupersub{}","plainCitation":"14,15","noteIndex":0},"citationItems":[{"id":273,"uris":["http://zotero.org/users/7931734/items/CWTURVSI"],"itemData":{"id":273,"type":"article-journal","abstract":"The use of data generated passively by personal electronic devices, such as smartphones, to measure human function in health and disease has generated significant research interest. Particularly in psychiatry, objective, continuous quantitation using patients’ own devices may result in clinically useful markers that can be used to refine diagnostic processes, tailor treatment choices, improve condition monitoring for actionable outcomes, such as early signs of relapse, and develop new intervention models. If a principal goal for digital phenotyping is clinical improvement, research needs to attend now to factors that will help or hinder future clinical adoption. We identify four opportunities for research directed toward this goal: exploring intermediate outcomes and underlying disease mechanisms; focusing on purposes that are likely to be used in clinical practice; anticipating quality and safety barriers to adoption; and exploring the potential for digital personalized medicine arising from the integration of digital phenotyping and digital interventions. Clinical relevance also means explicitly addressing consumer needs, preferences, and acceptability as the ultimate users of digital phenotyping interventions. There is a risk that, without such considerations, the potential benefits of digital phenotyping are delayed or not realized because approaches that are feasible for application in healthcare, and the evidence required to support clinical commissioning, are not developed. Practical steps to accelerate this research agenda include the further development of digital phenotyping technology platforms focusing on scalability and equity, establishing shared data repositories and common data standards, and fostering multidisciplinary collaborations between clinical stakeholders (including patients), computer scientists, and researchers.","container-title":"npj Digital Medicine","DOI":"10.1038/s41746-019-0166-1","ISSN":"2398-6352","issue":"1","journalAbbreviation":"npj Digit. Med.","language":"en","license":"2019 The Author(s)","note":"number: 1\npublisher: Nature Publishing Group","page":"1-11","source":"www.nature.com","title":"Toward clinical digital phenotyping: a timely opportunity to consider purpose, quality, and safety","title-short":"Toward clinical digital phenotyping","volume":"2","author":[{"family":"Huckvale","given":"Kit"},{"family":"Venkatesh","given":"Svetha"},{"family":"Christensen","given":"Helen"}],"issued":{"date-parts":[["2019",9,6]]}}},{"id":274,"uris":["http://zotero.org/users/7931734/items/A28DGRZJ"],"itemData":{"id":274,"type":"article-journal","abstract":"Biomarkers are critical to the rational development of medical therapeutics, but significant confusion persists regarding fundamental definitions and concepts involved in their use in research and clinical practice, particularly in the fields of chronic disease and nutrition. Clarification of the definitions of different biomarkers and a better understanding of their appropriate application could result in substantial benefits. This review examines biomarker definitions recently established by the U.S. Food and Drug Administration and the National Institutes of Health as part of their joint Biomarkers, EndpointS, and other Tools (BEST) resource. These definitions are placed in context of their respective uses in patient care, clinical research, or therapeutic development. We explore the distinctions between biomarkers and clinical outcome assessments and discuss the specific definitions and applications of diagnostic, monitoring, pharmacodynamic/response, predictive, prognostic, safety, and susceptibility/risk biomarkers. We also explore the implications of current biomarker development trends, including complex composite biomarkers and digital biomarkers derived from sensors and mobile technologies. Finally, we discuss the challenges and potential benefits of biomarker-driven predictive toxicology and systems pharmacology, the need to ensure quality and reproducibility of the science underlying biomarker development, and the importance of fostering collaboration across the entire ecosystem of medical product development.","container-title":"Experimental Biology and Medicine","DOI":"10.1177/1535370217750088","ISSN":"1535-3702","issue":"3","journalAbbreviation":"Exp Biol Med (Maywood)","note":"PMID: 29405771\nPMCID: PMC5813875","page":"213-221","source":"PubMed Central","title":"Biomarker definitions and their applications","volume":"243","author":[{"family":"Califf","given":"Robert M"}],"issued":{"date-parts":[["2018",2]]}}}],"schema":"https://github.com/citation-style-language/schema/raw/master/csl-citation.json"} </w:instrText>
      </w:r>
      <w:r w:rsidRPr="008257EA">
        <w:rPr>
          <w:rFonts w:cstheme="majorBidi"/>
          <w:color w:val="000000"/>
        </w:rPr>
        <w:fldChar w:fldCharType="separate"/>
      </w:r>
      <w:r w:rsidRPr="008257EA">
        <w:rPr>
          <w:rFonts w:cstheme="majorBidi"/>
          <w:vertAlign w:val="superscript"/>
        </w:rPr>
        <w:t>14,15</w:t>
      </w:r>
      <w:r w:rsidRPr="008257EA">
        <w:rPr>
          <w:rFonts w:cstheme="majorBidi"/>
          <w:color w:val="000000"/>
        </w:rPr>
        <w:fldChar w:fldCharType="end"/>
      </w:r>
      <w:r w:rsidRPr="008257EA">
        <w:rPr>
          <w:rFonts w:cstheme="majorBidi"/>
          <w:color w:val="000000"/>
        </w:rPr>
        <w:t xml:space="preserve">. Sensors, smart devices (e.g., smart home systems, smart speakers) and even human-machine interactions can be used as digital biomarkers. The frequency and contents of calls and messages, keyboard strokes, scroll patterns, browsing history and social media activity, although controversial due to privacy concerns, can all provide meaningful information about the mental and physical conditions of the individual </w:t>
      </w:r>
      <w:r w:rsidRPr="008257EA">
        <w:rPr>
          <w:rFonts w:cstheme="majorBidi"/>
          <w:color w:val="000000"/>
        </w:rPr>
        <w:fldChar w:fldCharType="begin"/>
      </w:r>
      <w:r w:rsidRPr="008257EA">
        <w:rPr>
          <w:rFonts w:cstheme="majorBidi"/>
          <w:color w:val="000000"/>
        </w:rPr>
        <w:instrText xml:space="preserve"> ADDIN ZOTERO_ITEM CSL_CITATION {"citationID":"wZfmK8Pt","properties":{"formattedCitation":"\\super 10\\nosupersub{}","plainCitation":"10","noteIndex":0},"citationItems":[{"id":333,"uris":["http://zotero.org/users/7931734/items/83IQAVAU"],"itemData":{"id":333,"type":"article-journal","abstract":"The digital revolution has reached the world of mental health. Prominent examples include the rapidly growing use of mobile health apps, the integration of sophisticated machine learning or artificial intelligence for clinical decision support and automated therapy, and the incorporation of virtual reality-based treatments. These diverse technologies hold the promise of addressing several important problems in mental health care, including lack of measurement, uneven access to clinicians, delay in receiving care, fragmentation of care, and negative attitudes toward psychiatry. Here, the authors summarize the current and swiftly changing state of digital mental health. Specifically, they highlight the current unmet needs that emerging technologies may be able to address; summarize what digital health can offer for assessment, treatment, and care integration; and describe some of the challenges and some new directions for innovations in this field. The review concludes with guidance for clinicians to integrate digital technologies into their work and to provide responsible and useful advice to their patients.","container-title":"Focus (American Psychiatric Publishing)","DOI":"10.1176/appi.focus.20180001","ISSN":"1541-4094","issue":"3","journalAbbreviation":"Focus (Am Psychiatr Publ)","language":"eng","note":"PMID: 31975919\nPMCID: PMC6493099","page":"251-258","source":"PubMed","title":"Digital Technologies in Psychiatry: Present and Future","title-short":"Digital Technologies in Psychiatry","volume":"16","author":[{"family":"Hirschtritt","given":"Mathew E."},{"family":"Insel","given":"Thomas R."}],"issued":{"date-parts":[["2018",7]]}}}],"schema":"https://github.com/citation-style-language/schema/raw/master/csl-citation.json"} </w:instrText>
      </w:r>
      <w:r w:rsidRPr="008257EA">
        <w:rPr>
          <w:rFonts w:cstheme="majorBidi"/>
          <w:color w:val="000000"/>
        </w:rPr>
        <w:fldChar w:fldCharType="separate"/>
      </w:r>
      <w:r w:rsidRPr="008257EA">
        <w:rPr>
          <w:rFonts w:cstheme="majorBidi"/>
          <w:vertAlign w:val="superscript"/>
        </w:rPr>
        <w:t>10</w:t>
      </w:r>
      <w:r w:rsidRPr="008257EA">
        <w:rPr>
          <w:rFonts w:cstheme="majorBidi"/>
          <w:color w:val="000000"/>
        </w:rPr>
        <w:fldChar w:fldCharType="end"/>
      </w:r>
      <w:r w:rsidRPr="008257EA">
        <w:rPr>
          <w:rFonts w:cstheme="majorBidi"/>
          <w:color w:val="000000"/>
        </w:rPr>
        <w:t xml:space="preserve">. In contrast to EMA, in which the data needs to be actively entered by the user at certain intervals, digital phenotyping is a passive way of data collection and therefore is immune to self-report bias </w:t>
      </w:r>
      <w:r w:rsidRPr="008257EA">
        <w:rPr>
          <w:rFonts w:cstheme="majorBidi"/>
          <w:color w:val="000000"/>
        </w:rPr>
        <w:fldChar w:fldCharType="begin"/>
      </w:r>
      <w:r w:rsidRPr="008257EA">
        <w:rPr>
          <w:rFonts w:cstheme="majorBidi"/>
          <w:color w:val="000000"/>
        </w:rPr>
        <w:instrText xml:space="preserve"> ADDIN ZOTERO_ITEM CSL_CITATION {"citationID":"HQmjw5jz","properties":{"formattedCitation":"\\super 10,16\\nosupersub{}","plainCitation":"10,16","noteIndex":0},"citationItems":[{"id":333,"uris":["http://zotero.org/users/7931734/items/83IQAVAU"],"itemData":{"id":333,"type":"article-journal","abstract":"The digital revolution has reached the world of mental health. Prominent examples include the rapidly growing use of mobile health apps, the integration of sophisticated machine learning or artificial intelligence for clinical decision support and automated therapy, and the incorporation of virtual reality-based treatments. These diverse technologies hold the promise of addressing several important problems in mental health care, including lack of measurement, uneven access to clinicians, delay in receiving care, fragmentation of care, and negative attitudes toward psychiatry. Here, the authors summarize the current and swiftly changing state of digital mental health. Specifically, they highlight the current unmet needs that emerging technologies may be able to address; summarize what digital health can offer for assessment, treatment, and care integration; and describe some of the challenges and some new directions for innovations in this field. The review concludes with guidance for clinicians to integrate digital technologies into their work and to provide responsible and useful advice to their patients.","container-title":"Focus (American Psychiatric Publishing)","DOI":"10.1176/appi.focus.20180001","ISSN":"1541-4094","issue":"3","journalAbbreviation":"Focus (Am Psychiatr Publ)","language":"eng","note":"PMID: 31975919\nPMCID: PMC6493099","page":"251-258","source":"PubMed","title":"Digital Technologies in Psychiatry: Present and Future","title-short":"Digital Technologies in Psychiatry","volume":"16","author":[{"family":"Hirschtritt","given":"Mathew E."},{"family":"Insel","given":"Thomas R."}],"issued":{"date-parts":[["2018",7]]}}},{"id":21,"uris":["http://zotero.org/users/7931734/items/ZLXG7SBB"],"itemData":{"id":21,"type":"article-journal","abstract":"Wearable sensors are already impacting healthcare and medicine by enabling health monitoring outside of the clinic and prediction of health events. This paper reviews current and prospective wearable technologies and their progress toward clinical application. We describe technologies underlying common, commercially available wearable sensors and early-stage devices and outline research, when available, to support the use of these devices in healthcare. We cover applications in the following health areas: metabolic, cardiovascular and gastrointestinal monitoring; sleep, neurology, movement disorders and mental health; maternal, pre- and neo-natal care; and pulmonary health and environmental exposures. Finally, we discuss challenges associated with the adoption of wearable sensors in the current healthcare ecosystem and discuss areas for future research and development.","container-title":"Personalized Medicine","DOI":"10.2217/pme-2018-0044","ISSN":"1744-828X","issue":"5","journalAbbreviation":"Per Med","language":"eng","note":"PMID: 30259801","page":"429-448","source":"PubMed","title":"Wearables and the medical revolution","volume":"15","author":[{"family":"Dunn","given":"Jessilyn"},{"family":"Runge","given":"Ryan"},{"family":"Snyder","given":"Michael"}],"issued":{"date-parts":[["2018",9]]}}}],"schema":"https://github.com/citation-style-language/schema/raw/master/csl-citation.json"} </w:instrText>
      </w:r>
      <w:r w:rsidRPr="008257EA">
        <w:rPr>
          <w:rFonts w:cstheme="majorBidi"/>
          <w:color w:val="000000"/>
        </w:rPr>
        <w:fldChar w:fldCharType="separate"/>
      </w:r>
      <w:r w:rsidRPr="008257EA">
        <w:rPr>
          <w:rFonts w:cstheme="majorBidi"/>
          <w:vertAlign w:val="superscript"/>
        </w:rPr>
        <w:t>10,16</w:t>
      </w:r>
      <w:r w:rsidRPr="008257EA">
        <w:rPr>
          <w:rFonts w:cstheme="majorBidi"/>
          <w:color w:val="000000"/>
        </w:rPr>
        <w:fldChar w:fldCharType="end"/>
      </w:r>
      <w:r w:rsidRPr="008257EA">
        <w:rPr>
          <w:rFonts w:cstheme="majorBidi"/>
          <w:color w:val="000000"/>
        </w:rPr>
        <w:t xml:space="preserve">. That being said, both active and passive techniques can be employed simultaneously and they are reported to augment each other </w:t>
      </w:r>
      <w:r w:rsidRPr="008257EA">
        <w:rPr>
          <w:rFonts w:cstheme="majorBidi"/>
          <w:color w:val="000000"/>
        </w:rPr>
        <w:fldChar w:fldCharType="begin"/>
      </w:r>
      <w:r w:rsidRPr="008257EA">
        <w:rPr>
          <w:rFonts w:cstheme="majorBidi"/>
          <w:color w:val="000000"/>
        </w:rPr>
        <w:instrText xml:space="preserve"> ADDIN ZOTERO_ITEM CSL_CITATION {"citationID":"KgWKAptJ","properties":{"formattedCitation":"\\super 10\\nosupersub{}","plainCitation":"10","noteIndex":0},"citationItems":[{"id":333,"uris":["http://zotero.org/users/7931734/items/83IQAVAU"],"itemData":{"id":333,"type":"article-journal","abstract":"The digital revolution has reached the world of mental health. Prominent examples include the rapidly growing use of mobile health apps, the integration of sophisticated machine learning or artificial intelligence for clinical decision support and automated therapy, and the incorporation of virtual reality-based treatments. These diverse technologies hold the promise of addressing several important problems in mental health care, including lack of measurement, uneven access to clinicians, delay in receiving care, fragmentation of care, and negative attitudes toward psychiatry. Here, the authors summarize the current and swiftly changing state of digital mental health. Specifically, they highlight the current unmet needs that emerging technologies may be able to address; summarize what digital health can offer for assessment, treatment, and care integration; and describe some of the challenges and some new directions for innovations in this field. The review concludes with guidance for clinicians to integrate digital technologies into their work and to provide responsible and useful advice to their patients.","container-title":"Focus (American Psychiatric Publishing)","DOI":"10.1176/appi.focus.20180001","ISSN":"1541-4094","issue":"3","journalAbbreviation":"Focus (Am Psychiatr Publ)","language":"eng","note":"PMID: 31975919\nPMCID: PMC6493099","page":"251-258","source":"PubMed","title":"Digital Technologies in Psychiatry: Present and Future","title-short":"Digital Technologies in Psychiatry","volume":"16","author":[{"family":"Hirschtritt","given":"Mathew E."},{"family":"Insel","given":"Thomas R."}],"issued":{"date-parts":[["2018",7]]}}}],"schema":"https://github.com/citation-style-language/schema/raw/master/csl-citation.json"} </w:instrText>
      </w:r>
      <w:r w:rsidRPr="008257EA">
        <w:rPr>
          <w:rFonts w:cstheme="majorBidi"/>
          <w:color w:val="000000"/>
        </w:rPr>
        <w:fldChar w:fldCharType="separate"/>
      </w:r>
      <w:r w:rsidRPr="008257EA">
        <w:rPr>
          <w:rFonts w:cstheme="majorBidi"/>
          <w:vertAlign w:val="superscript"/>
        </w:rPr>
        <w:t>10</w:t>
      </w:r>
      <w:r w:rsidRPr="008257EA">
        <w:rPr>
          <w:rFonts w:cstheme="majorBidi"/>
          <w:color w:val="000000"/>
        </w:rPr>
        <w:fldChar w:fldCharType="end"/>
      </w:r>
      <w:r w:rsidRPr="008257EA">
        <w:rPr>
          <w:rFonts w:cstheme="majorBidi"/>
          <w:color w:val="000000"/>
        </w:rPr>
        <w:t xml:space="preserve">. The collected data can be easily integrated into the patients’ EHR profile, both as a static record and for continuous health monitoring and also be used as a diagnostic/therapeutic/prognostic tool by physicians and clinical decision support systems </w:t>
      </w:r>
      <w:r w:rsidRPr="008257EA">
        <w:rPr>
          <w:rFonts w:cstheme="majorBidi"/>
          <w:color w:val="000000"/>
        </w:rPr>
        <w:fldChar w:fldCharType="begin"/>
      </w:r>
      <w:r w:rsidRPr="008257EA">
        <w:rPr>
          <w:rFonts w:cstheme="majorBidi"/>
          <w:color w:val="000000"/>
        </w:rPr>
        <w:instrText xml:space="preserve"> ADDIN ZOTERO_ITEM CSL_CITATION {"citationID":"lvmedlaR","properties":{"formattedCitation":"\\super 17\\nosupersub{}","plainCitation":"17","noteIndex":0},"citationItems":[{"id":87,"uris":["http://zotero.org/users/7931734/items/L8QCCITQ"],"itemData":{"id":87,"type":"article-journal","abstract":"Software on his phone has detected changes in Zach, including subtle differences in the language he uses, decreased activity levels, worsening sleep, and cutbacks in social activities, and Zach doesn’t mind. Meanwhile, software on his phone has detected changes in Zach, including subtle differences in the language he uses, decreased activity levels, worsening sleep, and cutbacks in social activities. Unlike Zach, the software acts quickly, pushing him to answer a customized set of questions. Since he doesn’t have to get out of bed to do so, he doesn&amp;#39;t mind.","container-title":"IEEE Spectrum","DOI":"10.1109/mspec.2017.7951722","language":"en","page":"45-50","source":"www.semanticscholar.org","title":"Digital psychiatry","volume":"54","author":[{"family":"Torous","given":"J."}],"issued":{"date-parts":[["2017"]]}}}],"schema":"https://github.com/citation-style-language/schema/raw/master/csl-citation.json"} </w:instrText>
      </w:r>
      <w:r w:rsidRPr="008257EA">
        <w:rPr>
          <w:rFonts w:cstheme="majorBidi"/>
          <w:color w:val="000000"/>
        </w:rPr>
        <w:fldChar w:fldCharType="separate"/>
      </w:r>
      <w:r w:rsidRPr="008257EA">
        <w:rPr>
          <w:rFonts w:cstheme="majorBidi"/>
          <w:vertAlign w:val="superscript"/>
        </w:rPr>
        <w:t>17</w:t>
      </w:r>
      <w:r w:rsidRPr="008257EA">
        <w:rPr>
          <w:rFonts w:cstheme="majorBidi"/>
          <w:color w:val="000000"/>
        </w:rPr>
        <w:fldChar w:fldCharType="end"/>
      </w:r>
      <w:r w:rsidRPr="008257EA">
        <w:rPr>
          <w:rFonts w:cstheme="majorBidi"/>
          <w:color w:val="000000"/>
        </w:rPr>
        <w:t xml:space="preserve">. Moreover, anomaly detection systems can process the data to detect health problems, even earlier than traditional clinical diagnosis by acting as an early warning system </w:t>
      </w:r>
      <w:r w:rsidRPr="008257EA">
        <w:rPr>
          <w:rFonts w:cstheme="majorBidi"/>
          <w:color w:val="000000"/>
        </w:rPr>
        <w:fldChar w:fldCharType="begin"/>
      </w:r>
      <w:r w:rsidRPr="008257EA">
        <w:rPr>
          <w:rFonts w:cstheme="majorBidi"/>
          <w:color w:val="000000"/>
        </w:rPr>
        <w:instrText xml:space="preserve"> ADDIN ZOTERO_ITEM CSL_CITATION {"citationID":"ui9IdtXI","properties":{"formattedCitation":"\\super 11,16\\nosupersub{}","plainCitation":"11,16","noteIndex":0},"citationItems":[{"id":332,"uris":["http://zotero.org/users/7931734/items/7BRJK7NN"],"itemData":{"id":332,"type":"article-journal","abstract":"PURPOSE OF REVIEW: Mental health practitioners should understand the features of current, publicly available apps; the features of novel, research apps; and issues behind the integration of mobile apps and digital health services into clinical workflows.\nRECENT FINDINGS: The review is based on a research literature and the authors' clinical and healthcare administration experiences. Articles searched-on telepsychiatry, telemental health, mobile mental health, informatics, cellular phone, ambulatory monitoring, telemetry, and algorithms-were restricted to 2016 and 2017. Technologies are used in a variety of clinical settings, including patients with varying mental illness severity, social supports, and technological literacy. Good practices for evaluating apps, understanding user needs, and training and educating users can increase success rates. Ethics and risk management should be considered. Mobile apps are versatile. Integrating apps into psychiatric treatment requires addressing both patient and clinical workflows, design and usability principles, accessibility, social concerns, and digital health literacy.","container-title":"Current Psychiatry Reports","DOI":"10.1007/s11920-017-0848-9","ISSN":"1535-1645","issue":"12","journalAbbreviation":"Curr Psychiatry Rep","language":"eng","note":"PMID: 29082425","page":"96","source":"PubMed","title":"Review of Use and Integration of Mobile Apps Into Psychiatric Treatments","volume":"19","author":[{"family":"Chan","given":"Steven"},{"family":"Godwin","given":"Haley"},{"family":"Gonzalez","given":"Alvaro"},{"family":"Yellowlees","given":"Peter M."},{"family":"Hilty","given":"Donald M."}],"issued":{"date-parts":[["2017",10,30]]}}},{"id":21,"uris":["http://zotero.org/users/7931734/items/ZLXG7SBB"],"itemData":{"id":21,"type":"article-journal","abstract":"Wearable sensors are already impacting healthcare and medicine by enabling health monitoring outside of the clinic and prediction of health events. This paper reviews current and prospective wearable technologies and their progress toward clinical application. We describe technologies underlying common, commercially available wearable sensors and early-stage devices and outline research, when available, to support the use of these devices in healthcare. We cover applications in the following health areas: metabolic, cardiovascular and gastrointestinal monitoring; sleep, neurology, movement disorders and mental health; maternal, pre- and neo-natal care; and pulmonary health and environmental exposures. Finally, we discuss challenges associated with the adoption of wearable sensors in the current healthcare ecosystem and discuss areas for future research and development.","container-title":"Personalized Medicine","DOI":"10.2217/pme-2018-0044","ISSN":"1744-828X","issue":"5","journalAbbreviation":"Per Med","language":"eng","note":"PMID: 30259801","page":"429-448","source":"PubMed","title":"Wearables and the medical revolution","volume":"15","author":[{"family":"Dunn","given":"Jessilyn"},{"family":"Runge","given":"Ryan"},{"family":"Snyder","given":"Michael"}],"issued":{"date-parts":[["2018",9]]}}}],"schema":"https://github.com/citation-style-language/schema/raw/master/csl-citation.json"} </w:instrText>
      </w:r>
      <w:r w:rsidRPr="008257EA">
        <w:rPr>
          <w:rFonts w:cstheme="majorBidi"/>
          <w:color w:val="000000"/>
        </w:rPr>
        <w:fldChar w:fldCharType="separate"/>
      </w:r>
      <w:r w:rsidRPr="008257EA">
        <w:rPr>
          <w:rFonts w:cstheme="majorBidi"/>
          <w:vertAlign w:val="superscript"/>
        </w:rPr>
        <w:t>11,16</w:t>
      </w:r>
      <w:r w:rsidRPr="008257EA">
        <w:rPr>
          <w:rFonts w:cstheme="majorBidi"/>
          <w:color w:val="000000"/>
        </w:rPr>
        <w:fldChar w:fldCharType="end"/>
      </w:r>
      <w:r w:rsidRPr="008257EA">
        <w:rPr>
          <w:rFonts w:cstheme="majorBidi"/>
          <w:color w:val="000000"/>
        </w:rPr>
        <w:t>.</w:t>
      </w:r>
    </w:p>
    <w:p w14:paraId="3A0D95B0" w14:textId="0CF76AA0" w:rsidR="0068260E" w:rsidRDefault="007A1315" w:rsidP="007A1315">
      <w:pPr>
        <w:pStyle w:val="Heading1"/>
      </w:pPr>
      <w:r>
        <w:lastRenderedPageBreak/>
        <w:t>3. Data Preparation</w:t>
      </w:r>
    </w:p>
    <w:p w14:paraId="0F6F229C" w14:textId="57959F27" w:rsidR="007A1315" w:rsidRDefault="007A1315" w:rsidP="007A1315">
      <w:pPr>
        <w:pStyle w:val="Heading2"/>
      </w:pPr>
      <w:r>
        <w:t>3.1. Data Representation</w:t>
      </w:r>
    </w:p>
    <w:p w14:paraId="6585D4CD" w14:textId="492286C2" w:rsidR="00DD1A00" w:rsidRDefault="00DD1A00" w:rsidP="00DD1A00">
      <w:r>
        <w:t>The collected data needs to be stored in machine-readable format</w:t>
      </w:r>
      <w:r w:rsidRPr="00794212">
        <w:t xml:space="preserve"> </w:t>
      </w:r>
      <w:r>
        <w:t>in order to be used in a ML pipeline.</w:t>
      </w:r>
      <w:r w:rsidRPr="00794212">
        <w:t xml:space="preserve"> </w:t>
      </w:r>
      <w:r>
        <w:t xml:space="preserve">In most cases, the raw data is initially in a tabular format, called a </w:t>
      </w:r>
      <w:r>
        <w:rPr>
          <w:i/>
          <w:iCs/>
        </w:rPr>
        <w:t xml:space="preserve">dataset </w:t>
      </w:r>
      <w:r>
        <w:fldChar w:fldCharType="begin"/>
      </w:r>
      <w:r w:rsidR="00644EFE">
        <w:instrText xml:space="preserve"> ADDIN ZOTERO_ITEM CSL_CITATION {"citationID":"IgzWjfRn","properties":{"formattedCitation":"\\super 7\\nosupersub{}","plainCitation":"7","noteIndex":0},"citationItems":[{"id":80,"uris":["http://zotero.org/users/7931734/items/WY9Z9PDD"],"itemData":{"id":80,"type":"webpage","container-title":"Google Developers","language":"en","title":"Machine Learning Glossary","URL":"https://developers.google.com/machine-learning/glossary","accessed":{"date-parts":[["2022",12,16]]},"issued":{"date-parts":[["2022",11,8]]}}}],"schema":"https://github.com/citation-style-language/schema/raw/master/csl-citation.json"} </w:instrText>
      </w:r>
      <w:r>
        <w:fldChar w:fldCharType="separate"/>
      </w:r>
      <w:r w:rsidR="00644EFE" w:rsidRPr="00644EFE">
        <w:rPr>
          <w:rFonts w:ascii="Times New Roman" w:hAnsi="Times New Roman"/>
          <w:vertAlign w:val="superscript"/>
        </w:rPr>
        <w:t>7</w:t>
      </w:r>
      <w:r>
        <w:fldChar w:fldCharType="end"/>
      </w:r>
      <w:r>
        <w:t xml:space="preserve">. Each observed entity, for example each participant in a survey, is called a </w:t>
      </w:r>
      <w:r>
        <w:rPr>
          <w:i/>
          <w:iCs/>
        </w:rPr>
        <w:t xml:space="preserve">case, example, </w:t>
      </w:r>
      <w:r>
        <w:t xml:space="preserve">or </w:t>
      </w:r>
      <w:r>
        <w:rPr>
          <w:i/>
          <w:iCs/>
        </w:rPr>
        <w:t>instance</w:t>
      </w:r>
      <w:r>
        <w:t xml:space="preserve">. Each case has a set of characteristics, called </w:t>
      </w:r>
      <w:r>
        <w:rPr>
          <w:i/>
          <w:iCs/>
        </w:rPr>
        <w:t>features</w:t>
      </w:r>
      <w:r>
        <w:t xml:space="preserve"> or </w:t>
      </w:r>
      <w:r>
        <w:rPr>
          <w:i/>
          <w:iCs/>
        </w:rPr>
        <w:t>attributes</w:t>
      </w:r>
      <w:r>
        <w:t xml:space="preserve">. In </w:t>
      </w:r>
      <w:r>
        <w:rPr>
          <w:i/>
          <w:iCs/>
        </w:rPr>
        <w:t>supervised models</w:t>
      </w:r>
      <w:r>
        <w:t xml:space="preserve">, each case comes with one or several </w:t>
      </w:r>
      <w:r>
        <w:rPr>
          <w:i/>
          <w:iCs/>
        </w:rPr>
        <w:t xml:space="preserve">labels </w:t>
      </w:r>
      <w:r>
        <w:t>or</w:t>
      </w:r>
      <w:r>
        <w:rPr>
          <w:i/>
          <w:iCs/>
        </w:rPr>
        <w:t xml:space="preserve"> outcomes</w:t>
      </w:r>
      <w:r>
        <w:t xml:space="preserve">, which the researcher believes can be predicted using all or some set of features called </w:t>
      </w:r>
      <w:r>
        <w:rPr>
          <w:i/>
          <w:iCs/>
        </w:rPr>
        <w:t xml:space="preserve">predictors </w:t>
      </w:r>
      <w:r>
        <w:rPr>
          <w:i/>
          <w:iCs/>
        </w:rPr>
        <w:fldChar w:fldCharType="begin"/>
      </w:r>
      <w:r w:rsidR="00644EFE">
        <w:rPr>
          <w:i/>
          <w:iCs/>
        </w:rPr>
        <w:instrText xml:space="preserve"> ADDIN ZOTERO_ITEM CSL_CITATION {"citationID":"Gv0eNMpA","properties":{"formattedCitation":"\\super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rPr>
          <w:i/>
          <w:iCs/>
        </w:rPr>
        <w:fldChar w:fldCharType="separate"/>
      </w:r>
      <w:r w:rsidR="00644EFE" w:rsidRPr="00644EFE">
        <w:rPr>
          <w:rFonts w:ascii="Times New Roman" w:hAnsi="Times New Roman"/>
          <w:vertAlign w:val="superscript"/>
        </w:rPr>
        <w:t>18</w:t>
      </w:r>
      <w:r>
        <w:rPr>
          <w:i/>
          <w:iCs/>
        </w:rPr>
        <w:fldChar w:fldCharType="end"/>
      </w:r>
      <w:r>
        <w:t>.</w:t>
      </w:r>
      <w:r w:rsidRPr="00B657B9">
        <w:t xml:space="preserve"> </w:t>
      </w:r>
      <w:r>
        <w:t xml:space="preserve">However, in some cases, it is difficult or even impossible to label the data, or the researcher might be simply interested in exploring the data or finding a relationship between the data points. Models built using this unlabeled data is called an </w:t>
      </w:r>
      <w:r>
        <w:rPr>
          <w:i/>
          <w:iCs/>
        </w:rPr>
        <w:t>unsupervised model</w:t>
      </w:r>
      <w:r>
        <w:t xml:space="preserve">. For example, in </w:t>
      </w:r>
      <w:r>
        <w:rPr>
          <w:i/>
          <w:iCs/>
        </w:rPr>
        <w:t>clustering</w:t>
      </w:r>
      <w:r>
        <w:t xml:space="preserve">, the task is to find data points that are similar to each other and group them in </w:t>
      </w:r>
      <w:r>
        <w:rPr>
          <w:i/>
          <w:iCs/>
        </w:rPr>
        <w:t>clusters</w:t>
      </w:r>
      <w:r>
        <w:t>, without knowing anything about the actual labels.</w:t>
      </w:r>
    </w:p>
    <w:p w14:paraId="5A41B76E" w14:textId="77777777" w:rsidR="00DD1A00" w:rsidRPr="00BF5416" w:rsidRDefault="00DD1A00" w:rsidP="00DD1A00">
      <w:r>
        <w:t xml:space="preserve">Both the features and the labels can </w:t>
      </w:r>
      <w:r w:rsidRPr="0097704A">
        <w:t>come in different forms</w:t>
      </w:r>
      <w:r>
        <w:t>.</w:t>
      </w:r>
      <w:r>
        <w:rPr>
          <w:i/>
          <w:iCs/>
        </w:rPr>
        <w:t xml:space="preserve"> </w:t>
      </w:r>
      <w:r>
        <w:t xml:space="preserve">Data can either be </w:t>
      </w:r>
      <w:r>
        <w:rPr>
          <w:i/>
          <w:iCs/>
        </w:rPr>
        <w:t xml:space="preserve">quantitative, </w:t>
      </w:r>
      <w:r>
        <w:t xml:space="preserve">that is, corresponding to an actual number such as height or the number of participants, or </w:t>
      </w:r>
      <w:r>
        <w:rPr>
          <w:i/>
          <w:iCs/>
        </w:rPr>
        <w:t xml:space="preserve">qualitative </w:t>
      </w:r>
      <w:r>
        <w:t>(</w:t>
      </w:r>
      <w:r>
        <w:rPr>
          <w:i/>
          <w:iCs/>
        </w:rPr>
        <w:t>categorical</w:t>
      </w:r>
      <w:r>
        <w:t>)</w:t>
      </w:r>
      <w:r>
        <w:rPr>
          <w:i/>
          <w:iCs/>
        </w:rPr>
        <w:t xml:space="preserve">, </w:t>
      </w:r>
      <w:r>
        <w:t xml:space="preserve">that is, corresponding to a quality such as gender, nationality or education. Data is </w:t>
      </w:r>
      <w:r>
        <w:rPr>
          <w:i/>
          <w:iCs/>
        </w:rPr>
        <w:t>continuous</w:t>
      </w:r>
      <w:r>
        <w:t xml:space="preserve">, if it can take any value in its range, therefore, being uncountable. It is </w:t>
      </w:r>
      <w:r>
        <w:rPr>
          <w:i/>
          <w:iCs/>
        </w:rPr>
        <w:t xml:space="preserve">discrete </w:t>
      </w:r>
      <w:r>
        <w:t xml:space="preserve">if it can be represented with a finite set of numbers, whether representing a quantitative count, a qualitative </w:t>
      </w:r>
      <w:r>
        <w:rPr>
          <w:i/>
          <w:iCs/>
        </w:rPr>
        <w:t xml:space="preserve">class </w:t>
      </w:r>
      <w:r>
        <w:t xml:space="preserve">or category, or even a formerly continuous variable that has been converted into several groups in its range, a process called </w:t>
      </w:r>
      <w:r>
        <w:rPr>
          <w:i/>
          <w:iCs/>
        </w:rPr>
        <w:t xml:space="preserve">binning </w:t>
      </w:r>
      <w:r>
        <w:t xml:space="preserve">or </w:t>
      </w:r>
      <w:r>
        <w:rPr>
          <w:i/>
          <w:iCs/>
        </w:rPr>
        <w:t>bucketing</w:t>
      </w:r>
      <w:r>
        <w:t xml:space="preserve">. Categorical variables can be further subdivided into </w:t>
      </w:r>
      <w:r>
        <w:rPr>
          <w:i/>
          <w:iCs/>
        </w:rPr>
        <w:t xml:space="preserve">nominal </w:t>
      </w:r>
      <w:r>
        <w:t xml:space="preserve">or </w:t>
      </w:r>
      <w:r>
        <w:rPr>
          <w:i/>
          <w:iCs/>
        </w:rPr>
        <w:t>ordinal</w:t>
      </w:r>
      <w:r>
        <w:t xml:space="preserve">, based on the existence of a natural order between the categories. Nominal variables with two classes are usually called </w:t>
      </w:r>
      <w:r>
        <w:rPr>
          <w:i/>
          <w:iCs/>
        </w:rPr>
        <w:t>binary</w:t>
      </w:r>
      <w:r>
        <w:t xml:space="preserve"> or </w:t>
      </w:r>
      <w:r>
        <w:rPr>
          <w:i/>
          <w:iCs/>
        </w:rPr>
        <w:t>binomial</w:t>
      </w:r>
      <w:r>
        <w:t>. From a ML perspective, it is more practical to just consider data as continuous vs. discrete, as the models will usually treat all discrete data the same way.</w:t>
      </w:r>
    </w:p>
    <w:p w14:paraId="2626D393" w14:textId="77777777" w:rsidR="00DD1A00" w:rsidRDefault="00DD1A00" w:rsidP="00DD1A00">
      <w:pPr>
        <w:rPr>
          <w:rFonts w:eastAsiaTheme="minorEastAsia"/>
        </w:rPr>
      </w:pPr>
      <w:r>
        <w:t xml:space="preserve">The features of each case can be stored in a </w:t>
      </w:r>
      <w:r>
        <w:rPr>
          <w:i/>
          <w:iCs/>
        </w:rPr>
        <w:t>feature vector</w:t>
      </w:r>
      <w:r>
        <w:t>,</w:t>
      </w:r>
      <w:r w:rsidRPr="00551DAF">
        <w:t xml:space="preserve"> </w:t>
      </w:r>
      <w:r>
        <w:t xml:space="preserve">an </w:t>
      </w:r>
      <w:r>
        <w:rPr>
          <w:i/>
          <w:iCs/>
        </w:rPr>
        <w:t>p</w:t>
      </w:r>
      <w:r>
        <w:t>-dimensional vector</w:t>
      </w:r>
      <w:r>
        <w:br/>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2</m:t>
                      </m:r>
                    </m:sub>
                  </m:sSub>
                </m:e>
              </m:mr>
            </m:m>
            <m:r>
              <w:rPr>
                <w:rFonts w:ascii="Cambria Math" w:hAnsi="Cambria Math"/>
              </w:rPr>
              <m:t>⋯</m:t>
            </m:r>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p-1</m:t>
                      </m:r>
                    </m:sub>
                  </m:sSub>
                </m:e>
                <m:e>
                  <m:sSub>
                    <m:sSubPr>
                      <m:ctrlPr>
                        <w:rPr>
                          <w:rFonts w:ascii="Cambria Math" w:hAnsi="Cambria Math"/>
                          <w:i/>
                        </w:rPr>
                      </m:ctrlPr>
                    </m:sSubPr>
                    <m:e>
                      <m:r>
                        <w:rPr>
                          <w:rFonts w:ascii="Cambria Math" w:hAnsi="Cambria Math"/>
                        </w:rPr>
                        <m:t>x</m:t>
                      </m:r>
                    </m:e>
                    <m:sub>
                      <m:r>
                        <w:rPr>
                          <w:rFonts w:ascii="Cambria Math" w:hAnsi="Cambria Math"/>
                        </w:rPr>
                        <m:t>p</m:t>
                      </m:r>
                    </m:sub>
                  </m:sSub>
                </m:e>
              </m:mr>
            </m:m>
          </m:e>
        </m:d>
      </m:oMath>
      <w:r>
        <w:rPr>
          <w:rFonts w:eastAsiaTheme="minorEastAsia"/>
        </w:rPr>
        <w:t xml:space="preserve"> that contains all </w:t>
      </w:r>
      <w:r>
        <w:rPr>
          <w:i/>
          <w:iCs/>
        </w:rPr>
        <w:t>p</w:t>
      </w:r>
      <w:r>
        <w:t xml:space="preserve"> features of case </w:t>
      </w:r>
      <w:proofErr w:type="spellStart"/>
      <w:r>
        <w:rPr>
          <w:i/>
          <w:iCs/>
        </w:rPr>
        <w:t>i</w:t>
      </w:r>
      <w:proofErr w:type="spellEnd"/>
      <w:r>
        <w:t>.</w:t>
      </w:r>
      <w:r>
        <w:rPr>
          <w:rFonts w:eastAsiaTheme="minorEastAsia"/>
        </w:rPr>
        <w:t xml:space="preserve"> A dataset can be represented by a set of features and outcomes </w:t>
      </w:r>
      <m:oMath>
        <m:d>
          <m:dPr>
            <m:begChr m:val="{"/>
            <m:endChr m:val="}"/>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in which </w:t>
      </w:r>
      <m:oMath>
        <m:r>
          <w:rPr>
            <w:rFonts w:ascii="Cambria Math" w:hAnsi="Cambria Math"/>
          </w:rPr>
          <m:t>X=</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1,p</m:t>
                      </m:r>
                    </m:sub>
                  </m:sSub>
                </m:e>
              </m:mr>
              <m:mr>
                <m:e>
                  <m:r>
                    <w:rPr>
                      <w:rFonts w:ascii="Cambria Math" w:hAnsi="Cambria Math"/>
                    </w:rPr>
                    <m:t>⋮</m:t>
                  </m:r>
                </m:e>
                <m:e>
                  <m:r>
                    <w:rPr>
                      <w:rFonts w:ascii="Cambria Math" w:hAnsi="Cambria Math"/>
                    </w:rPr>
                    <m:t xml:space="preserve"> </m:t>
                  </m:r>
                </m:e>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n,p</m:t>
                      </m:r>
                    </m:sub>
                  </m:sSub>
                </m:e>
              </m:mr>
            </m:m>
          </m:e>
        </m:d>
      </m:oMath>
      <w:r>
        <w:rPr>
          <w:rFonts w:eastAsiaTheme="minorEastAsia"/>
        </w:rPr>
        <w:t xml:space="preserve"> is </w:t>
      </w:r>
      <w:r>
        <w:t xml:space="preserve">a </w:t>
      </w:r>
      <m:oMath>
        <m:r>
          <w:rPr>
            <w:rFonts w:ascii="Cambria Math" w:hAnsi="Cambria Math"/>
          </w:rPr>
          <m:t>n×p</m:t>
        </m:r>
      </m:oMath>
      <w:r>
        <w:t xml:space="preserve"> </w:t>
      </w:r>
      <w:r w:rsidRPr="00662C63">
        <w:t>matrix</w:t>
      </w:r>
      <w:r>
        <w:t xml:space="preserve"> consisting of a</w:t>
      </w:r>
      <w:r>
        <w:rPr>
          <w:rFonts w:eastAsiaTheme="minorEastAsia"/>
        </w:rPr>
        <w:t xml:space="preserve">ll feature vectors </w:t>
      </w:r>
      <w:proofErr w:type="spellStart"/>
      <w:r>
        <w:rPr>
          <w:rFonts w:eastAsiaTheme="minorEastAsia"/>
        </w:rPr>
        <w:t>for</w:t>
      </w:r>
      <w:r>
        <w:t xml:space="preserve"> </w:t>
      </w:r>
      <w:r>
        <w:rPr>
          <w:i/>
          <w:iCs/>
        </w:rPr>
        <w:t>m</w:t>
      </w:r>
      <w:proofErr w:type="spellEnd"/>
      <w:r>
        <w:rPr>
          <w:i/>
          <w:iCs/>
        </w:rPr>
        <w:t xml:space="preserve"> </w:t>
      </w:r>
      <w:r>
        <w:t xml:space="preserve">cases in the sample, and </w:t>
      </w:r>
      <m:oMath>
        <m:r>
          <w:rPr>
            <w:rFonts w:ascii="Cambria Math" w:hAnsi="Cambria Math"/>
          </w:rPr>
          <m:t>Y=</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y</m:t>
                      </m:r>
                    </m:e>
                    <m:sub>
                      <m:r>
                        <w:rPr>
                          <w:rFonts w:ascii="Cambria Math" w:hAnsi="Cambria Math"/>
                        </w:rPr>
                        <m:t>1,q</m:t>
                      </m:r>
                    </m:sub>
                  </m:sSub>
                </m:e>
              </m:mr>
              <m:mr>
                <m:e>
                  <m:r>
                    <w:rPr>
                      <w:rFonts w:ascii="Cambria Math" w:hAnsi="Cambria Math"/>
                    </w:rPr>
                    <m:t>⋮</m:t>
                  </m:r>
                </m:e>
                <m:e>
                  <m:r>
                    <w:rPr>
                      <w:rFonts w:ascii="Cambria Math" w:hAnsi="Cambria Math"/>
                    </w:rPr>
                    <m:t xml:space="preserve"> </m:t>
                  </m:r>
                </m:e>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n,q</m:t>
                      </m:r>
                    </m:sub>
                  </m:sSub>
                </m:e>
              </m:mr>
            </m:m>
          </m:e>
        </m:d>
      </m:oMath>
      <w:r>
        <w:rPr>
          <w:rFonts w:eastAsiaTheme="minorEastAsia"/>
        </w:rPr>
        <w:t xml:space="preserve"> is a </w:t>
      </w:r>
      <m:oMath>
        <m:r>
          <w:rPr>
            <w:rFonts w:ascii="Cambria Math" w:eastAsiaTheme="minorEastAsia" w:hAnsi="Cambria Math"/>
          </w:rPr>
          <m:t>n×q</m:t>
        </m:r>
      </m:oMath>
      <w:r>
        <w:rPr>
          <w:rFonts w:eastAsiaTheme="minorEastAsia"/>
        </w:rPr>
        <w:t xml:space="preserve"> matrix that contain all the </w:t>
      </w:r>
      <w:r>
        <w:rPr>
          <w:rFonts w:eastAsiaTheme="minorEastAsia"/>
          <w:i/>
          <w:iCs/>
        </w:rPr>
        <w:t>q</w:t>
      </w:r>
      <w:r>
        <w:rPr>
          <w:rFonts w:eastAsiaTheme="minorEastAsia"/>
        </w:rPr>
        <w:t xml:space="preserve"> labels for each of the </w:t>
      </w:r>
      <w:r>
        <w:rPr>
          <w:rFonts w:eastAsiaTheme="minorEastAsia"/>
          <w:i/>
          <w:iCs/>
        </w:rPr>
        <w:t xml:space="preserve">n </w:t>
      </w:r>
      <w:r>
        <w:rPr>
          <w:rFonts w:eastAsiaTheme="minorEastAsia"/>
        </w:rPr>
        <w:t>cases.</w:t>
      </w:r>
      <w:r>
        <w:t xml:space="preserve"> </w:t>
      </w:r>
      <w:r>
        <w:rPr>
          <w:rFonts w:eastAsiaTheme="minorEastAsia"/>
        </w:rPr>
        <w:t xml:space="preserve">Note that each predictor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oMath>
      <w:r>
        <w:rPr>
          <w:rFonts w:eastAsiaTheme="minorEastAsia"/>
        </w:rPr>
        <w:t xml:space="preserve"> or outcome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i,k</m:t>
            </m:r>
          </m:sub>
        </m:sSub>
      </m:oMath>
      <w:r>
        <w:rPr>
          <w:rFonts w:eastAsiaTheme="minorEastAsia"/>
        </w:rPr>
        <w:t xml:space="preserve"> can be a real number (</w:t>
      </w:r>
      <w:r w:rsidRPr="0002010C">
        <w:rPr>
          <w:rFonts w:eastAsiaTheme="minorEastAsia"/>
          <w:i/>
          <w:iCs/>
        </w:rPr>
        <w:t>scalar</w:t>
      </w:r>
      <w:r>
        <w:rPr>
          <w:rFonts w:eastAsiaTheme="minorEastAsia"/>
        </w:rPr>
        <w:t>), representing a continuous or discrete variable, or even</w:t>
      </w:r>
      <w:r w:rsidRPr="00BC398E">
        <w:rPr>
          <w:rFonts w:eastAsiaTheme="minorEastAsia"/>
        </w:rPr>
        <w:t xml:space="preserve"> </w:t>
      </w:r>
      <w:r>
        <w:rPr>
          <w:rFonts w:eastAsiaTheme="minorEastAsia"/>
        </w:rPr>
        <w:t>be another vector or matrix.</w:t>
      </w:r>
      <w:r w:rsidRPr="00BC398E">
        <w:rPr>
          <w:rFonts w:eastAsiaTheme="minorEastAsia"/>
        </w:rPr>
        <w:t xml:space="preserve"> </w:t>
      </w:r>
      <w:r>
        <w:rPr>
          <w:rFonts w:eastAsiaTheme="minorEastAsia"/>
        </w:rPr>
        <w:t xml:space="preserve">For example, each pixel in an input image might be represented as a 3-dimensional vector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=[red, green, blue]</m:t>
        </m:r>
      </m:oMath>
      <w:r>
        <w:rPr>
          <w:rFonts w:eastAsiaTheme="minorEastAsia"/>
        </w:rPr>
        <w:t xml:space="preserve"> and the output can be another image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=[red, green, blue]</m:t>
        </m:r>
      </m:oMath>
      <w:r>
        <w:rPr>
          <w:rFonts w:eastAsiaTheme="minorEastAsia"/>
        </w:rPr>
        <w:t xml:space="preserve"> </w:t>
      </w:r>
      <w:r>
        <w:rPr>
          <w:rFonts w:eastAsiaTheme="minorEastAsia"/>
        </w:rPr>
        <w:footnoteReference w:id="1"/>
      </w:r>
      <w:r>
        <w:rPr>
          <w:rFonts w:eastAsiaTheme="minorEastAsia"/>
        </w:rPr>
        <w:t xml:space="preserve">, in which </w:t>
      </w:r>
      <w:proofErr w:type="spellStart"/>
      <w:r>
        <w:rPr>
          <w:rFonts w:eastAsiaTheme="minorEastAsia"/>
          <w:i/>
          <w:iCs/>
        </w:rPr>
        <w:t>i</w:t>
      </w:r>
      <w:proofErr w:type="spellEnd"/>
      <w:r>
        <w:rPr>
          <w:rFonts w:eastAsiaTheme="minorEastAsia"/>
          <w:i/>
          <w:iCs/>
        </w:rPr>
        <w:t xml:space="preserve"> </w:t>
      </w:r>
      <w:r>
        <w:rPr>
          <w:rFonts w:eastAsiaTheme="minorEastAsia"/>
        </w:rPr>
        <w:t xml:space="preserve">and </w:t>
      </w:r>
      <w:r>
        <w:rPr>
          <w:rFonts w:eastAsiaTheme="minorEastAsia"/>
          <w:i/>
          <w:iCs/>
        </w:rPr>
        <w:t xml:space="preserve">j </w:t>
      </w:r>
      <w:r>
        <w:rPr>
          <w:rFonts w:eastAsiaTheme="minorEastAsia"/>
        </w:rPr>
        <w:t>represent the position of the pixel on the image.</w:t>
      </w:r>
    </w:p>
    <w:p w14:paraId="3A8F755C" w14:textId="77777777" w:rsidR="00DD1A00" w:rsidRPr="003E28BA" w:rsidRDefault="00DD1A00" w:rsidP="00DD1A00">
      <w:r w:rsidRPr="00E27653">
        <w:rPr>
          <w:rFonts w:eastAsiaTheme="minorEastAsia"/>
        </w:rPr>
        <w:lastRenderedPageBreak/>
        <w:t>While</w:t>
      </w:r>
      <w:r>
        <w:rPr>
          <w:rFonts w:eastAsiaTheme="minorEastAsia"/>
        </w:rPr>
        <w:t xml:space="preserve"> using vectors and matrices might make the concept a little more difficult to comprehend, computer scientists prefer using them because computers are much more efficient in handling matrix operations than processing one input at a time, for example, using loops.</w:t>
      </w:r>
    </w:p>
    <w:p w14:paraId="2C9624C9" w14:textId="6A589CBC" w:rsidR="00DD1A00" w:rsidRDefault="00DD1A00" w:rsidP="00DD1A00">
      <w:pPr>
        <w:rPr>
          <w:rFonts w:eastAsiaTheme="minorEastAsia"/>
        </w:rPr>
      </w:pPr>
      <w:r>
        <w:rPr>
          <w:noProof/>
        </w:rPr>
        <w:drawing>
          <wp:anchor distT="0" distB="0" distL="114300" distR="114300" simplePos="0" relativeHeight="251659264" behindDoc="0" locked="0" layoutInCell="1" allowOverlap="1" wp14:anchorId="116661B8" wp14:editId="1FBF7A55">
            <wp:simplePos x="0" y="0"/>
            <wp:positionH relativeFrom="margin">
              <wp:posOffset>3932555</wp:posOffset>
            </wp:positionH>
            <wp:positionV relativeFrom="margin">
              <wp:posOffset>2152650</wp:posOffset>
            </wp:positionV>
            <wp:extent cx="1931670" cy="1570990"/>
            <wp:effectExtent l="19050" t="19050" r="11430" b="1016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1670" cy="15709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w:t>A</w:t>
      </w:r>
      <w:r>
        <w:rPr>
          <w:rFonts w:eastAsiaTheme="minorEastAsia"/>
        </w:rPr>
        <w:t xml:space="preserve"> data structure frequently used for modeling real-life data is a </w:t>
      </w:r>
      <w:r>
        <w:rPr>
          <w:rFonts w:eastAsiaTheme="minorEastAsia"/>
          <w:i/>
          <w:iCs/>
        </w:rPr>
        <w:t>graph</w:t>
      </w:r>
      <w:r>
        <w:rPr>
          <w:rFonts w:eastAsiaTheme="minorEastAsia"/>
        </w:rPr>
        <w:t xml:space="preserve">, also called a </w:t>
      </w:r>
      <w:r>
        <w:rPr>
          <w:rFonts w:eastAsiaTheme="minorEastAsia"/>
          <w:i/>
          <w:iCs/>
        </w:rPr>
        <w:t>network</w:t>
      </w:r>
      <w:r>
        <w:rPr>
          <w:rFonts w:eastAsiaTheme="minorEastAsia"/>
        </w:rPr>
        <w:t xml:space="preserve">. A visual representation of a graph can be as simple as </w:t>
      </w:r>
      <w:r>
        <w:t xml:space="preserve">a group of elements, connected to each other by lines that show their relationships (figure 1). Graphs are used extensively </w:t>
      </w:r>
      <w:r>
        <w:rPr>
          <w:rFonts w:cstheme="majorBidi"/>
        </w:rPr>
        <w:t xml:space="preserve">in </w:t>
      </w:r>
      <w:r>
        <w:t xml:space="preserve">life sciences, social media analysis, security investigations, etc. to </w:t>
      </w:r>
      <w:r>
        <w:rPr>
          <w:rFonts w:cstheme="majorBidi"/>
        </w:rPr>
        <w:t>model and analyze data</w:t>
      </w:r>
      <w:r>
        <w:t xml:space="preserve"> </w:t>
      </w:r>
      <w:r>
        <w:fldChar w:fldCharType="begin"/>
      </w:r>
      <w:r w:rsidR="00644EFE">
        <w:instrText xml:space="preserve"> ADDIN ZOTERO_ITEM CSL_CITATION {"citationID":"Y21JvGDt","properties":{"formattedCitation":"\\super 19\\uc0\\u8211{}22\\nosupersub{}","plainCitation":"19–22","noteIndex":0},"citationItems":[{"id":"95wkc4X2/ymh93WYS","uris":["http://zotero.org/users/7931734/items/5PVU6EG9"],"itemData":{"id":"dcnsVWFl/JtJlgMma","type":"article-journal","container-title":"Frontiers in Bioengineering and Biotechnology","DOI":"10.3389/fbioe.2020.00034","ISSN":"2296-4185","journalAbbreviation":"Front. Bioeng. Biotechnol.","page":"34","source":"DOI.org (Crossref)","title":"A Guide to Conquer the Biological Network Era Using Graph Theory","volume":"8","author":[{"family":"Koutrouli","given":"Mikaela"},{"family":"Karatzas","given":"Evangelos"},{"family":"Paez-Espino","given":"David"},{"family":"Pavlopoulos","given":"Georgios A."}],"issued":{"date-parts":[["2020",1,31]]}},"label":"page"},{"id":"95wkc4X2/vDPRrqFx","uris":["http://zotero.org/users/7931734/items/F64V24LI"],"itemData":{"id":4284,"type":"article-journal","language":"en","source":"Zotero","title":"A Survey on Graph Visualization","author":[{"family":"Cui","given":"Weiwei"},{"family":"Qu","given":"Huamin"}],"issued":{"date-parts":[["2008"]]}},"label":"page"},{"id":"95wkc4X2/ZPKH5HMb","uris":["http://zotero.org/users/7931734/items/D57J4KZX"],"itemData":{"id":8325,"type":"article-journal","abstract":"Abstract Exploring relationships in complex datasets is one of the challenges in today’s big data era. The graph-based visualization approach, which integrates the advantages of graph analysis theory and visualization technologies and combines machine and human intelligence, has become an effective means for analyzing various relationships in complex datasets. In this paper, we first introduce a graph-based visual analytics model for associated data. Then, we summarize seven typical visualization methods for associated data according to their layout features, including their node-link diagram, adjacency matrix, hypergraph, flow diagram, graphs with geospatial information, multi-attribute graph, and space-filling diagram and discuss their advantages and disadvantages. We describe current graph simplification and interaction techniques, including graph filtering, node clustering, edge bundling, graph data dimension reduction, and topology-based graph transformation. Finally, we discuss the potential challenges and developmental trends of the research direction. Graphical abstract","container-title":"Journal of Visualization","DOI":"10.1007/s12650-019-00551-y","ISSN":"1875-8975","issue":"3","journalAbbreviation":"J Vis","language":"en","note":"Company: Springer\nDistributor: Springer\nInstitution: Springer\nLabel: Springer\nnumber: 3\npublisher: Springer Berlin Heidelberg","page":"625-639","source":"link.springer.com","title":"A survey on visualization approaches for exploring association relationships in graph data","volume":"22","author":[{"family":"Chen","given":"Yi"},{"family":"Guan","given":"Zeli"},{"family":"Zhang","given":"Rong"},{"family":"Du","given":"Xiaomin"},{"family":"Wang","given":"Yunhai"}],"issued":{"date-parts":[["2019",6,1]]}},"label":"page"},{"id":"95wkc4X2/TzoTA02o","uris":["http://zotero.org/users/7931734/items/JSYEFV4N"],"itemData":{"id":10540,"type":"paper-conference","abstract":"This State-of-the-Art Report considers graph visualization techniques according to the type of graphs supported, and discusses various graph algorithmic aspects useful for the different stages of the visual graph analysis process. The analysis of large graphs plays a prominent role in various fields of research and is relevant in many important application areas. Effective visual analysis of graphs requires appropriate visual presentations in combination with respective user interaction facilities and algorithmic graph analysis methods. How to design appropriate graph analysis systems depends on many factors, including the type of graph describing the data, the analytical task at hand, and the applicability of graph analysis methods. The most recent surveys of graph visualization and navigation techniques were presented by Herman et al. [HMM00] and Diaz [DPS02]. The first work surveyed the main techniques for visualization of hierarchies and graphs in general that had been introduced until 2000. The second work concentrated on graph layouts introduced until 2002. Recently, new techniques have been developed covering a broader range of graph types, such as time-varying graphs. Also, in accordance with ever growing amounts of graph-structured data becoming available, the inclusion of algorithmic graph analysis and interaction techniques becomes increasingly important. In this State-of-the-Art Report, we survey available techniques for the visual analysis of large graphs. Our review firstly considers graph visualization techniques according to the type of graphs supported. The visualization techniques form the basis for the presentation of interaction approaches suitable for visual graph exploration. As an important component of visual graph analysis, we discuss various graph algorithmic aspects useful for the different stages of the visual graph analysis process.","container-title":"Eurographics","DOI":"10/gp3kvz","source":"Semantic Scholar","title":"Visual Analysis of Large Graphs","author":[{"family":"Landesberger","given":"T. V."},{"family":"Kuijper","given":"Arjan"},{"family":"Schreck","given":"T."},{"family":"Kohlhammer","given":"J."},{"family":"Wijk","given":"J. V."},{"family":"Fekete","given":"Jean-Daniel"},{"family":"Fellner","given":"D."}],"issued":{"date-parts":[["2010"]]}},"label":"page"}],"schema":"https://github.com/citation-style-language/schema/raw/master/csl-citation.json"} </w:instrText>
      </w:r>
      <w:r>
        <w:fldChar w:fldCharType="separate"/>
      </w:r>
      <w:r w:rsidR="00644EFE" w:rsidRPr="00644EFE">
        <w:rPr>
          <w:rFonts w:ascii="Times New Roman" w:hAnsi="Times New Roman"/>
          <w:vertAlign w:val="superscript"/>
        </w:rPr>
        <w:t>19–22</w:t>
      </w:r>
      <w:r>
        <w:fldChar w:fldCharType="end"/>
      </w:r>
      <w:r>
        <w:t xml:space="preserve">. Mathematically speaking, a graph </w:t>
      </w:r>
      <m:oMath>
        <m:r>
          <w:rPr>
            <w:rFonts w:ascii="Cambria Math" w:hAnsi="Cambria Math"/>
          </w:rPr>
          <m:t>G=</m:t>
        </m:r>
        <m:d>
          <m:dPr>
            <m:ctrlPr>
              <w:rPr>
                <w:rFonts w:ascii="Cambria Math" w:hAnsi="Cambria Math"/>
                <w:i/>
              </w:rPr>
            </m:ctrlPr>
          </m:dPr>
          <m:e>
            <m:r>
              <w:rPr>
                <w:rFonts w:ascii="Cambria Math" w:hAnsi="Cambria Math"/>
              </w:rPr>
              <m:t>V,E</m:t>
            </m:r>
          </m:e>
        </m:d>
      </m:oMath>
      <w:r>
        <w:rPr>
          <w:rFonts w:eastAsiaTheme="minorEastAsia"/>
        </w:rPr>
        <w:t xml:space="preserve"> </w:t>
      </w:r>
      <w:r>
        <w:t xml:space="preserve">is defined as a set of </w:t>
      </w:r>
      <w:r w:rsidRPr="003E31E1">
        <w:rPr>
          <w:i/>
          <w:iCs/>
        </w:rPr>
        <w:t>vertices</w:t>
      </w:r>
      <w:r>
        <w:t xml:space="preserve"> (or </w:t>
      </w:r>
      <w:r w:rsidRPr="003E31E1">
        <w:rPr>
          <w:i/>
          <w:iCs/>
        </w:rPr>
        <w:t>nodes</w:t>
      </w:r>
      <w:r>
        <w:t xml:space="preserve">) that are connected together by a set of </w:t>
      </w:r>
      <w:r w:rsidRPr="00AF050C">
        <w:rPr>
          <w:i/>
          <w:iCs/>
        </w:rPr>
        <w:t>edges</w:t>
      </w:r>
      <w:r>
        <w:t xml:space="preserve"> (or </w:t>
      </w:r>
      <w:r w:rsidRPr="00AF050C">
        <w:rPr>
          <w:i/>
          <w:iCs/>
        </w:rPr>
        <w:t>links</w:t>
      </w:r>
      <w:r>
        <w:t xml:space="preserve">) </w:t>
      </w:r>
      <w:r>
        <w:fldChar w:fldCharType="begin"/>
      </w:r>
      <w:r w:rsidR="00644EFE">
        <w:instrText xml:space="preserve"> ADDIN ZOTERO_ITEM CSL_CITATION {"citationID":"nYW3Y2i5","properties":{"formattedCitation":"\\super 19,23\\nosupersub{}","plainCitation":"19,23","noteIndex":0},"citationItems":[{"id":"95wkc4X2/ymh93WYS","uris":["http://zotero.org/users/7931734/items/5PVU6EG9"],"itemData":{"id":4359,"type":"article-journal","container-title":"Frontiers in Bioengineering and Biotechnology","DOI":"10.3389/fbioe.2020.00034","ISSN":"2296-4185","journalAbbreviation":"Front. Bioeng. Biotechnol.","page":"34","source":"DOI.org (Crossref)","title":"A Guide to Conquer the Biological Network Era Using Graph Theory","volume":"8","author":[{"family":"Koutrouli","given":"Mikaela"},{"family":"Karatzas","given":"Evangelos"},{"family":"Paez-Espino","given":"David"},{"family":"Pavlopoulos","given":"Georgios A."}],"issued":{"date-parts":[["2020",1,31]]}}},{"id":"95wkc4X2/8DvZHuLW","uris":["http://zotero.org/users/7931734/items/TP9E29WJ"],"itemData":{"id":10910,"type":"article-journal","abstract":"Understanding complex systems often requires a bottom-up analysis towards a systems biology approach. The need to investigate a system, not only as individual components but as a whole, emerges. This can be done by examining the elementary constituents individually and then how these are connected. The myriad components of a system and their interactions are best characterized as networks and they are mainly represented as graphs where thousands of nodes are connected with thousands of vertices. In this article we demonstrate approaches, models and methods from the graph theory universe and we discuss ways in which they can be used to reveal hidden properties and features of a network. This network profiling combined with knowledge extraction will help us to better understand the biological significance of the system.","container-title":"BioData Mining","DOI":"10/bggzw9","ISSN":"1756-0381","issue":"1","journalAbbreviation":"BioData Mining","page":"10","source":"BioMed Central","title":"Using graph theory to analyze biological networks","volume":"4","author":[{"family":"Pavlopoulos","given":"Georgios A."},{"family":"Secrier","given":"Maria"},{"family":"Moschopoulos","given":"Charalampos N."},{"family":"Soldatos","given":"Theodoros G."},{"family":"Kossida","given":"Sophia"},{"family":"Aerts","given":"Jan"},{"family":"Schneider","given":"Reinhard"},{"family":"Bagos","given":"Pantelis G."}],"issued":{"date-parts":[["2011",4,28]]}}}],"schema":"https://github.com/citation-style-language/schema/raw/master/csl-citation.json"} </w:instrText>
      </w:r>
      <w:r>
        <w:fldChar w:fldCharType="separate"/>
      </w:r>
      <w:r w:rsidR="00644EFE" w:rsidRPr="00644EFE">
        <w:rPr>
          <w:rFonts w:ascii="Times New Roman" w:hAnsi="Times New Roman"/>
          <w:vertAlign w:val="superscript"/>
        </w:rPr>
        <w:t>19,23</w:t>
      </w:r>
      <w:r>
        <w:fldChar w:fldCharType="end"/>
      </w:r>
      <w:r>
        <w:t xml:space="preserve">. In figure 1 for example, there are 13 nodes, </w:t>
      </w:r>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13</m:t>
            </m:r>
          </m:sub>
        </m:sSub>
        <m:r>
          <w:rPr>
            <w:rFonts w:ascii="Cambria Math" w:hAnsi="Cambria Math"/>
          </w:rPr>
          <m:t>}</m:t>
        </m:r>
      </m:oMath>
      <w:r>
        <w:rPr>
          <w:rFonts w:eastAsiaTheme="minorEastAsia"/>
        </w:rPr>
        <w:t>, and 13 edges,</w:t>
      </w:r>
      <w:r>
        <w:rPr>
          <w:rFonts w:eastAsiaTheme="minorEastAsia"/>
        </w:rPr>
        <w:br/>
      </w:r>
      <m:oMathPara>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6</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7</m:t>
              </m:r>
            </m:sub>
          </m:sSub>
          <m:r>
            <w:rPr>
              <w:rFonts w:ascii="Cambria Math" w:eastAsiaTheme="minorEastAsia" w:hAnsi="Cambria Math"/>
            </w:rPr>
            <m:t>),</m:t>
          </m:r>
          <m:r>
            <m:rPr>
              <m:sty m:val="p"/>
            </m:rPr>
            <w:rPr>
              <w:rFonts w:ascii="Cambria Math" w:eastAsiaTheme="minorEastAsia" w:hAnsi="Cambria Math"/>
            </w:rPr>
            <w:br/>
          </m:r>
        </m:oMath>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8</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9</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9</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13</m:t>
            </m:r>
          </m:sub>
        </m:sSub>
        <m:r>
          <w:rPr>
            <w:rFonts w:ascii="Cambria Math" w:eastAsiaTheme="minorEastAsia" w:hAnsi="Cambria Math"/>
          </w:rPr>
          <m:t>)}</m:t>
        </m:r>
      </m:oMath>
      <w:r>
        <w:rPr>
          <w:rFonts w:eastAsiaTheme="minorEastAsia"/>
        </w:rPr>
        <w:t xml:space="preserve">. </w:t>
      </w:r>
    </w:p>
    <w:p w14:paraId="30ED01E9" w14:textId="45D77545" w:rsidR="007A1315" w:rsidRPr="007A1315" w:rsidRDefault="00DD1A00" w:rsidP="008257EA">
      <w:r>
        <w:rPr>
          <w:rFonts w:eastAsiaTheme="minorEastAsia"/>
        </w:rPr>
        <w:t xml:space="preserve">The edges can be </w:t>
      </w:r>
      <w:r w:rsidRPr="003E31E1">
        <w:rPr>
          <w:i/>
          <w:iCs/>
        </w:rPr>
        <w:t>directed</w:t>
      </w:r>
      <w:r>
        <w:t xml:space="preserve"> or </w:t>
      </w:r>
      <w:r w:rsidRPr="003E31E1">
        <w:rPr>
          <w:i/>
          <w:iCs/>
        </w:rPr>
        <w:t>undirected</w:t>
      </w:r>
      <w:r>
        <w:t xml:space="preserve">. A directed edge, such as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9</m:t>
            </m:r>
          </m:sub>
        </m:sSub>
        <m:r>
          <w:rPr>
            <w:rFonts w:ascii="Cambria Math" w:eastAsiaTheme="minorEastAsia" w:hAnsi="Cambria Math"/>
          </w:rPr>
          <m:t>)</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12</m:t>
            </m:r>
          </m:sub>
        </m:sSub>
        <m:r>
          <w:rPr>
            <w:rFonts w:ascii="Cambria Math" w:eastAsiaTheme="minorEastAsia" w:hAnsi="Cambria Math"/>
          </w:rPr>
          <m:t>)</m:t>
        </m:r>
      </m:oMath>
      <w:r>
        <w:rPr>
          <w:rFonts w:eastAsiaTheme="minorEastAsia"/>
        </w:rPr>
        <w:t xml:space="preserve"> in figure 1, implies an inherent order in the connection (e.g., cause and effect), therefore </w:t>
      </w:r>
      <m:oMath>
        <m:sSub>
          <m:sSubPr>
            <m:ctrlPr>
              <w:rPr>
                <w:rFonts w:ascii="Cambria Math" w:eastAsiaTheme="minorEastAsia" w:hAnsi="Cambria Math"/>
                <w:i/>
              </w:rPr>
            </m:ctrlPr>
          </m:sSubPr>
          <m:e>
            <m:r>
              <w:rPr>
                <w:rFonts w:ascii="Cambria Math" w:eastAsiaTheme="minorEastAsia" w:hAnsi="Cambria Math"/>
              </w:rPr>
              <m:t>E(v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The </w:t>
      </w:r>
      <w:r>
        <w:t xml:space="preserve">direction of edge </w:t>
      </w:r>
      <m:oMath>
        <m:sSub>
          <m:sSubPr>
            <m:ctrlPr>
              <w:rPr>
                <w:rFonts w:ascii="Cambria Math" w:eastAsiaTheme="minorEastAsia" w:hAnsi="Cambria Math"/>
                <w:i/>
              </w:rPr>
            </m:ctrlPr>
          </m:sSubPr>
          <m:e>
            <m:r>
              <w:rPr>
                <w:rFonts w:ascii="Cambria Math" w:eastAsiaTheme="minorEastAsia" w:hAnsi="Cambria Math"/>
              </w:rPr>
              <m:t>E(v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r>
          <w:rPr>
            <w:rFonts w:ascii="Cambria Math" w:eastAsiaTheme="minorEastAsia" w:hAnsi="Cambria Math"/>
          </w:rPr>
          <m:t>)</m:t>
        </m:r>
      </m:oMath>
      <w:r>
        <w:rPr>
          <w:rFonts w:eastAsiaTheme="minorEastAsia"/>
        </w:rPr>
        <w:t xml:space="preserve"> </w:t>
      </w:r>
      <w:r>
        <w:t xml:space="preserve">is defined to be from </w:t>
      </w:r>
      <w:proofErr w:type="spellStart"/>
      <w:r w:rsidRPr="008733B7">
        <w:rPr>
          <w:i/>
          <w:iCs/>
        </w:rPr>
        <w:t>i</w:t>
      </w:r>
      <w:proofErr w:type="spellEnd"/>
      <w:r>
        <w:t xml:space="preserve"> to </w:t>
      </w:r>
      <w:r w:rsidRPr="008733B7">
        <w:rPr>
          <w:i/>
          <w:iCs/>
        </w:rPr>
        <w:t>j</w:t>
      </w:r>
      <w:r>
        <w:t xml:space="preserve"> and is usually depicted using arrows </w:t>
      </w:r>
      <w:r>
        <w:fldChar w:fldCharType="begin"/>
      </w:r>
      <w:r w:rsidR="00644EFE">
        <w:instrText xml:space="preserve"> ADDIN ZOTERO_ITEM CSL_CITATION {"citationID":"wgw75DZU","properties":{"formattedCitation":"\\super 23\\nosupersub{}","plainCitation":"23","noteIndex":0},"citationItems":[{"id":"95wkc4X2/8DvZHuLW","uris":["http://zotero.org/users/7931734/items/TP9E29WJ"],"itemData":{"id":10910,"type":"article-journal","abstract":"Understanding complex systems often requires a bottom-up analysis towards a systems biology approach. The need to investigate a system, not only as individual components but as a whole, emerges. This can be done by examining the elementary constituents individually and then how these are connected. The myriad components of a system and their interactions are best characterized as networks and they are mainly represented as graphs where thousands of nodes are connected with thousands of vertices. In this article we demonstrate approaches, models and methods from the graph theory universe and we discuss ways in which they can be used to reveal hidden properties and features of a network. This network profiling combined with knowledge extraction will help us to better understand the biological significance of the system.","container-title":"BioData Mining","DOI":"10/bggzw9","ISSN":"1756-0381","issue":"1","journalAbbreviation":"BioData Mining","page":"10","source":"BioMed Central","title":"Using graph theory to analyze biological networks","volume":"4","author":[{"family":"Pavlopoulos","given":"Georgios A."},{"family":"Secrier","given":"Maria"},{"family":"Moschopoulos","given":"Charalampos N."},{"family":"Soldatos","given":"Theodoros G."},{"family":"Kossida","given":"Sophia"},{"family":"Aerts","given":"Jan"},{"family":"Schneider","given":"Reinhard"},{"family":"Bagos","given":"Pantelis G."}],"issued":{"date-parts":[["2011",4,28]]}}}],"schema":"https://github.com/citation-style-language/schema/raw/master/csl-citation.json"} </w:instrText>
      </w:r>
      <w:r>
        <w:fldChar w:fldCharType="separate"/>
      </w:r>
      <w:r w:rsidR="00644EFE" w:rsidRPr="00644EFE">
        <w:rPr>
          <w:rFonts w:ascii="Times New Roman" w:hAnsi="Times New Roman"/>
          <w:vertAlign w:val="superscript"/>
        </w:rPr>
        <w:t>23</w:t>
      </w:r>
      <w:r>
        <w:fldChar w:fldCharType="end"/>
      </w:r>
      <w:r>
        <w:t xml:space="preserve">. A </w:t>
      </w:r>
      <w:r w:rsidRPr="00507468">
        <w:rPr>
          <w:i/>
          <w:iCs/>
        </w:rPr>
        <w:t>weighted graph</w:t>
      </w:r>
      <w:r>
        <w:t xml:space="preserve"> is defined as a graph </w:t>
      </w:r>
      <m:oMath>
        <m:r>
          <w:rPr>
            <w:rFonts w:ascii="Cambria Math" w:hAnsi="Cambria Math"/>
          </w:rPr>
          <m:t>G=</m:t>
        </m:r>
        <m:d>
          <m:dPr>
            <m:ctrlPr>
              <w:rPr>
                <w:rFonts w:ascii="Cambria Math" w:hAnsi="Cambria Math"/>
                <w:i/>
              </w:rPr>
            </m:ctrlPr>
          </m:dPr>
          <m:e>
            <m:r>
              <w:rPr>
                <w:rFonts w:ascii="Cambria Math" w:hAnsi="Cambria Math"/>
              </w:rPr>
              <m:t>V,E</m:t>
            </m:r>
          </m:e>
        </m:d>
      </m:oMath>
      <w:r>
        <w:rPr>
          <w:rFonts w:eastAsiaTheme="minorEastAsia"/>
        </w:rPr>
        <w:t xml:space="preserve"> </w:t>
      </w:r>
      <w:r>
        <w:t>which is associated with</w:t>
      </w:r>
      <w:r>
        <w:rPr>
          <w:rFonts w:eastAsiaTheme="minorEastAsia"/>
        </w:rPr>
        <w:t xml:space="preserve"> a </w:t>
      </w:r>
      <w:r w:rsidRPr="00993519">
        <w:rPr>
          <w:i/>
          <w:iCs/>
        </w:rPr>
        <w:t>weight function</w:t>
      </w:r>
      <w:r>
        <w:rPr>
          <w:i/>
          <w:iCs/>
        </w:rPr>
        <w:t xml:space="preserve"> </w:t>
      </w:r>
      <m:oMath>
        <m:r>
          <w:rPr>
            <w:rFonts w:ascii="Cambria Math" w:hAnsi="Cambria Math"/>
          </w:rPr>
          <m:t>w:E→R</m:t>
        </m:r>
      </m:oMath>
      <w:r>
        <w:t xml:space="preserve"> </w:t>
      </w:r>
      <w:r>
        <w:fldChar w:fldCharType="begin"/>
      </w:r>
      <w:r w:rsidR="00644EFE">
        <w:instrText xml:space="preserve"> ADDIN ZOTERO_ITEM CSL_CITATION {"citationID":"xZYayZ81","properties":{"formattedCitation":"\\super 19,23\\nosupersub{}","plainCitation":"19,23","noteIndex":0},"citationItems":[{"id":"95wkc4X2/ymh93WYS","uris":["http://zotero.org/users/7931734/items/5PVU6EG9"],"itemData":{"id":4359,"type":"article-journal","container-title":"Frontiers in Bioengineering and Biotechnology","DOI":"10.3389/fbioe.2020.00034","ISSN":"2296-4185","journalAbbreviation":"Front. Bioeng. Biotechnol.","page":"34","source":"DOI.org (Crossref)","title":"A Guide to Conquer the Biological Network Era Using Graph Theory","volume":"8","author":[{"family":"Koutrouli","given":"Mikaela"},{"family":"Karatzas","given":"Evangelos"},{"family":"Paez-Espino","given":"David"},{"family":"Pavlopoulos","given":"Georgios A."}],"issued":{"date-parts":[["2020",1,31]]}}},{"id":"95wkc4X2/8DvZHuLW","uris":["http://zotero.org/users/7931734/items/TP9E29WJ"],"itemData":{"id":10910,"type":"article-journal","abstract":"Understanding complex systems often requires a bottom-up analysis towards a systems biology approach. The need to investigate a system, not only as individual components but as a whole, emerges. This can be done by examining the elementary constituents individually and then how these are connected. The myriad components of a system and their interactions are best characterized as networks and they are mainly represented as graphs where thousands of nodes are connected with thousands of vertices. In this article we demonstrate approaches, models and methods from the graph theory universe and we discuss ways in which they can be used to reveal hidden properties and features of a network. This network profiling combined with knowledge extraction will help us to better understand the biological significance of the system.","container-title":"BioData Mining","DOI":"10/bggzw9","ISSN":"1756-0381","issue":"1","journalAbbreviation":"BioData Mining","page":"10","source":"BioMed Central","title":"Using graph theory to analyze biological networks","volume":"4","author":[{"family":"Pavlopoulos","given":"Georgios A."},{"family":"Secrier","given":"Maria"},{"family":"Moschopoulos","given":"Charalampos N."},{"family":"Soldatos","given":"Theodoros G."},{"family":"Kossida","given":"Sophia"},{"family":"Aerts","given":"Jan"},{"family":"Schneider","given":"Reinhard"},{"family":"Bagos","given":"Pantelis G."}],"issued":{"date-parts":[["2011",4,28]]}}}],"schema":"https://github.com/citation-style-language/schema/raw/master/csl-citation.json"} </w:instrText>
      </w:r>
      <w:r>
        <w:fldChar w:fldCharType="separate"/>
      </w:r>
      <w:r w:rsidR="00644EFE" w:rsidRPr="00644EFE">
        <w:rPr>
          <w:rFonts w:ascii="Times New Roman" w:hAnsi="Times New Roman"/>
          <w:vertAlign w:val="superscript"/>
        </w:rPr>
        <w:t>19,23</w:t>
      </w:r>
      <w:r>
        <w:fldChar w:fldCharType="end"/>
      </w:r>
      <w:r>
        <w:t xml:space="preserve">. The weight often denotes the importance or the reliability of the connection nodes </w:t>
      </w:r>
      <w:r>
        <w:fldChar w:fldCharType="begin"/>
      </w:r>
      <w:r w:rsidR="00644EFE">
        <w:instrText xml:space="preserve"> ADDIN ZOTERO_ITEM CSL_CITATION {"citationID":"fYoH1QK9","properties":{"formattedCitation":"\\super 19,23\\nosupersub{}","plainCitation":"19,23","noteIndex":0},"citationItems":[{"id":"95wkc4X2/ymh93WYS","uris":["http://zotero.org/users/7931734/items/5PVU6EG9"],"itemData":{"id":4359,"type":"article-journal","container-title":"Frontiers in Bioengineering and Biotechnology","DOI":"10.3389/fbioe.2020.00034","ISSN":"2296-4185","journalAbbreviation":"Front. Bioeng. Biotechnol.","page":"34","source":"DOI.org (Crossref)","title":"A Guide to Conquer the Biological Network Era Using Graph Theory","volume":"8","author":[{"family":"Koutrouli","given":"Mikaela"},{"family":"Karatzas","given":"Evangelos"},{"family":"Paez-Espino","given":"David"},{"family":"Pavlopoulos","given":"Georgios A."}],"issued":{"date-parts":[["2020",1,31]]}}},{"id":"95wkc4X2/8DvZHuLW","uris":["http://zotero.org/users/7931734/items/TP9E29WJ"],"itemData":{"id":10910,"type":"article-journal","abstract":"Understanding complex systems often requires a bottom-up analysis towards a systems biology approach. The need to investigate a system, not only as individual components but as a whole, emerges. This can be done by examining the elementary constituents individually and then how these are connected. The myriad components of a system and their interactions are best characterized as networks and they are mainly represented as graphs where thousands of nodes are connected with thousands of vertices. In this article we demonstrate approaches, models and methods from the graph theory universe and we discuss ways in which they can be used to reveal hidden properties and features of a network. This network profiling combined with knowledge extraction will help us to better understand the biological significance of the system.","container-title":"BioData Mining","DOI":"10/bggzw9","ISSN":"1756-0381","issue":"1","journalAbbreviation":"BioData Mining","page":"10","source":"BioMed Central","title":"Using graph theory to analyze biological networks","volume":"4","author":[{"family":"Pavlopoulos","given":"Georgios A."},{"family":"Secrier","given":"Maria"},{"family":"Moschopoulos","given":"Charalampos N."},{"family":"Soldatos","given":"Theodoros G."},{"family":"Kossida","given":"Sophia"},{"family":"Aerts","given":"Jan"},{"family":"Schneider","given":"Reinhard"},{"family":"Bagos","given":"Pantelis G."}],"issued":{"date-parts":[["2011",4,28]]}}}],"schema":"https://github.com/citation-style-language/schema/raw/master/csl-citation.json"} </w:instrText>
      </w:r>
      <w:r>
        <w:fldChar w:fldCharType="separate"/>
      </w:r>
      <w:r w:rsidR="00644EFE" w:rsidRPr="00644EFE">
        <w:rPr>
          <w:rFonts w:ascii="Times New Roman" w:hAnsi="Times New Roman"/>
          <w:vertAlign w:val="superscript"/>
        </w:rPr>
        <w:t>19,23</w:t>
      </w:r>
      <w:r>
        <w:fldChar w:fldCharType="end"/>
      </w:r>
      <w:r>
        <w:t xml:space="preserve">. In figure 1, </w:t>
      </w:r>
      <m:oMath>
        <m:sSub>
          <m:sSubPr>
            <m:ctrlPr>
              <w:rPr>
                <w:rFonts w:ascii="Cambria Math" w:eastAsiaTheme="minorEastAsia" w:hAnsi="Cambria Math"/>
                <w:i/>
              </w:rPr>
            </m:ctrlPr>
          </m:sSubPr>
          <m:e>
            <m:r>
              <w:rPr>
                <w:rFonts w:ascii="Cambria Math" w:eastAsiaTheme="minorEastAsia" w:hAnsi="Cambria Math"/>
              </w:rPr>
              <m:t>E(v</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10</m:t>
            </m:r>
          </m:sub>
        </m:sSub>
        <m:r>
          <w:rPr>
            <w:rFonts w:ascii="Cambria Math" w:eastAsiaTheme="minorEastAsia" w:hAnsi="Cambria Math"/>
          </w:rPr>
          <m:t>,0.2)</m:t>
        </m:r>
      </m:oMath>
      <w:r>
        <w:rPr>
          <w:rFonts w:eastAsiaTheme="minorEastAsia"/>
        </w:rPr>
        <w:t xml:space="preserve"> is a weighted edge. The weight for all other edges, which are not shown, is assumed to be 1. </w:t>
      </w:r>
      <w:r>
        <w:t xml:space="preserve">Nodes that are connected together via edges are called </w:t>
      </w:r>
      <w:r>
        <w:rPr>
          <w:i/>
          <w:iCs/>
        </w:rPr>
        <w:t xml:space="preserve">adjacent </w:t>
      </w:r>
      <w:r>
        <w:t xml:space="preserve">or </w:t>
      </w:r>
      <w:r>
        <w:rPr>
          <w:i/>
          <w:iCs/>
        </w:rPr>
        <w:t xml:space="preserve">neighbor </w:t>
      </w:r>
      <w:r w:rsidRPr="003429DE">
        <w:t>nodes</w:t>
      </w:r>
      <w:r>
        <w:rPr>
          <w:i/>
          <w:iCs/>
        </w:rPr>
        <w:t>.</w:t>
      </w:r>
      <w:r w:rsidRPr="00AF4C4A">
        <w:t xml:space="preserve"> </w:t>
      </w:r>
      <w:r>
        <w:t xml:space="preserve">A </w:t>
      </w:r>
      <w:r w:rsidRPr="003166EE">
        <w:rPr>
          <w:i/>
          <w:iCs/>
        </w:rPr>
        <w:t>path</w:t>
      </w:r>
      <w:r>
        <w:t xml:space="preserve"> is a sequence of adjacent nodes and their edges from one node to another. If the beginning and the end of a path are identical, it is called a </w:t>
      </w:r>
      <w:r w:rsidRPr="003166EE">
        <w:rPr>
          <w:i/>
          <w:iCs/>
        </w:rPr>
        <w:t>cycle</w:t>
      </w:r>
      <w:r>
        <w:t xml:space="preserve"> </w:t>
      </w:r>
      <w:r>
        <w:fldChar w:fldCharType="begin"/>
      </w:r>
      <w:r w:rsidR="00644EFE">
        <w:instrText xml:space="preserve"> ADDIN ZOTERO_ITEM CSL_CITATION {"citationID":"Jo5RxWcc","properties":{"formattedCitation":"\\super 21\\nosupersub{}","plainCitation":"21","noteIndex":0},"citationItems":[{"id":"95wkc4X2/ZPKH5HMb","uris":["http://zotero.org/users/7931734/items/D57J4KZX"],"itemData":{"id":8325,"type":"article-journal","abstract":"Abstract Exploring relationships in complex datasets is one of the challenges in today’s big data era. The graph-based visualization approach, which integrates the advantages of graph analysis theory and visualization technologies and combines machine and human intelligence, has become an effective means for analyzing various relationships in complex datasets. In this paper, we first introduce a graph-based visual analytics model for associated data. Then, we summarize seven typical visualization methods for associated data according to their layout features, including their node-link diagram, adjacency matrix, hypergraph, flow diagram, graphs with geospatial information, multi-attribute graph, and space-filling diagram and discuss their advantages and disadvantages. We describe current graph simplification and interaction techniques, including graph filtering, node clustering, edge bundling, graph data dimension reduction, and topology-based graph transformation. Finally, we discuss the potential challenges and developmental trends of the research direction. Graphical abstract","container-title":"Journal of Visualization","DOI":"10.1007/s12650-019-00551-y","ISSN":"1875-8975","issue":"3","journalAbbreviation":"J Vis","language":"en","note":"Company: Springer\nDistributor: Springer\nInstitution: Springer\nLabel: Springer\nnumber: 3\npublisher: Springer Berlin Heidelberg","page":"625-639","source":"link.springer.com","title":"A survey on visualization approaches for exploring association relationships in graph data","volume":"22","author":[{"family":"Chen","given":"Yi"},{"family":"Guan","given":"Zeli"},{"family":"Zhang","given":"Rong"},{"family":"Du","given":"Xiaomin"},{"family":"Wang","given":"Yunhai"}],"issued":{"date-parts":[["2019",6,1]]}}}],"schema":"https://github.com/citation-style-language/schema/raw/master/csl-citation.json"} </w:instrText>
      </w:r>
      <w:r>
        <w:fldChar w:fldCharType="separate"/>
      </w:r>
      <w:r w:rsidR="00644EFE" w:rsidRPr="00644EFE">
        <w:rPr>
          <w:rFonts w:ascii="Times New Roman" w:hAnsi="Times New Roman"/>
          <w:vertAlign w:val="superscript"/>
        </w:rPr>
        <w:t>21</w:t>
      </w:r>
      <w:r>
        <w:fldChar w:fldCharType="end"/>
      </w:r>
      <w:r>
        <w:t xml:space="preserve">, such as </w:t>
      </w:r>
      <m:oMath>
        <m:sSub>
          <m:sSubPr>
            <m:ctrlPr>
              <w:rPr>
                <w:rFonts w:ascii="Cambria Math" w:eastAsiaTheme="minorEastAsia" w:hAnsi="Cambria Math"/>
                <w:i/>
              </w:rPr>
            </m:ctrlPr>
          </m:sSubPr>
          <m:e>
            <m:r>
              <w:rPr>
                <w:rFonts w:ascii="Cambria Math" w:eastAsiaTheme="minorEastAsia" w:hAnsi="Cambria Math"/>
              </w:rPr>
              <m:t>E(v</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13</m:t>
            </m:r>
          </m:sub>
        </m:sSub>
        <m:r>
          <w:rPr>
            <w:rFonts w:ascii="Cambria Math" w:eastAsiaTheme="minorEastAsia" w:hAnsi="Cambria Math"/>
          </w:rPr>
          <m:t>)</m:t>
        </m:r>
      </m:oMath>
      <w:r>
        <w:rPr>
          <w:rFonts w:eastAsiaTheme="minorEastAsia"/>
        </w:rPr>
        <w:t xml:space="preserve"> in figure 1. </w:t>
      </w:r>
      <w:r>
        <w:t xml:space="preserve">A graph with at least one cycle is called a </w:t>
      </w:r>
      <w:r>
        <w:rPr>
          <w:i/>
          <w:iCs/>
        </w:rPr>
        <w:t xml:space="preserve">cyclic </w:t>
      </w:r>
      <w:r>
        <w:t xml:space="preserve">graph, as opposed to an </w:t>
      </w:r>
      <w:r>
        <w:rPr>
          <w:i/>
          <w:iCs/>
        </w:rPr>
        <w:t xml:space="preserve">acyclic </w:t>
      </w:r>
      <w:r>
        <w:t xml:space="preserve">graph. A </w:t>
      </w:r>
      <w:r>
        <w:rPr>
          <w:i/>
          <w:iCs/>
        </w:rPr>
        <w:t>Tree</w:t>
      </w:r>
      <w:r>
        <w:t xml:space="preserve"> is a well-known example of an acyclic graph, which is used extensively in machine learning models. Interestingly, a graph can be modeled as a matrix, called an </w:t>
      </w:r>
      <w:r w:rsidRPr="00931A2C">
        <w:rPr>
          <w:i/>
          <w:iCs/>
        </w:rPr>
        <w:t>adjacency matrix</w:t>
      </w:r>
      <w:r>
        <w:t>, whose rows and columns represent graph vertices with each element showing their relationship, either as 1 or 0 (existence of an edge), or in case of a weighted graph, as a real number showing the weight of that edge.</w:t>
      </w:r>
    </w:p>
    <w:p w14:paraId="181D7F81" w14:textId="0CAEC292" w:rsidR="008257EA" w:rsidRDefault="008257EA" w:rsidP="008257EA">
      <w:pPr>
        <w:pStyle w:val="Heading2"/>
      </w:pPr>
      <w:r>
        <w:t>3.2. Preprocessing</w:t>
      </w:r>
    </w:p>
    <w:p w14:paraId="3EB12C63" w14:textId="4BBBF531" w:rsidR="008257EA" w:rsidRDefault="008257EA" w:rsidP="008257EA">
      <w:r>
        <w:t xml:space="preserve">In most cases, even after transforming the data into a machine-readable format, it is still far from ready to be used for analysis. Depending on the data, the analyst will choose a proper approach for </w:t>
      </w:r>
      <w:r>
        <w:rPr>
          <w:i/>
          <w:iCs/>
        </w:rPr>
        <w:t>preprocessing</w:t>
      </w:r>
      <w:r>
        <w:t xml:space="preserve"> the data into the final input to train the </w:t>
      </w:r>
      <w:r w:rsidRPr="003D7428">
        <w:t xml:space="preserve">ML model </w:t>
      </w:r>
      <w:r w:rsidRPr="003D7428">
        <w:fldChar w:fldCharType="begin"/>
      </w:r>
      <w:r w:rsidR="00644EFE">
        <w:instrText xml:space="preserve"> ADDIN ZOTERO_ITEM CSL_CITATION {"citationID":"E0IfJoB2","properties":{"formattedCitation":"\\super 24\\uc0\\u8211{}26\\nosupersub{}","plainCitation":"24–26","noteIndex":0},"citationItems":[{"id":424,"uris":["http://zotero.org/users/7931734/items/MKT8CQ2J"],"itemData":{"id":424,"type":"article-journal","abstract":"Knowledge Discovery in Databases (KDD) has become a very attractive discipline both for research and industry within last few years. Its goal is to extract pieces of knowledge or ‘patterns’ from usually very large databases. It portrays a robust sequ","container-title":"Intelligent Data Analysis","DOI":"10.3233/ida-2000-43-413","ISSN":"1088-467X","issue":"3-4","language":"en","note":"publisher: IOS Press","page":"363-374","source":"content.iospress.com","title":"From machine learning to knowledge discovery: Survey of preprocessing and postprocessing","title-short":"From machine learning to knowledge discovery","volume":"4","author":[{"family":"Bruha","given":"Ivan"}],"issued":{"date-parts":[["2000",1,1]]}}},{"id":277,"uris":["http://zotero.org/users/7931734/items/ASYINNSY"],"itemData":{"id":277,"type":"article-journal","container-title":"International Journal of Engineering Applied Sciences and Technology","DOI":"10.33564/ijeast.2020.v05i03.069","ISSN":"24552143","issue":"3","journalAbbreviation":"IJEAST","page":"431-438","source":"DOI.org (Crossref)","title":"A Comparative Study Between Various Preprocessing Techniques for Machine Learning","volume":"5","author":[{"family":"Rao","given":"Shruti"},{"family":"Poojary","given":"Prathiksha"},{"family":"Somaiya","given":"Jigar"},{"family":"Mahajan","given":"Pranita"}],"issued":{"date-parts":[["2020",7,31]]}}},{"id":347,"uris":["http://zotero.org/users/7931734/items/8E7ADFCU"],"itemData":{"id":347,"type":"article-journal","abstract":"This paper first provides an overview of data preprocessing, focusing on problems of real world data. These are primarily problems that have to be carefully understood and solved before any data analysis process can start. The paper discusses in deta","container-title":"Intelligent Data Analysis","DOI":"10.3233/ida-1997-1102","ISSN":"1088-467X","issue":"1","language":"en","note":"publisher: IOS Press","page":"3-23","source":"content.iospress.com","title":"Data Preprocessing and Intelligent Data Analysis","volume":"1","author":[{"family":"Famili","given":"A."},{"family":"Shen","given":"Wei-Min"},{"family":"Weber","given":"Richard"},{"family":"Simoudis","given":"Evangelos"}],"issued":{"date-parts":[["1997",1,1]]}}}],"schema":"https://github.com/citation-style-language/schema/raw/master/csl-citation.json"} </w:instrText>
      </w:r>
      <w:r w:rsidRPr="003D7428">
        <w:fldChar w:fldCharType="separate"/>
      </w:r>
      <w:r w:rsidR="00644EFE" w:rsidRPr="00644EFE">
        <w:rPr>
          <w:rFonts w:ascii="Times New Roman" w:hAnsi="Times New Roman"/>
          <w:vertAlign w:val="superscript"/>
        </w:rPr>
        <w:t>24–26</w:t>
      </w:r>
      <w:r w:rsidRPr="003D7428">
        <w:fldChar w:fldCharType="end"/>
      </w:r>
      <w:r w:rsidRPr="003D7428">
        <w:t xml:space="preserve">. </w:t>
      </w:r>
      <w:r>
        <w:t xml:space="preserve">Most analysts might try exploring or visualizing the data first to better understand its characteristics. Usually, </w:t>
      </w:r>
      <w:r w:rsidRPr="003D7428">
        <w:t>data preprocessing is not a “one-time task”;</w:t>
      </w:r>
      <w:r>
        <w:t xml:space="preserve"> as the analyst receives feedback in the various stages of </w:t>
      </w:r>
      <w:r>
        <w:lastRenderedPageBreak/>
        <w:t xml:space="preserve">the pipeline, alternative processing techniques may be applied to the dataset in order to get the desired data quality </w:t>
      </w:r>
      <w:r>
        <w:fldChar w:fldCharType="begin"/>
      </w:r>
      <w:r w:rsidR="00644EFE">
        <w:instrText xml:space="preserve"> ADDIN ZOTERO_ITEM CSL_CITATION {"citationID":"sykdsGit","properties":{"formattedCitation":"\\super 26\\nosupersub{}","plainCitation":"26","noteIndex":0},"citationItems":[{"id":347,"uris":["http://zotero.org/users/7931734/items/8E7ADFCU"],"itemData":{"id":347,"type":"article-journal","abstract":"This paper first provides an overview of data preprocessing, focusing on problems of real world data. These are primarily problems that have to be carefully understood and solved before any data analysis process can start. The paper discusses in deta","container-title":"Intelligent Data Analysis","DOI":"10.3233/ida-1997-1102","ISSN":"1088-467X","issue":"1","language":"en","note":"publisher: IOS Press","page":"3-23","source":"content.iospress.com","title":"Data Preprocessing and Intelligent Data Analysis","volume":"1","author":[{"family":"Famili","given":"A."},{"family":"Shen","given":"Wei-Min"},{"family":"Weber","given":"Richard"},{"family":"Simoudis","given":"Evangelos"}],"issued":{"date-parts":[["1997",1,1]]}}}],"schema":"https://github.com/citation-style-language/schema/raw/master/csl-citation.json"} </w:instrText>
      </w:r>
      <w:r>
        <w:fldChar w:fldCharType="separate"/>
      </w:r>
      <w:r w:rsidR="00644EFE" w:rsidRPr="00644EFE">
        <w:rPr>
          <w:rFonts w:ascii="Times New Roman" w:hAnsi="Times New Roman"/>
          <w:vertAlign w:val="superscript"/>
        </w:rPr>
        <w:t>26</w:t>
      </w:r>
      <w:r>
        <w:fldChar w:fldCharType="end"/>
      </w:r>
      <w:r>
        <w:t>.</w:t>
      </w:r>
      <w:r w:rsidRPr="00F643F4">
        <w:t xml:space="preserve"> </w:t>
      </w:r>
      <w:r>
        <w:t xml:space="preserve">Despite being time-consuming and labor-intensive, data preprocessing is a vital stage that should not be taken lightly, as it will directly affect the quality of the constructed model </w:t>
      </w:r>
      <w:r>
        <w:fldChar w:fldCharType="begin"/>
      </w:r>
      <w:r w:rsidR="00644EFE">
        <w:instrText xml:space="preserve"> ADDIN ZOTERO_ITEM CSL_CITATION {"citationID":"RPTTPLKS","properties":{"formattedCitation":"\\super 25\\nosupersub{}","plainCitation":"25","noteIndex":0},"citationItems":[{"id":277,"uris":["http://zotero.org/users/7931734/items/ASYINNSY"],"itemData":{"id":277,"type":"article-journal","container-title":"International Journal of Engineering Applied Sciences and Technology","DOI":"10.33564/ijeast.2020.v05i03.069","ISSN":"24552143","issue":"3","journalAbbreviation":"IJEAST","page":"431-438","source":"DOI.org (Crossref)","title":"A Comparative Study Between Various Preprocessing Techniques for Machine Learning","volume":"5","author":[{"family":"Rao","given":"Shruti"},{"family":"Poojary","given":"Prathiksha"},{"family":"Somaiya","given":"Jigar"},{"family":"Mahajan","given":"Pranita"}],"issued":{"date-parts":[["2020",7,31]]}}}],"schema":"https://github.com/citation-style-language/schema/raw/master/csl-citation.json"} </w:instrText>
      </w:r>
      <w:r>
        <w:fldChar w:fldCharType="separate"/>
      </w:r>
      <w:r w:rsidR="00644EFE" w:rsidRPr="00644EFE">
        <w:rPr>
          <w:rFonts w:ascii="Times New Roman" w:hAnsi="Times New Roman"/>
          <w:vertAlign w:val="superscript"/>
        </w:rPr>
        <w:t>25</w:t>
      </w:r>
      <w:r>
        <w:fldChar w:fldCharType="end"/>
      </w:r>
      <w:r>
        <w:t xml:space="preserve">. To that end, many techniques are available to reduce or summarize the dataset for faster and easier computation </w:t>
      </w:r>
      <w:r>
        <w:fldChar w:fldCharType="begin"/>
      </w:r>
      <w:r w:rsidR="00644EFE">
        <w:instrText xml:space="preserve"> ADDIN ZOTERO_ITEM CSL_CITATION {"citationID":"Kjo98dir","properties":{"formattedCitation":"\\super 25,26\\nosupersub{}","plainCitation":"25,26","noteIndex":0},"citationItems":[{"id":277,"uris":["http://zotero.org/users/7931734/items/ASYINNSY"],"itemData":{"id":277,"type":"article-journal","container-title":"International Journal of Engineering Applied Sciences and Technology","DOI":"10.33564/ijeast.2020.v05i03.069","ISSN":"24552143","issue":"3","journalAbbreviation":"IJEAST","page":"431-438","source":"DOI.org (Crossref)","title":"A Comparative Study Between Various Preprocessing Techniques for Machine Learning","volume":"5","author":[{"family":"Rao","given":"Shruti"},{"family":"Poojary","given":"Prathiksha"},{"family":"Somaiya","given":"Jigar"},{"family":"Mahajan","given":"Pranita"}],"issued":{"date-parts":[["2020",7,31]]}}},{"id":347,"uris":["http://zotero.org/users/7931734/items/8E7ADFCU"],"itemData":{"id":347,"type":"article-journal","abstract":"This paper first provides an overview of data preprocessing, focusing on problems of real world data. These are primarily problems that have to be carefully understood and solved before any data analysis process can start. The paper discusses in deta","container-title":"Intelligent Data Analysis","DOI":"10.3233/ida-1997-1102","ISSN":"1088-467X","issue":"1","language":"en","note":"publisher: IOS Press","page":"3-23","source":"content.iospress.com","title":"Data Preprocessing and Intelligent Data Analysis","volume":"1","author":[{"family":"Famili","given":"A."},{"family":"Shen","given":"Wei-Min"},{"family":"Weber","given":"Richard"},{"family":"Simoudis","given":"Evangelos"}],"issued":{"date-parts":[["1997",1,1]]}}}],"schema":"https://github.com/citation-style-language/schema/raw/master/csl-citation.json"} </w:instrText>
      </w:r>
      <w:r>
        <w:fldChar w:fldCharType="separate"/>
      </w:r>
      <w:r w:rsidR="00644EFE" w:rsidRPr="00644EFE">
        <w:rPr>
          <w:rFonts w:ascii="Times New Roman" w:hAnsi="Times New Roman"/>
          <w:vertAlign w:val="superscript"/>
        </w:rPr>
        <w:t>25,26</w:t>
      </w:r>
      <w:r>
        <w:fldChar w:fldCharType="end"/>
      </w:r>
      <w:r>
        <w:t xml:space="preserve">. Some of these methods, such as feature selection and dimensionality reduction, are discussed in the following sections. That being said, the preprocessing should preserve the inherent patterns present in the data, without introducing analyst-induced bias </w:t>
      </w:r>
      <w:r>
        <w:fldChar w:fldCharType="begin"/>
      </w:r>
      <w:r w:rsidR="00644EFE">
        <w:instrText xml:space="preserve"> ADDIN ZOTERO_ITEM CSL_CITATION {"citationID":"T0mmENro","properties":{"formattedCitation":"\\super 26\\nosupersub{}","plainCitation":"26","noteIndex":0},"citationItems":[{"id":347,"uris":["http://zotero.org/users/7931734/items/8E7ADFCU"],"itemData":{"id":347,"type":"article-journal","abstract":"This paper first provides an overview of data preprocessing, focusing on problems of real world data. These are primarily problems that have to be carefully understood and solved before any data analysis process can start. The paper discusses in deta","container-title":"Intelligent Data Analysis","DOI":"10.3233/ida-1997-1102","ISSN":"1088-467X","issue":"1","language":"en","note":"publisher: IOS Press","page":"3-23","source":"content.iospress.com","title":"Data Preprocessing and Intelligent Data Analysis","volume":"1","author":[{"family":"Famili","given":"A."},{"family":"Shen","given":"Wei-Min"},{"family":"Weber","given":"Richard"},{"family":"Simoudis","given":"Evangelos"}],"issued":{"date-parts":[["1997",1,1]]}}}],"schema":"https://github.com/citation-style-language/schema/raw/master/csl-citation.json"} </w:instrText>
      </w:r>
      <w:r>
        <w:fldChar w:fldCharType="separate"/>
      </w:r>
      <w:r w:rsidR="00644EFE" w:rsidRPr="00644EFE">
        <w:rPr>
          <w:rFonts w:ascii="Times New Roman" w:hAnsi="Times New Roman"/>
          <w:vertAlign w:val="superscript"/>
        </w:rPr>
        <w:t>26</w:t>
      </w:r>
      <w:r>
        <w:fldChar w:fldCharType="end"/>
      </w:r>
      <w:r>
        <w:t>.</w:t>
      </w:r>
    </w:p>
    <w:p w14:paraId="2E00B878" w14:textId="77777777" w:rsidR="008257EA" w:rsidRPr="00CE3069" w:rsidRDefault="008257EA" w:rsidP="008257EA">
      <w:r>
        <w:t>A frequently encountered problem, especially</w:t>
      </w:r>
      <w:r w:rsidRPr="007C4EDD">
        <w:t xml:space="preserve"> </w:t>
      </w:r>
      <w:r>
        <w:t xml:space="preserve">when the data is initially entered into spreadsheets or statistical software (e.g., IBM SPSS), is that variable classes are represented using strings (class 1, class 2, etc.) or integers (1, 2, etc., sometimes called </w:t>
      </w:r>
      <w:r>
        <w:rPr>
          <w:i/>
          <w:iCs/>
        </w:rPr>
        <w:t>label encoding</w:t>
      </w:r>
      <w:r>
        <w:t>). This is particularly problematic when dealing with multi-class nominal predictors such as nationality, as the algorithm tries to find a model based on the inputs’</w:t>
      </w:r>
      <w:r w:rsidRPr="00A62461">
        <w:t xml:space="preserve"> </w:t>
      </w:r>
      <w:r>
        <w:t>numerical values</w:t>
      </w:r>
      <w:r w:rsidRPr="00A62461">
        <w:t xml:space="preserve"> </w:t>
      </w:r>
      <w:r>
        <w:t xml:space="preserve">and therefore assumes a ranking (or some other relationship) between them when none exists </w:t>
      </w:r>
      <w:r>
        <w:footnoteReference w:id="2"/>
      </w:r>
      <w:r>
        <w:t xml:space="preserve">. This input invariably leads to an inaccurate model if used directly without preprocessing. Otherwise, </w:t>
      </w:r>
      <w:r>
        <w:rPr>
          <w:i/>
          <w:iCs/>
        </w:rPr>
        <w:t>one-hot encoding</w:t>
      </w:r>
      <w:r>
        <w:t xml:space="preserve">, also known as </w:t>
      </w:r>
      <w:r>
        <w:rPr>
          <w:i/>
          <w:iCs/>
        </w:rPr>
        <w:t>dummy coding</w:t>
      </w:r>
      <w:r>
        <w:t xml:space="preserve">, is often employed that denotes membership of a class (or lack thereof) using 1 or 0. Therefore, a discrete variable with </w:t>
      </w:r>
      <w:r>
        <w:rPr>
          <w:i/>
          <w:iCs/>
        </w:rPr>
        <w:t>m</w:t>
      </w:r>
      <w:r>
        <w:t xml:space="preserve"> classes is transformed into </w:t>
      </w:r>
      <w:r>
        <w:rPr>
          <w:i/>
          <w:iCs/>
        </w:rPr>
        <w:t>m</w:t>
      </w:r>
      <w:r>
        <w:t xml:space="preserve"> binary variables </w:t>
      </w:r>
      <w:r>
        <w:footnoteReference w:id="3"/>
      </w:r>
      <w:r>
        <w:t>.</w:t>
      </w:r>
    </w:p>
    <w:p w14:paraId="6CB199A6" w14:textId="7C17C800" w:rsidR="008257EA" w:rsidRPr="00B62A0C" w:rsidRDefault="008257EA" w:rsidP="008257EA">
      <w:pPr>
        <w:rPr>
          <w:rFonts w:eastAsiaTheme="minorEastAsia"/>
        </w:rPr>
      </w:pPr>
      <w:r>
        <w:t xml:space="preserve">Moreover, different features are usually measured in different units so their range can differ drastically, with one feature in millions and another one in </w:t>
      </w:r>
      <w:r w:rsidRPr="004B4F48">
        <w:t xml:space="preserve">fractions </w:t>
      </w:r>
      <w:r w:rsidRPr="004B4F48">
        <w:fldChar w:fldCharType="begin"/>
      </w:r>
      <w:r w:rsidR="00644EFE">
        <w:instrText xml:space="preserve"> ADDIN ZOTERO_ITEM CSL_CITATION {"citationID":"FbRkxmPI","properties":{"formattedCitation":"\\super 25\\nosupersub{}","plainCitation":"25","noteIndex":0},"citationItems":[{"id":277,"uris":["http://zotero.org/users/7931734/items/ASYINNSY"],"itemData":{"id":277,"type":"article-journal","container-title":"International Journal of Engineering Applied Sciences and Technology","DOI":"10.33564/ijeast.2020.v05i03.069","ISSN":"24552143","issue":"3","journalAbbreviation":"IJEAST","page":"431-438","source":"DOI.org (Crossref)","title":"A Comparative Study Between Various Preprocessing Techniques for Machine Learning","volume":"5","author":[{"family":"Rao","given":"Shruti"},{"family":"Poojary","given":"Prathiksha"},{"family":"Somaiya","given":"Jigar"},{"family":"Mahajan","given":"Pranita"}],"issued":{"date-parts":[["2020",7,31]]}}}],"schema":"https://github.com/citation-style-language/schema/raw/master/csl-citation.json"} </w:instrText>
      </w:r>
      <w:r w:rsidRPr="004B4F48">
        <w:fldChar w:fldCharType="separate"/>
      </w:r>
      <w:r w:rsidR="00644EFE" w:rsidRPr="00644EFE">
        <w:rPr>
          <w:rFonts w:ascii="Times New Roman" w:hAnsi="Times New Roman"/>
          <w:vertAlign w:val="superscript"/>
        </w:rPr>
        <w:t>25</w:t>
      </w:r>
      <w:r w:rsidRPr="004B4F48">
        <w:fldChar w:fldCharType="end"/>
      </w:r>
      <w:r w:rsidRPr="004B4F48">
        <w:t xml:space="preserve">. While some ML models such as decision trees are insensitive to </w:t>
      </w:r>
      <w:r>
        <w:t>variations in measurement</w:t>
      </w:r>
      <w:r w:rsidRPr="004B4F48">
        <w:t>, others such as k-nearest neighbors tend to favor larger numbers, ending up in an inaccurate model. This can</w:t>
      </w:r>
      <w:r>
        <w:t xml:space="preserve"> be avoided by </w:t>
      </w:r>
      <w:r>
        <w:rPr>
          <w:i/>
          <w:iCs/>
        </w:rPr>
        <w:t>scaling</w:t>
      </w:r>
      <w:r>
        <w:t xml:space="preserve"> to minimize the effects of different measurement while preserving the relationships between the data. This is usually done through </w:t>
      </w:r>
      <w:r>
        <w:rPr>
          <w:i/>
          <w:iCs/>
        </w:rPr>
        <w:t xml:space="preserve">normalization </w:t>
      </w:r>
      <w:r>
        <w:t xml:space="preserve">by transferring data points into a smaller range </w:t>
      </w:r>
      <w:r>
        <w:rPr>
          <w:rFonts w:eastAsiaTheme="minorEastAsia"/>
        </w:rPr>
        <w:fldChar w:fldCharType="begin"/>
      </w:r>
      <w:r w:rsidR="00644EFE">
        <w:rPr>
          <w:rFonts w:eastAsiaTheme="minorEastAsia"/>
        </w:rPr>
        <w:instrText xml:space="preserve"> ADDIN ZOTERO_ITEM CSL_CITATION {"citationID":"jEx5NhYS","properties":{"formattedCitation":"\\super 25\\nosupersub{}","plainCitation":"25","noteIndex":0},"citationItems":[{"id":277,"uris":["http://zotero.org/users/7931734/items/ASYINNSY"],"itemData":{"id":277,"type":"article-journal","container-title":"International Journal of Engineering Applied Sciences and Technology","DOI":"10.33564/ijeast.2020.v05i03.069","ISSN":"24552143","issue":"3","journalAbbreviation":"IJEAST","page":"431-438","source":"DOI.org (Crossref)","title":"A Comparative Study Between Various Preprocessing Techniques for Machine Learning","volume":"5","author":[{"family":"Rao","given":"Shruti"},{"family":"Poojary","given":"Prathiksha"},{"family":"Somaiya","given":"Jigar"},{"family":"Mahajan","given":"Pranita"}],"issued":{"date-parts":[["2020",7,31]]}}}],"schema":"https://github.com/citation-style-language/schema/raw/master/csl-citation.json"} </w:instrText>
      </w:r>
      <w:r>
        <w:rPr>
          <w:rFonts w:eastAsiaTheme="minorEastAsia"/>
        </w:rPr>
        <w:fldChar w:fldCharType="separate"/>
      </w:r>
      <w:r w:rsidR="00644EFE" w:rsidRPr="00644EFE">
        <w:rPr>
          <w:rFonts w:ascii="Times New Roman" w:hAnsi="Times New Roman"/>
          <w:vertAlign w:val="superscript"/>
        </w:rPr>
        <w:t>25</w:t>
      </w:r>
      <w:r>
        <w:rPr>
          <w:rFonts w:eastAsiaTheme="minorEastAsia"/>
        </w:rPr>
        <w:fldChar w:fldCharType="end"/>
      </w:r>
      <w:r>
        <w:t xml:space="preserve">. In </w:t>
      </w:r>
      <w:r>
        <w:rPr>
          <w:i/>
          <w:iCs/>
        </w:rPr>
        <w:t>min-max scaling</w:t>
      </w:r>
      <w:r>
        <w:t xml:space="preserve">, the data is transformed to the range [0, 1] using </w:t>
      </w:r>
      <m:oMath>
        <m:sSub>
          <m:sSubPr>
            <m:ctrlPr>
              <w:rPr>
                <w:rFonts w:ascii="Cambria Math" w:hAnsi="Cambria Math"/>
                <w:i/>
              </w:rPr>
            </m:ctrlPr>
          </m:sSubPr>
          <m:e>
            <m:r>
              <w:rPr>
                <w:rFonts w:ascii="Cambria Math" w:hAnsi="Cambria Math"/>
              </w:rPr>
              <m:t>x</m:t>
            </m:r>
          </m:e>
          <m:sub>
            <m:r>
              <w:rPr>
                <w:rFonts w:ascii="Cambria Math" w:hAnsi="Cambria Math"/>
              </w:rPr>
              <m:t>new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oMath>
      <w:r>
        <w:rPr>
          <w:rFonts w:eastAsiaTheme="minorEastAsia"/>
        </w:rPr>
        <w:t xml:space="preserve">. </w:t>
      </w:r>
      <w:r>
        <w:rPr>
          <w:i/>
          <w:iCs/>
        </w:rPr>
        <w:t>Standardization</w:t>
      </w:r>
      <w:r>
        <w:t xml:space="preserve">, also known as </w:t>
      </w:r>
      <w:r w:rsidRPr="00FC7434">
        <w:rPr>
          <w:i/>
          <w:iCs/>
        </w:rPr>
        <w:t>z-score normalization</w:t>
      </w:r>
      <w:r>
        <w:t xml:space="preserve"> transforms the data into a normal (Gaussian) distribution using its mean </w:t>
      </w:r>
      <m:oMath>
        <m:r>
          <w:rPr>
            <w:rFonts w:ascii="Cambria Math" w:hAnsi="Cambria Math"/>
          </w:rPr>
          <m:t>μ</m:t>
        </m:r>
      </m:oMath>
      <w:r>
        <w:t xml:space="preserve"> </w:t>
      </w:r>
      <w:r>
        <w:rPr>
          <w:rFonts w:eastAsiaTheme="minorEastAsia"/>
        </w:rPr>
        <w:t>and stand</w:t>
      </w:r>
      <w:r>
        <w:rPr>
          <w:rFonts w:eastAsiaTheme="minorEastAsia"/>
          <w:lang w:bidi="fa-IR"/>
        </w:rPr>
        <w:t xml:space="preserve">ard deviation </w:t>
      </w:r>
      <m:oMath>
        <m:r>
          <w:rPr>
            <w:rFonts w:ascii="Cambria Math" w:hAnsi="Cambria Math"/>
          </w:rPr>
          <m:t>σ</m:t>
        </m:r>
      </m:oMath>
      <w:r>
        <w:rPr>
          <w:rFonts w:eastAsiaTheme="minorEastAsia"/>
        </w:rPr>
        <w:t xml:space="preserve"> as </w:t>
      </w:r>
      <w:r>
        <w:t xml:space="preserve"> </w:t>
      </w:r>
      <m:oMath>
        <m:sSub>
          <m:sSubPr>
            <m:ctrlPr>
              <w:rPr>
                <w:rFonts w:ascii="Cambria Math" w:hAnsi="Cambria Math"/>
                <w:i/>
              </w:rPr>
            </m:ctrlPr>
          </m:sSubPr>
          <m:e>
            <m:r>
              <w:rPr>
                <w:rFonts w:ascii="Cambria Math" w:hAnsi="Cambria Math"/>
              </w:rPr>
              <m:t>x</m:t>
            </m:r>
          </m:e>
          <m:sub>
            <m:r>
              <w:rPr>
                <w:rFonts w:ascii="Cambria Math" w:hAnsi="Cambria Math"/>
              </w:rPr>
              <m:t>new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num>
          <m:den>
            <m:r>
              <w:rPr>
                <w:rFonts w:ascii="Cambria Math" w:hAnsi="Cambria Math"/>
              </w:rPr>
              <m:t>σ</m:t>
            </m:r>
          </m:den>
        </m:f>
      </m:oMath>
      <w:r>
        <w:rPr>
          <w:rFonts w:eastAsiaTheme="minorEastAsia"/>
        </w:rPr>
        <w:t>.</w:t>
      </w:r>
    </w:p>
    <w:p w14:paraId="74606F23" w14:textId="105152E6" w:rsidR="008257EA" w:rsidRPr="00FC7434" w:rsidRDefault="008257EA" w:rsidP="008257EA">
      <w:r>
        <w:t xml:space="preserve">Real-life datasets such as EHRs are often incomplete and contain many missing data that will make model less accurate </w:t>
      </w:r>
      <w:r>
        <w:fldChar w:fldCharType="begin"/>
      </w:r>
      <w:r w:rsidR="00644EFE">
        <w:instrText xml:space="preserve"> ADDIN ZOTERO_ITEM CSL_CITATION {"citationID":"lVUS6818","properties":{"formattedCitation":"\\super 26,27\\nosupersub{}","plainCitation":"26,27","noteIndex":0},"citationItems":[{"id":347,"uris":["http://zotero.org/users/7931734/items/8E7ADFCU"],"itemData":{"id":347,"type":"article-journal","abstract":"This paper first provides an overview of data preprocessing, focusing on problems of real world data. These are primarily problems that have to be carefully understood and solved before any data analysis process can start. The paper discusses in deta","container-title":"Intelligent Data Analysis","DOI":"10.3233/ida-1997-1102","ISSN":"1088-467X","issue":"1","language":"en","note":"publisher: IOS Press","page":"3-23","source":"content.iospress.com","title":"Data Preprocessing and Intelligent Data Analysis","volume":"1","author":[{"family":"Famili","given":"A."},{"family":"Shen","given":"Wei-Min"},{"family":"Weber","given":"Richard"},{"family":"Simoudis","given":"Evangelos"}],"issued":{"date-parts":[["1997",1,1]]}}},{"id":79,"uris":["http://zotero.org/users/7931734/items/FE9P7R7Z"],"itemData":{"id":79,"type":"article-journal","abstract":"Coincident with the tsunami of COVID-19-related publications, there has been a surge of studies using real-world data, including those obtained from the electronic health record (EHR). Unfortunately, several of these high-profile publications were retracted because of concerns regarding the soundnes …","container-title":"Journal of medical Internet research","DOI":"10.2196/22219","ISSN":"1438-8871","issue":"3","language":"en","note":"publisher: J Med Internet Res\nPMID: 33600347","source":"pubmed.ncbi.nlm.nih.gov","title":"What Every Reader Should Know About Studies Using Electronic Health Record Data but May Be Afraid to Ask","URL":"https://pubmed.ncbi.nlm.nih.gov/33600347/","volume":"23","author":[{"literal":"Kohane Is"},{"literal":"Aronow Bj"},{"literal":"Avillach P"},{"literal":"Beaulieu-Jones Bk"},{"literal":"Bellazzi R"},{"family":"Rl","given":"Bradford"},{"family":"Ga","given":"Brat"},{"family":"M","given":"Cannataro"},{"family":"Jj","given":"Cimino"},{"family":"N","given":"García-Barrio"},{"family":"N","given":"Gehlenborg"},{"family":"M","given":"Ghassemi"},{"family":"A","given":"Gutiérrez-Sacristán"},{"family":"Da","given":"Hanauer"},{"family":"Jh","given":"Holmes"},{"family":"C","given":"Hong"},{"family":"Jg","given":"Klann"},{"family":"Nhw","given":"Loh"},{"family":"Y","given":"Luo"},{"family":"Kd","given":"Mandl"},{"family":"M","given":"Daniar"},{"family":"Jh","given":"Moore"},{"family":"Sn","given":"Murphy"},{"family":"A","given":"Neuraz"},{"family":"Ky","given":"Ngiam"},{"family":"Gs","given":"Omenn"},{"family":"N","given":"Palmer"},{"family":"Lp","given":"Patel"},{"family":"M","given":"Pedrera-Jiménez"},{"family":"P","given":"Sliz"},{"family":"Am","given":"South"},{"family":"Alm","given":"Tan"},{"family":"Dm","given":"Taylor"},{"family":"Bw","given":"Taylor"},{"family":"C","given":"Torti"},{"family":"Ak","given":"Vallejos"},{"family":"Kb","given":"Wagholikar"},{"family":"Gm","given":"Weber"},{"family":"T","given":"Cai"}],"accessed":{"date-parts":[["2022",12,5]]},"issued":{"date-parts":[["2021",3,2]]}}}],"schema":"https://github.com/citation-style-language/schema/raw/master/csl-citation.json"} </w:instrText>
      </w:r>
      <w:r>
        <w:fldChar w:fldCharType="separate"/>
      </w:r>
      <w:r w:rsidR="00644EFE" w:rsidRPr="00644EFE">
        <w:rPr>
          <w:rFonts w:ascii="Times New Roman" w:hAnsi="Times New Roman"/>
          <w:vertAlign w:val="superscript"/>
        </w:rPr>
        <w:t>26,27</w:t>
      </w:r>
      <w:r>
        <w:fldChar w:fldCharType="end"/>
      </w:r>
      <w:r>
        <w:t>. Given that enough datapoints are available and the missing data do not alter the analysis outcome significantly, the cases with any missing data might be dropped altogether (</w:t>
      </w:r>
      <w:r>
        <w:rPr>
          <w:i/>
          <w:iCs/>
        </w:rPr>
        <w:t>list-wise deletion</w:t>
      </w:r>
      <w:r>
        <w:t>). As an alternative, the cases can be excluded from analysis of their missing features and be included in the analysis of other features (</w:t>
      </w:r>
      <w:r>
        <w:rPr>
          <w:i/>
          <w:iCs/>
        </w:rPr>
        <w:t>pair-wise deletion</w:t>
      </w:r>
      <w:r>
        <w:t>).</w:t>
      </w:r>
    </w:p>
    <w:p w14:paraId="5AF0835E" w14:textId="3E5EC4B3" w:rsidR="007316D6" w:rsidRDefault="008257EA" w:rsidP="009C4070">
      <w:r>
        <w:lastRenderedPageBreak/>
        <w:t xml:space="preserve">As much as missing data can undermine a model’s accuracy, fraudulent data points that are added as a result of  human or machine error, known as </w:t>
      </w:r>
      <w:r>
        <w:rPr>
          <w:i/>
          <w:iCs/>
        </w:rPr>
        <w:t xml:space="preserve">noise, </w:t>
      </w:r>
      <w:r>
        <w:t xml:space="preserve">can also interferes with its predictive ability </w:t>
      </w:r>
      <w:r>
        <w:rPr>
          <w:i/>
          <w:iCs/>
        </w:rPr>
        <w:fldChar w:fldCharType="begin"/>
      </w:r>
      <w:r w:rsidR="00644EFE">
        <w:rPr>
          <w:i/>
          <w:iCs/>
        </w:rPr>
        <w:instrText xml:space="preserve"> ADDIN ZOTERO_ITEM CSL_CITATION {"citationID":"Ngrd0o8Q","properties":{"formattedCitation":"\\super 7,26,28\\nosupersub{}","plainCitation":"7,26,28","noteIndex":0},"citationItems":[{"id":80,"uris":["http://zotero.org/users/7931734/items/WY9Z9PDD"],"itemData":{"id":80,"type":"webpage","container-title":"Google Developers","language":"en","title":"Machine Learning Glossary","URL":"https://developers.google.com/machine-learning/glossary","accessed":{"date-parts":[["2022",12,16]]},"issued":{"date-parts":[["2022",11,8]]}}},{"id":347,"uris":["http://zotero.org/users/7931734/items/8E7ADFCU"],"itemData":{"id":347,"type":"article-journal","abstract":"This paper first provides an overview of data preprocessing, focusing on problems of real world data. These are primarily problems that have to be carefully understood and solved before any data analysis process can start. The paper discusses in deta","container-title":"Intelligent Data Analysis","DOI":"10.3233/ida-1997-1102","ISSN":"1088-467X","issue":"1","language":"en","note":"publisher: IOS Press","page":"3-23","source":"content.iospress.com","title":"Data Preprocessing and Intelligent Data Analysis","volume":"1","author":[{"family":"Famili","given":"A."},{"family":"Shen","given":"Wei-Min"},{"family":"Weber","given":"Richard"},{"family":"Simoudis","given":"Evangelos"}],"issued":{"date-parts":[["1997",1,1]]}}},{"id":77,"uris":["http://zotero.org/users/7931734/items/3QTLILPW"],"itemData":{"id":77,"type":"chapter","abstract":"In this chapter, the reader will learn about methods for identifying outliers in a dataset, and how different methods can be compared.","container-title":"Secondary Analysis of Electronic Health Records","event-place":"Cham","ISBN":"978-3-319-43742-2","language":"en","note":"DOI: 10.1007/978-3-319-43742-2_14","page":"163-183","publisher":"Springer International Publishing","publisher-place":"Cham","source":"Springer Link","title":"Noise Versus Outliers","URL":"https://doi.org/10.1007/978-3-319-43742-2_14","author":[{"family":"Salgado","given":"Cátia M."},{"family":"Azevedo","given":"Carlos"},{"family":"Proença","given":"Hugo"},{"family":"Vieira","given":"Susana M."}],"editor":[{"literal":"MIT Critical Data"}],"accessed":{"date-parts":[["2022",12,16]]},"issued":{"date-parts":[["2016"]]}}}],"schema":"https://github.com/citation-style-language/schema/raw/master/csl-citation.json"} </w:instrText>
      </w:r>
      <w:r>
        <w:rPr>
          <w:i/>
          <w:iCs/>
        </w:rPr>
        <w:fldChar w:fldCharType="separate"/>
      </w:r>
      <w:r w:rsidR="00644EFE" w:rsidRPr="00644EFE">
        <w:rPr>
          <w:rFonts w:ascii="Times New Roman" w:hAnsi="Times New Roman"/>
          <w:vertAlign w:val="superscript"/>
        </w:rPr>
        <w:t>7,26,28</w:t>
      </w:r>
      <w:r>
        <w:rPr>
          <w:i/>
          <w:iCs/>
        </w:rPr>
        <w:fldChar w:fldCharType="end"/>
      </w:r>
      <w:r>
        <w:t xml:space="preserve">. Noise must be distinguished from </w:t>
      </w:r>
      <w:r>
        <w:rPr>
          <w:i/>
          <w:iCs/>
        </w:rPr>
        <w:t xml:space="preserve">outlier </w:t>
      </w:r>
      <w:r>
        <w:t xml:space="preserve">or </w:t>
      </w:r>
      <w:r>
        <w:rPr>
          <w:i/>
          <w:iCs/>
        </w:rPr>
        <w:t>anomaly</w:t>
      </w:r>
      <w:r>
        <w:t xml:space="preserve">. Outliers are data points that lie distant to most other data points, usually three standard deviation from the mean </w:t>
      </w:r>
      <w:r>
        <w:fldChar w:fldCharType="begin"/>
      </w:r>
      <w:r w:rsidR="00644EFE">
        <w:instrText xml:space="preserve"> ADDIN ZOTERO_ITEM CSL_CITATION {"citationID":"vd6yJ2gB","properties":{"formattedCitation":"\\super 7\\nosupersub{}","plainCitation":"7","noteIndex":0},"citationItems":[{"id":80,"uris":["http://zotero.org/users/7931734/items/WY9Z9PDD"],"itemData":{"id":80,"type":"webpage","container-title":"Google Developers","language":"en","title":"Machine Learning Glossary","URL":"https://developers.google.com/machine-learning/glossary","accessed":{"date-parts":[["2022",12,16]]},"issued":{"date-parts":[["2022",11,8]]}}}],"schema":"https://github.com/citation-style-language/schema/raw/master/csl-citation.json"} </w:instrText>
      </w:r>
      <w:r>
        <w:fldChar w:fldCharType="separate"/>
      </w:r>
      <w:r w:rsidR="00644EFE" w:rsidRPr="00644EFE">
        <w:rPr>
          <w:rFonts w:ascii="Times New Roman" w:hAnsi="Times New Roman"/>
          <w:vertAlign w:val="superscript"/>
        </w:rPr>
        <w:t>7</w:t>
      </w:r>
      <w:r>
        <w:fldChar w:fldCharType="end"/>
      </w:r>
      <w:r>
        <w:t xml:space="preserve">. While noise constitutes unwanted and faulty data, outliers can be genuine observations that provide important information about that instance </w:t>
      </w:r>
      <w:r>
        <w:fldChar w:fldCharType="begin"/>
      </w:r>
      <w:r w:rsidR="00644EFE">
        <w:instrText xml:space="preserve"> ADDIN ZOTERO_ITEM CSL_CITATION {"citationID":"oZatbh7p","properties":{"formattedCitation":"\\super 7,28\\nosupersub{}","plainCitation":"7,28","noteIndex":0},"citationItems":[{"id":80,"uris":["http://zotero.org/users/7931734/items/WY9Z9PDD"],"itemData":{"id":80,"type":"webpage","container-title":"Google Developers","language":"en","title":"Machine Learning Glossary","URL":"https://developers.google.com/machine-learning/glossary","accessed":{"date-parts":[["2022",12,16]]},"issued":{"date-parts":[["2022",11,8]]}}},{"id":77,"uris":["http://zotero.org/users/7931734/items/3QTLILPW"],"itemData":{"id":77,"type":"chapter","abstract":"In this chapter, the reader will learn about methods for identifying outliers in a dataset, and how different methods can be compared.","container-title":"Secondary Analysis of Electronic Health Records","event-place":"Cham","ISBN":"978-3-319-43742-2","language":"en","note":"DOI: 10.1007/978-3-319-43742-2_14","page":"163-183","publisher":"Springer International Publishing","publisher-place":"Cham","source":"Springer Link","title":"Noise Versus Outliers","URL":"https://doi.org/10.1007/978-3-319-43742-2_14","author":[{"family":"Salgado","given":"Cátia M."},{"family":"Azevedo","given":"Carlos"},{"family":"Proença","given":"Hugo"},{"family":"Vieira","given":"Susana M."}],"editor":[{"literal":"MIT Critical Data"}],"accessed":{"date-parts":[["2022",12,16]]},"issued":{"date-parts":[["2016"]]}}}],"schema":"https://github.com/citation-style-language/schema/raw/master/csl-citation.json"} </w:instrText>
      </w:r>
      <w:r>
        <w:fldChar w:fldCharType="separate"/>
      </w:r>
      <w:r w:rsidR="00644EFE" w:rsidRPr="00644EFE">
        <w:rPr>
          <w:rFonts w:ascii="Times New Roman" w:hAnsi="Times New Roman"/>
          <w:vertAlign w:val="superscript"/>
        </w:rPr>
        <w:t>7,28</w:t>
      </w:r>
      <w:r>
        <w:fldChar w:fldCharType="end"/>
      </w:r>
      <w:r>
        <w:t xml:space="preserve">. In fact, models for detecting such data in unknown cases (called </w:t>
      </w:r>
      <w:r>
        <w:rPr>
          <w:i/>
          <w:iCs/>
        </w:rPr>
        <w:t>novelty detection</w:t>
      </w:r>
      <w:r>
        <w:t xml:space="preserve">) have important use-cases in biomedicine, cybersecurity and fraud detection </w:t>
      </w:r>
      <w:r>
        <w:fldChar w:fldCharType="begin"/>
      </w:r>
      <w:r w:rsidR="00644EFE">
        <w:instrText xml:space="preserve"> ADDIN ZOTERO_ITEM CSL_CITATION {"citationID":"nL89qSEv","properties":{"formattedCitation":"\\super 28\\nosupersub{}","plainCitation":"28","noteIndex":0},"citationItems":[{"id":77,"uris":["http://zotero.org/users/7931734/items/3QTLILPW"],"itemData":{"id":77,"type":"chapter","abstract":"In this chapter, the reader will learn about methods for identifying outliers in a dataset, and how different methods can be compared.","container-title":"Secondary Analysis of Electronic Health Records","event-place":"Cham","ISBN":"978-3-319-43742-2","language":"en","note":"DOI: 10.1007/978-3-319-43742-2_14","page":"163-183","publisher":"Springer International Publishing","publisher-place":"Cham","source":"Springer Link","title":"Noise Versus Outliers","URL":"https://doi.org/10.1007/978-3-319-43742-2_14","author":[{"family":"Salgado","given":"Cátia M."},{"family":"Azevedo","given":"Carlos"},{"family":"Proença","given":"Hugo"},{"family":"Vieira","given":"Susana M."}],"editor":[{"literal":"MIT Critical Data"}],"accessed":{"date-parts":[["2022",12,16]]},"issued":{"date-parts":[["2016"]]}}}],"schema":"https://github.com/citation-style-language/schema/raw/master/csl-citation.json"} </w:instrText>
      </w:r>
      <w:r>
        <w:fldChar w:fldCharType="separate"/>
      </w:r>
      <w:r w:rsidR="00644EFE" w:rsidRPr="00644EFE">
        <w:rPr>
          <w:rFonts w:ascii="Times New Roman" w:hAnsi="Times New Roman"/>
          <w:vertAlign w:val="superscript"/>
        </w:rPr>
        <w:t>28</w:t>
      </w:r>
      <w:r>
        <w:fldChar w:fldCharType="end"/>
      </w:r>
      <w:r>
        <w:t xml:space="preserve">. Nevertheless, unless specifically training a novelty detection algorithm, outliers will generally affect a model’s performance and handling them will result in models that are not only more accurate, but also require less training time and computational </w:t>
      </w:r>
      <w:r w:rsidRPr="0097704A">
        <w:t>resources [ref].</w:t>
      </w:r>
      <w:r>
        <w:t xml:space="preserve"> Therefore, several methods</w:t>
      </w:r>
      <w:r w:rsidRPr="004D0DD9">
        <w:t xml:space="preserve"> </w:t>
      </w:r>
      <w:r>
        <w:t xml:space="preserve">called </w:t>
      </w:r>
      <w:r>
        <w:rPr>
          <w:i/>
          <w:iCs/>
        </w:rPr>
        <w:t>outlier detection</w:t>
      </w:r>
      <w:r>
        <w:t xml:space="preserve"> or </w:t>
      </w:r>
      <w:r>
        <w:rPr>
          <w:i/>
          <w:iCs/>
        </w:rPr>
        <w:t xml:space="preserve">anomaly detection </w:t>
      </w:r>
      <w:r>
        <w:t xml:space="preserve">has been developed to deal with such data </w:t>
      </w:r>
      <w:r>
        <w:fldChar w:fldCharType="begin"/>
      </w:r>
      <w:r w:rsidR="00644EFE">
        <w:instrText xml:space="preserve"> ADDIN ZOTERO_ITEM CSL_CITATION {"citationID":"lwSm3yj6","properties":{"formattedCitation":"\\super 28\\nosupersub{}","plainCitation":"28","noteIndex":0},"citationItems":[{"id":77,"uris":["http://zotero.org/users/7931734/items/3QTLILPW"],"itemData":{"id":77,"type":"chapter","abstract":"In this chapter, the reader will learn about methods for identifying outliers in a dataset, and how different methods can be compared.","container-title":"Secondary Analysis of Electronic Health Records","event-place":"Cham","ISBN":"978-3-319-43742-2","language":"en","note":"DOI: 10.1007/978-3-319-43742-2_14","page":"163-183","publisher":"Springer International Publishing","publisher-place":"Cham","source":"Springer Link","title":"Noise Versus Outliers","URL":"https://doi.org/10.1007/978-3-319-43742-2_14","author":[{"family":"Salgado","given":"Cátia M."},{"family":"Azevedo","given":"Carlos"},{"family":"Proença","given":"Hugo"},{"family":"Vieira","given":"Susana M."}],"editor":[{"literal":"MIT Critical Data"}],"accessed":{"date-parts":[["2022",12,16]]},"issued":{"date-parts":[["2016"]]}}}],"schema":"https://github.com/citation-style-language/schema/raw/master/csl-citation.json"} </w:instrText>
      </w:r>
      <w:r>
        <w:fldChar w:fldCharType="separate"/>
      </w:r>
      <w:r w:rsidR="00644EFE" w:rsidRPr="00644EFE">
        <w:rPr>
          <w:rFonts w:ascii="Times New Roman" w:hAnsi="Times New Roman"/>
          <w:vertAlign w:val="superscript"/>
        </w:rPr>
        <w:t>28</w:t>
      </w:r>
      <w:r>
        <w:fldChar w:fldCharType="end"/>
      </w:r>
      <w:r w:rsidRPr="0097704A">
        <w:t>.</w:t>
      </w:r>
    </w:p>
    <w:p w14:paraId="5B8E0B6F" w14:textId="59B799E4" w:rsidR="00B825FD" w:rsidRDefault="00B825FD" w:rsidP="00B825FD">
      <w:pPr>
        <w:spacing w:before="240"/>
      </w:pPr>
      <w:r>
        <w:t>Instance selection techniques such as data r</w:t>
      </w:r>
      <w:r w:rsidRPr="007A18D6">
        <w:t>educ</w:t>
      </w:r>
      <w:r>
        <w:t>tion</w:t>
      </w:r>
      <w:r w:rsidRPr="007A18D6">
        <w:t xml:space="preserve"> or summariz</w:t>
      </w:r>
      <w:r>
        <w:t>ation</w:t>
      </w:r>
      <w:r w:rsidRPr="007A18D6">
        <w:t xml:space="preserve"> </w:t>
      </w:r>
      <w:r>
        <w:t>results in</w:t>
      </w:r>
      <w:r w:rsidRPr="007A18D6">
        <w:t xml:space="preserve"> faster and easier computation</w:t>
      </w:r>
      <w:r>
        <w:t xml:space="preserve">, though </w:t>
      </w:r>
      <w:r w:rsidRPr="007A18D6">
        <w:t xml:space="preserve">inherent data patterns should </w:t>
      </w:r>
      <w:r>
        <w:t xml:space="preserve">be </w:t>
      </w:r>
      <w:r w:rsidRPr="007A18D6">
        <w:t>preserve without introducing analyst-induced bias</w:t>
      </w:r>
      <w:r>
        <w:t xml:space="preserve"> and affecting model quality </w:t>
      </w:r>
      <w:r w:rsidRPr="007A18D6">
        <w:fldChar w:fldCharType="begin"/>
      </w:r>
      <w:r>
        <w:instrText xml:space="preserve"> ADDIN ZOTERO_ITEM CSL_CITATION {"citationID":"a13en8viieh","properties":{"formattedCitation":"\\super 18,25,26\\nosupersub{}","plainCitation":"18,25,26","noteIndex":0},"citationItems":[{"id":347,"uris":["http://zotero.org/users/7931734/items/8E7ADFCU"],"itemData":{"id":347,"type":"article-journal","abstract":"This paper first provides an overview of data preprocessing, focusing on problems of real world data. These are primarily problems that have to be carefully understood and solved before any data analysis process can start. The paper discusses in deta","container-title":"Intelligent Data Analysis","DOI":"10.3233/ida-1997-1102","ISSN":"1088-467X","issue":"1","language":"en","note":"publisher: IOS Press","page":"3-23","source":"content.iospress.com","title":"Data Preprocessing and Intelligent Data Analysis","volume":"1","author":[{"family":"Famili","given":"A."},{"family":"Shen","given":"Wei-Min"},{"family":"Weber","given":"Richard"},{"family":"Simoudis","given":"Evangelos"}],"issued":{"date-parts":[["1997",1,1]]}}},{"id":277,"uris":["http://zotero.org/users/7931734/items/ASYINNSY"],"itemData":{"id":277,"type":"article-journal","container-title":"International Journal of Engineering Applied Sciences and Technology","DOI":"10.33564/ijeast.2020.v05i03.069","ISSN":"24552143","issue":"3","journalAbbreviation":"IJEAST","page":"431-438","source":"DOI.org (Crossref)","title":"A Comparative Study Between Various Preprocessing Techniques for Machine Learning","volume":"5","author":[{"family":"Rao","given":"Shruti"},{"family":"Poojary","given":"Prathiksha"},{"family":"Somaiya","given":"Jigar"},{"family":"Mahajan","given":"Pranita"}],"issued":{"date-parts":[["2020",7,31]]}}},{"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rsidRPr="007A18D6">
        <w:fldChar w:fldCharType="separate"/>
      </w:r>
      <w:r w:rsidRPr="00644EFE">
        <w:rPr>
          <w:rFonts w:ascii="Times New Roman" w:hAnsi="Times New Roman"/>
          <w:vertAlign w:val="superscript"/>
        </w:rPr>
        <w:t>18,25,26</w:t>
      </w:r>
      <w:r w:rsidRPr="007A18D6">
        <w:fldChar w:fldCharType="end"/>
      </w:r>
      <w:r w:rsidRPr="007A18D6">
        <w:t>.</w:t>
      </w:r>
      <w:r>
        <w:t xml:space="preserve"> A frequently encountered problem is class imbalance, especially when dealing with health datasets, since the number of healthy individuals tend to be much higher than those affected with a health condition. This can be </w:t>
      </w:r>
      <w:r w:rsidRPr="004E5B32">
        <w:t xml:space="preserve">addressed </w:t>
      </w:r>
      <w:r>
        <w:t>by giving more weight to the smaller class or by u</w:t>
      </w:r>
      <w:r w:rsidRPr="004E5B32">
        <w:t xml:space="preserve">sing </w:t>
      </w:r>
      <w:r>
        <w:t xml:space="preserve">techniques such as </w:t>
      </w:r>
      <w:r w:rsidRPr="004E5B32">
        <w:t>SMOTE (Synthetic Minority Oversampling Technique)</w:t>
      </w:r>
      <w:r>
        <w:t>.</w:t>
      </w:r>
    </w:p>
    <w:p w14:paraId="10A76B31" w14:textId="460F222D" w:rsidR="009C4070" w:rsidRDefault="009C4070" w:rsidP="00E01B69">
      <w:pPr>
        <w:pStyle w:val="Heading3"/>
      </w:pPr>
      <w:r>
        <w:t>3.2.1. Feature Engineering</w:t>
      </w:r>
    </w:p>
    <w:p w14:paraId="01C7F479" w14:textId="06A494DA" w:rsidR="009C4070" w:rsidRPr="00001236" w:rsidRDefault="00B825FD" w:rsidP="009C4070">
      <w:r w:rsidRPr="007A18D6">
        <w:t>Datasets used for mental health prediction often consist of many features that clutter the judgement of the analyst and the model</w:t>
      </w:r>
      <w:r>
        <w:t xml:space="preserve">. Collecting unnecessary data is not only more expensive and difficult for the researcher and uncomfortable for the participant, but may also irrelevant for increasing model performance, and might even decrease it </w:t>
      </w:r>
      <w:r w:rsidR="009C4070">
        <w:fldChar w:fldCharType="begin"/>
      </w:r>
      <w:r>
        <w:instrText xml:space="preserve"> ADDIN ZOTERO_ITEM CSL_CITATION {"citationID":"pN8LfykE","properties":{"formattedCitation":"\\super 9\\nosupersub{}","plainCitation":"9","noteIndex":0},"citationItems":[{"id":104,"uris":["http://zotero.org/users/7931734/items/RHNRZP8X"],"itemData":{"id":104,"type":"article-journal","abstract":"Mental health prediction is one of the most essential parts of reducing the probability of serious mental illness. Meanwhile, mental health prediction can  provide a theoretical basis for public health department to work out  psychological intervention plans for medical workers. The purpose of this paper  is to predict mental health of medical workers based on machine learning by 32  factors. We collected the 32 factors of 5,108 Chinese medical workers through  questionnaire survey, and the results of Self-reporting Inventory was applied to  characterize mental health. In this study, we propose a novel prediction model  based on optimization algorithm and neural network, which can select and rank the  most important factors that affect mental health of medical workers. Besides, we  use stepwise logistic regression, binary bat algorithm, hybrid improved dragonfly  algorithm and the proposed prediction model to predict mental health of medical  workers. The results show that the prediction accuracy of the proposed model is  92.55%, which is better than the existing algorithms. This method can be used to  predict mental health of global medical worker. In addition, the method proposed  in this paper can also play a role in the appropriate work plan for medical  worker.","container-title":"Frontiers in public health","DOI":"10/grchdp","ISSN":"2296-2565","journalAbbreviation":"Front Public Health","language":"eng","license":"Copyright © 2021 Wang, Li, Sun, Zhang, Wang, Dong and Guo.","note":"publisher-place: Switzerland\nPMID: 34557468 \nPMCID: PMC8452905","page":"697850","title":"Prediction of Mental Health in Medical Workers During COVID-19 Based on Machine Learning.","volume":"9","author":[{"family":"Wang","given":"Xiaofeng"},{"family":"Li","given":"Hu"},{"family":"Sun","given":"Chuanyong"},{"family":"Zhang","given":"Xiumin"},{"family":"Wang","given":"Tan"},{"family":"Dong","given":"Chenyu"},{"family":"Guo","given":"Dongyang"}],"issued":{"date-parts":[["2021"]]}}}],"schema":"https://github.com/citation-style-language/schema/raw/master/csl-citation.json"} </w:instrText>
      </w:r>
      <w:r w:rsidR="009C4070">
        <w:fldChar w:fldCharType="separate"/>
      </w:r>
      <w:r w:rsidRPr="00B825FD">
        <w:rPr>
          <w:rFonts w:ascii="Times New Roman" w:hAnsi="Times New Roman"/>
          <w:vertAlign w:val="superscript"/>
        </w:rPr>
        <w:t>9</w:t>
      </w:r>
      <w:r w:rsidR="009C4070">
        <w:fldChar w:fldCharType="end"/>
      </w:r>
      <w:r w:rsidR="009C4070">
        <w:t xml:space="preserve">. The latter, called </w:t>
      </w:r>
      <w:r w:rsidR="009C4070">
        <w:rPr>
          <w:i/>
          <w:iCs/>
        </w:rPr>
        <w:t xml:space="preserve">curse of dimensionality </w:t>
      </w:r>
      <w:r w:rsidR="009C4070">
        <w:t>is observed in many datasets because of their complexity and high dimensions,</w:t>
      </w:r>
      <w:r w:rsidR="009C4070" w:rsidRPr="00CA6212">
        <w:t xml:space="preserve"> </w:t>
      </w:r>
      <w:r w:rsidR="009C4070">
        <w:t xml:space="preserve">since the degrees of freedom increase significantly as the number of features go up </w:t>
      </w:r>
      <w:r w:rsidR="009C4070">
        <w:fldChar w:fldCharType="begin"/>
      </w:r>
      <w:r>
        <w:instrText xml:space="preserve"> ADDIN ZOTERO_ITEM CSL_CITATION {"citationID":"3QWkyvyT","properties":{"formattedCitation":"\\super 29\\nosupersub{}","plainCitation":"29","noteIndex":0},"citationItems":[{"id":422,"uris":["http://zotero.org/users/7931734/items/LE76PKKE"],"itemData":{"id":422,"type":"article-journal","abstract":"Digital health data are multimodal and high-dimensional. A patient’s health state can be characterized by a multitude of signals including medical imaging, clinical variables, genome sequencing, conversations between clinicians and patients, and continuous signals from wearables, among others. This high volume, personalized data stream aggregated over patients’ lives has spurred interest in developing new artificial intelligence (AI) models for higher-precision diagnosis, prognosis, and tracking. While the promise of these algorithms is undeniable, their dissemination and adoption have been slow, owing partially to unpredictable AI model performance once deployed in the real world. We posit that one of the rate-limiting factors in developing algorithms that generalize to real-world scenarios is the very attribute that makes the data exciting—their high-dimensional nature. This paper considers how the large number of features in vast digital health data can challenge the development of robust AI models—a phenomenon known as “the curse of dimensionality” in statistical learning theory. We provide an overview of the curse of dimensionality in the context of digital health, demonstrate how it can negatively impact out-of-sample performance, and highlight important considerations for researchers and algorithm designers.","container-title":"npj Digital Medicine","DOI":"10.1038/s41746-021-00521-5","ISSN":"2398-6352","issue":"1","journalAbbreviation":"npj Digit. Med.","language":"en","license":"2021 The Author(s)","note":"number: 1\npublisher: Nature Publishing Group","page":"1-8","source":"www.nature.com","title":"Digital medicine and the curse of dimensionality","volume":"4","author":[{"family":"Berisha","given":"Visar"},{"family":"Krantsevich","given":"Chelsea"},{"family":"Hahn","given":"P. Richard"},{"family":"Hahn","given":"Shira"},{"family":"Dasarathy","given":"Gautam"},{"family":"Turaga","given":"Pavan"},{"family":"Liss","given":"Julie"}],"issued":{"date-parts":[["2021",10,28]]}}}],"schema":"https://github.com/citation-style-language/schema/raw/master/csl-citation.json"} </w:instrText>
      </w:r>
      <w:r w:rsidR="009C4070">
        <w:fldChar w:fldCharType="separate"/>
      </w:r>
      <w:r w:rsidRPr="00B825FD">
        <w:rPr>
          <w:rFonts w:ascii="Times New Roman" w:hAnsi="Times New Roman"/>
          <w:vertAlign w:val="superscript"/>
        </w:rPr>
        <w:t>29</w:t>
      </w:r>
      <w:r w:rsidR="009C4070">
        <w:fldChar w:fldCharType="end"/>
      </w:r>
      <w:r w:rsidR="009C4070">
        <w:t xml:space="preserve">. Moreover, many features are not independent of each other, further decreasing model efficiency. Therefore, it is important to select a set of features that are most relevant to the problem at hand, whether by using domain expertise or statistical techniques </w:t>
      </w:r>
      <w:r w:rsidR="009C4070">
        <w:fldChar w:fldCharType="begin"/>
      </w:r>
      <w:r>
        <w:instrText xml:space="preserve"> ADDIN ZOTERO_ITEM CSL_CITATION {"citationID":"SWTnG9jG","properties":{"formattedCitation":"\\super 26\\nosupersub{}","plainCitation":"26","noteIndex":0},"citationItems":[{"id":347,"uris":["http://zotero.org/users/7931734/items/8E7ADFCU"],"itemData":{"id":347,"type":"article-journal","abstract":"This paper first provides an overview of data preprocessing, focusing on problems of real world data. These are primarily problems that have to be carefully understood and solved before any data analysis process can start. The paper discusses in deta","container-title":"Intelligent Data Analysis","DOI":"10.3233/ida-1997-1102","ISSN":"1088-467X","issue":"1","language":"en","note":"publisher: IOS Press","page":"3-23","source":"content.iospress.com","title":"Data Preprocessing and Intelligent Data Analysis","volume":"1","author":[{"family":"Famili","given":"A."},{"family":"Shen","given":"Wei-Min"},{"family":"Weber","given":"Richard"},{"family":"Simoudis","given":"Evangelos"}],"issued":{"date-parts":[["1997",1,1]]}}}],"schema":"https://github.com/citation-style-language/schema/raw/master/csl-citation.json"} </w:instrText>
      </w:r>
      <w:r w:rsidR="009C4070">
        <w:fldChar w:fldCharType="separate"/>
      </w:r>
      <w:r w:rsidRPr="00B825FD">
        <w:rPr>
          <w:rFonts w:ascii="Times New Roman" w:hAnsi="Times New Roman"/>
          <w:vertAlign w:val="superscript"/>
        </w:rPr>
        <w:t>26</w:t>
      </w:r>
      <w:r w:rsidR="009C4070">
        <w:fldChar w:fldCharType="end"/>
      </w:r>
      <w:r w:rsidR="009C4070">
        <w:t xml:space="preserve">, a task that </w:t>
      </w:r>
      <w:r w:rsidR="002A2D2F">
        <w:t>I</w:t>
      </w:r>
      <w:r w:rsidR="009C4070">
        <w:t xml:space="preserve"> collectively refer to as </w:t>
      </w:r>
      <w:r w:rsidR="009C4070">
        <w:rPr>
          <w:i/>
          <w:iCs/>
        </w:rPr>
        <w:t>feature engineering</w:t>
      </w:r>
      <w:r w:rsidR="009C4070">
        <w:t>.</w:t>
      </w:r>
    </w:p>
    <w:p w14:paraId="6EFA65E0" w14:textId="7E6BFCCC" w:rsidR="009C4070" w:rsidRDefault="009C4070" w:rsidP="009C4070">
      <w:r>
        <w:t xml:space="preserve">Since there is no standard naming convention for feature engineering tasks, different sources often mention similar tasks with different names. Even the name feature engineering is dubious; While many sources use feature engineering and feature selection in the same sense </w:t>
      </w:r>
      <w:r>
        <w:fldChar w:fldCharType="begin"/>
      </w:r>
      <w:r w:rsidR="00B825FD">
        <w:instrText xml:space="preserve"> ADDIN ZOTERO_ITEM CSL_CITATION {"citationID":"pP8TOKwZ","properties":{"formattedCitation":"\\super 7\\nosupersub{}","plainCitation":"7","noteIndex":0},"citationItems":[{"id":80,"uris":["http://zotero.org/users/7931734/items/WY9Z9PDD"],"itemData":{"id":80,"type":"webpage","container-title":"Google Developers","language":"en","title":"Machine Learning Glossary","URL":"https://developers.google.com/machine-learning/glossary","accessed":{"date-parts":[["2022",12,16]]},"issued":{"date-parts":[["2022",11,8]]}}}],"schema":"https://github.com/citation-style-language/schema/raw/master/csl-citation.json"} </w:instrText>
      </w:r>
      <w:r>
        <w:fldChar w:fldCharType="separate"/>
      </w:r>
      <w:r w:rsidR="00B825FD" w:rsidRPr="00B825FD">
        <w:rPr>
          <w:rFonts w:ascii="Times New Roman" w:hAnsi="Times New Roman"/>
          <w:vertAlign w:val="superscript"/>
        </w:rPr>
        <w:t>7</w:t>
      </w:r>
      <w:r>
        <w:fldChar w:fldCharType="end"/>
      </w:r>
      <w:r>
        <w:t xml:space="preserve">, I </w:t>
      </w:r>
      <w:r w:rsidRPr="006430B3">
        <w:t xml:space="preserve">consider </w:t>
      </w:r>
      <w:r w:rsidRPr="00001236">
        <w:rPr>
          <w:i/>
          <w:iCs/>
        </w:rPr>
        <w:t>future selection</w:t>
      </w:r>
      <w:r w:rsidRPr="006430B3">
        <w:t xml:space="preserve"> within the broader category of feature engineering.</w:t>
      </w:r>
      <w:r>
        <w:t xml:space="preserve"> In this sense, feature engineering consists of any preprocessing that is specifically applied to the features,</w:t>
      </w:r>
      <w:r w:rsidRPr="006430B3">
        <w:t xml:space="preserve"> </w:t>
      </w:r>
      <w:r>
        <w:t xml:space="preserve">as opposed to the general preprocessing for all dataset variables </w:t>
      </w:r>
      <w:r>
        <w:fldChar w:fldCharType="begin"/>
      </w:r>
      <w:r w:rsidR="00B825FD">
        <w:instrText xml:space="preserve"> ADDIN ZOTERO_ITEM CSL_CITATION {"citationID":"wU3uuao7","properties":{"formattedCitation":"\\super 7\\nosupersub{}","plainCitation":"7","noteIndex":0},"citationItems":[{"id":80,"uris":["http://zotero.org/users/7931734/items/WY9Z9PDD"],"itemData":{"id":80,"type":"webpage","container-title":"Google Developers","language":"en","title":"Machine Learning Glossary","URL":"https://developers.google.com/machine-learning/glossary","accessed":{"date-parts":[["2022",12,16]]},"issued":{"date-parts":[["2022",11,8]]}}}],"schema":"https://github.com/citation-style-language/schema/raw/master/csl-citation.json"} </w:instrText>
      </w:r>
      <w:r>
        <w:fldChar w:fldCharType="separate"/>
      </w:r>
      <w:r w:rsidR="00B825FD" w:rsidRPr="00B825FD">
        <w:rPr>
          <w:rFonts w:ascii="Times New Roman" w:hAnsi="Times New Roman"/>
          <w:vertAlign w:val="superscript"/>
        </w:rPr>
        <w:t>7</w:t>
      </w:r>
      <w:r>
        <w:fldChar w:fldCharType="end"/>
      </w:r>
      <w:r>
        <w:t>. Feature engineering tasks usually fall into one of these overlapping categories:</w:t>
      </w:r>
    </w:p>
    <w:p w14:paraId="17232AC1" w14:textId="77777777" w:rsidR="009C4070" w:rsidRDefault="009C4070" w:rsidP="009C4070">
      <w:r>
        <w:t>1)</w:t>
      </w:r>
      <w:r w:rsidRPr="00001236">
        <w:t xml:space="preserve"> </w:t>
      </w:r>
      <w:r>
        <w:t>Deciding which new features should be added to the model, whether by modifying or merging existing ones, or generating them de novo</w:t>
      </w:r>
    </w:p>
    <w:p w14:paraId="3B2BF991" w14:textId="77777777" w:rsidR="009C4070" w:rsidRDefault="009C4070" w:rsidP="009C4070">
      <w:r>
        <w:t>2) Features that should be included in the model without modification</w:t>
      </w:r>
    </w:p>
    <w:p w14:paraId="21120625" w14:textId="77777777" w:rsidR="009C4070" w:rsidRDefault="009C4070" w:rsidP="009C4070">
      <w:r>
        <w:lastRenderedPageBreak/>
        <w:t>3) Features that should be eliminated from the model, whether by</w:t>
      </w:r>
      <w:r w:rsidRPr="00846E8D">
        <w:t xml:space="preserve"> </w:t>
      </w:r>
      <w:r>
        <w:t xml:space="preserve">using them for constructing new ones or dropping them </w:t>
      </w:r>
      <w:r w:rsidRPr="003B1069">
        <w:t>altogether</w:t>
      </w:r>
    </w:p>
    <w:p w14:paraId="7EBC947E" w14:textId="4617AC13" w:rsidR="002A2D2F" w:rsidRDefault="002A2D2F" w:rsidP="00E01B69">
      <w:r>
        <w:t xml:space="preserve">A feature can either be kept as is, </w:t>
      </w:r>
      <w:r w:rsidRPr="007A18D6">
        <w:t>added to the model</w:t>
      </w:r>
      <w:r>
        <w:t xml:space="preserve"> anew (by</w:t>
      </w:r>
      <w:r w:rsidRPr="007A18D6">
        <w:t xml:space="preserve"> modifying</w:t>
      </w:r>
      <w:r>
        <w:t>/</w:t>
      </w:r>
      <w:r w:rsidRPr="007A18D6">
        <w:t xml:space="preserve">merging existing </w:t>
      </w:r>
      <w:r>
        <w:t>features</w:t>
      </w:r>
      <w:r w:rsidRPr="007A18D6">
        <w:t xml:space="preserve"> or de novo generati</w:t>
      </w:r>
      <w:r>
        <w:t xml:space="preserve">on), or </w:t>
      </w:r>
      <w:r w:rsidRPr="007A18D6">
        <w:t>eliminated from the model</w:t>
      </w:r>
      <w:r>
        <w:t xml:space="preserve"> (</w:t>
      </w:r>
      <w:r w:rsidRPr="007A18D6">
        <w:t xml:space="preserve">by using </w:t>
      </w:r>
      <w:r>
        <w:t>it</w:t>
      </w:r>
      <w:r w:rsidRPr="007A18D6">
        <w:t xml:space="preserve"> for constructing new </w:t>
      </w:r>
      <w:r>
        <w:t>features</w:t>
      </w:r>
      <w:r w:rsidRPr="007A18D6">
        <w:t xml:space="preserve"> or dropping </w:t>
      </w:r>
      <w:r>
        <w:t>it</w:t>
      </w:r>
      <w:r w:rsidRPr="007A18D6">
        <w:t xml:space="preserve"> altogether</w:t>
      </w:r>
      <w:r>
        <w:t xml:space="preserve">) </w:t>
      </w:r>
      <w:r>
        <w:fldChar w:fldCharType="begin"/>
      </w:r>
      <w:r>
        <w:instrText xml:space="preserve"> ADDIN ZOTERO_ITEM CSL_CITATION {"citationID":"a1kt1ujodll","properties":{"formattedCitation":"\\super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fldChar w:fldCharType="separate"/>
      </w:r>
      <w:r w:rsidRPr="00644EFE">
        <w:rPr>
          <w:rFonts w:ascii="Times New Roman" w:hAnsi="Times New Roman"/>
          <w:vertAlign w:val="superscript"/>
        </w:rPr>
        <w:t>18</w:t>
      </w:r>
      <w:r>
        <w:fldChar w:fldCharType="end"/>
      </w:r>
      <w:r>
        <w:t xml:space="preserve">. This is usually decided using either domain knowledge or using statistical methods </w:t>
      </w:r>
      <w:r>
        <w:fldChar w:fldCharType="begin"/>
      </w:r>
      <w:r>
        <w:instrText xml:space="preserve"> ADDIN ZOTERO_ITEM CSL_CITATION {"citationID":"a2dp4j4ot5a","properties":{"formattedCitation":"\\super 18,24,26\\nosupersub{}","plainCitation":"18,24,26","noteIndex":0},"citationItems":[{"id":347,"uris":["http://zotero.org/users/7931734/items/8E7ADFCU"],"itemData":{"id":347,"type":"article-journal","abstract":"This paper first provides an overview of data preprocessing, focusing on problems of real world data. These are primarily problems that have to be carefully understood and solved before any data analysis process can start. The paper discusses in deta","container-title":"Intelligent Data Analysis","DOI":"10.3233/ida-1997-1102","ISSN":"1088-467X","issue":"1","language":"en","note":"publisher: IOS Press","page":"3-23","source":"content.iospress.com","title":"Data Preprocessing and Intelligent Data Analysis","volume":"1","author":[{"family":"Famili","given":"A."},{"family":"Shen","given":"Wei-Min"},{"family":"Weber","given":"Richard"},{"family":"Simoudis","given":"Evangelos"}],"issued":{"date-parts":[["1997",1,1]]}}},{"id":424,"uris":["http://zotero.org/users/7931734/items/MKT8CQ2J"],"itemData":{"id":424,"type":"article-journal","abstract":"Knowledge Discovery in Databases (KDD) has become a very attractive discipline both for research and industry within last few years. Its goal is to extract pieces of knowledge or ‘patterns’ from usually very large databases. It portrays a robust sequ","container-title":"Intelligent Data Analysis","DOI":"10.3233/ida-2000-43-413","ISSN":"1088-467X","issue":"3-4","language":"en","note":"publisher: IOS Press","page":"363-374","source":"content.iospress.com","title":"From machine learning to knowledge discovery: Survey of preprocessing and postprocessing","title-short":"From machine learning to knowledge discovery","volume":"4","author":[{"family":"Bruha","given":"Ivan"}],"issued":{"date-parts":[["2000",1,1]]}}},{"id":377,"uris":["http://zotero.org/users/7931734/items/73J8WV2N"],"itemData":{"id":377,"type":"article-journal","abstract":"Supervised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fldChar w:fldCharType="separate"/>
      </w:r>
      <w:r w:rsidRPr="00644EFE">
        <w:rPr>
          <w:rFonts w:ascii="Times New Roman" w:hAnsi="Times New Roman"/>
          <w:vertAlign w:val="superscript"/>
        </w:rPr>
        <w:t>18,24,26</w:t>
      </w:r>
      <w:r>
        <w:fldChar w:fldCharType="end"/>
      </w:r>
      <w:r>
        <w:t>. These methods either rank the attributes based on their correlation with the target variable (</w:t>
      </w:r>
      <w:r w:rsidRPr="007A18D6">
        <w:rPr>
          <w:rFonts w:ascii="Times New Roman" w:eastAsiaTheme="majorEastAsia" w:hAnsi="Times New Roman"/>
        </w:rPr>
        <w:t>filter methods</w:t>
      </w:r>
      <w:r>
        <w:rPr>
          <w:rFonts w:ascii="Times New Roman" w:eastAsiaTheme="majorEastAsia" w:hAnsi="Times New Roman"/>
        </w:rPr>
        <w:t xml:space="preserve">), stepwise multiple regression with forward selection and/or backward elimination (wrapper methods), and regularization techniques such as LASSO that reduce the coefficient of the non-contributing variables to zero. </w:t>
      </w:r>
      <w:r>
        <w:t>Dimensionality reduction is another widely-used approach that reduces the number of features while preserving dataset information by choosing features that account for most of the observed data</w:t>
      </w:r>
      <w:r w:rsidRPr="00427C8C">
        <w:t xml:space="preserve"> </w:t>
      </w:r>
      <w:r>
        <w:t xml:space="preserve">variability and discarding other, for example by </w:t>
      </w:r>
      <w:proofErr w:type="spellStart"/>
      <w:r>
        <w:t>e</w:t>
      </w:r>
      <w:r w:rsidRPr="00427C8C">
        <w:t>igendecomposition</w:t>
      </w:r>
      <w:proofErr w:type="spellEnd"/>
      <w:r w:rsidRPr="00427C8C">
        <w:t xml:space="preserve"> of the covariance matrix</w:t>
      </w:r>
      <w:r>
        <w:t>, known as principal component analysis (PCA)</w:t>
      </w:r>
      <w:r w:rsidRPr="00827120">
        <w:t xml:space="preserve"> </w:t>
      </w:r>
      <w:r>
        <w:fldChar w:fldCharType="begin"/>
      </w:r>
      <w:r>
        <w:instrText xml:space="preserve"> ADDIN ZOTERO_ITEM CSL_CITATION {"citationID":"a1gacitv1d7","properties":{"formattedCitation":"\\super 26\\nosupersub{}","plainCitation":"26","noteIndex":0},"citationItems":[{"id":347,"uris":["http://zotero.org/users/7931734/items/8E7ADFCU"],"itemData":{"id":347,"type":"article-journal","abstract":"This paper first provides an overview of data preprocessing, focusing on problems of real world data. These are primarily problems that have to be carefully understood and solved before any data analysis process can start. The paper discusses in deta","container-title":"Intelligent Data Analysis","DOI":"10.3233/ida-1997-1102","ISSN":"1088-467X","issue":"1","language":"en","note":"publisher: IOS Press","page":"3-23","source":"content.iospress.com","title":"Data Preprocessing and Intelligent Data Analysis","volume":"1","author":[{"family":"Famili","given":"A."},{"family":"Shen","given":"Wei-Min"},{"family":"Weber","given":"Richard"},{"family":"Simoudis","given":"Evangelos"}],"issued":{"date-parts":[["1997",1,1]]}}}],"schema":"https://github.com/citation-style-language/schema/raw/master/csl-citation.json"} </w:instrText>
      </w:r>
      <w:r>
        <w:fldChar w:fldCharType="separate"/>
      </w:r>
      <w:r w:rsidRPr="00644EFE">
        <w:rPr>
          <w:rFonts w:ascii="Times New Roman" w:hAnsi="Times New Roman"/>
          <w:vertAlign w:val="superscript"/>
        </w:rPr>
        <w:t>26</w:t>
      </w:r>
      <w:r>
        <w:fldChar w:fldCharType="end"/>
      </w:r>
      <w:r>
        <w:t>.</w:t>
      </w:r>
    </w:p>
    <w:p w14:paraId="59D43BBA" w14:textId="5FDED130" w:rsidR="002A2D2F" w:rsidRDefault="00E01B69" w:rsidP="00E01B69">
      <w:pPr>
        <w:pStyle w:val="Heading1"/>
      </w:pPr>
      <w:r>
        <w:t>4.</w:t>
      </w:r>
      <w:r w:rsidR="002A2D2F">
        <w:t xml:space="preserve"> Model Selection</w:t>
      </w:r>
    </w:p>
    <w:p w14:paraId="3E042C4E" w14:textId="7EE9AEF7" w:rsidR="002A2D2F" w:rsidRDefault="002A2D2F" w:rsidP="002A2D2F">
      <w:pPr>
        <w:rPr>
          <w:rFonts w:cstheme="majorBidi"/>
        </w:rPr>
      </w:pPr>
      <w:r w:rsidRPr="00DC102D">
        <w:rPr>
          <w:rFonts w:cstheme="majorBidi"/>
        </w:rPr>
        <w:t>As briefly mentioned in section</w:t>
      </w:r>
      <w:r w:rsidR="00E01B69">
        <w:rPr>
          <w:rFonts w:cstheme="majorBidi"/>
        </w:rPr>
        <w:t xml:space="preserve"> 3.1.</w:t>
      </w:r>
      <w:r w:rsidRPr="00DC102D">
        <w:rPr>
          <w:rFonts w:cstheme="majorBidi"/>
        </w:rPr>
        <w:t xml:space="preserve">, </w:t>
      </w:r>
      <w:r>
        <w:rPr>
          <w:rFonts w:cstheme="majorBidi"/>
        </w:rPr>
        <w:t>s</w:t>
      </w:r>
      <w:r w:rsidRPr="00DC102D">
        <w:rPr>
          <w:rFonts w:cstheme="majorBidi"/>
        </w:rPr>
        <w:t xml:space="preserve">upervised models use existing labeled data to create a model for future prediction of unlabeled data points. </w:t>
      </w:r>
      <w:r>
        <w:rPr>
          <w:rFonts w:cstheme="majorBidi"/>
        </w:rPr>
        <w:t xml:space="preserve">They can either output a real number </w:t>
      </w:r>
      <w:r w:rsidRPr="00DC102D">
        <w:rPr>
          <w:rFonts w:cstheme="majorBidi"/>
        </w:rPr>
        <w:t xml:space="preserve">for predicting continuous </w:t>
      </w:r>
      <w:r>
        <w:rPr>
          <w:rFonts w:cstheme="majorBidi"/>
        </w:rPr>
        <w:t>outcomes</w:t>
      </w:r>
      <w:r w:rsidRPr="00DC102D">
        <w:rPr>
          <w:rFonts w:cstheme="majorBidi"/>
        </w:rPr>
        <w:t xml:space="preserve"> (</w:t>
      </w:r>
      <w:r w:rsidRPr="0043578F">
        <w:rPr>
          <w:rFonts w:cstheme="majorBidi"/>
          <w:i/>
          <w:iCs/>
        </w:rPr>
        <w:t>regression models</w:t>
      </w:r>
      <w:r w:rsidRPr="00DC102D">
        <w:rPr>
          <w:rFonts w:cstheme="majorBidi"/>
        </w:rPr>
        <w:t xml:space="preserve">) </w:t>
      </w:r>
      <w:r>
        <w:rPr>
          <w:rFonts w:cstheme="majorBidi"/>
        </w:rPr>
        <w:t xml:space="preserve">or a class label </w:t>
      </w:r>
      <w:r w:rsidRPr="00DC102D">
        <w:rPr>
          <w:rFonts w:cstheme="majorBidi"/>
        </w:rPr>
        <w:t xml:space="preserve">for predicting </w:t>
      </w:r>
      <w:r>
        <w:rPr>
          <w:rFonts w:cstheme="majorBidi"/>
        </w:rPr>
        <w:t xml:space="preserve">discrete outcomes </w:t>
      </w:r>
      <w:r w:rsidRPr="00DC102D">
        <w:rPr>
          <w:rFonts w:cstheme="majorBidi"/>
        </w:rPr>
        <w:t>(</w:t>
      </w:r>
      <w:r w:rsidRPr="0043578F">
        <w:rPr>
          <w:rFonts w:cstheme="majorBidi"/>
          <w:i/>
          <w:iCs/>
        </w:rPr>
        <w:t>classification models</w:t>
      </w:r>
      <w:r>
        <w:rPr>
          <w:rFonts w:cstheme="majorBidi"/>
          <w:i/>
          <w:iCs/>
        </w:rPr>
        <w:t xml:space="preserve"> </w:t>
      </w:r>
      <w:r>
        <w:t xml:space="preserve">or </w:t>
      </w:r>
      <w:r>
        <w:rPr>
          <w:i/>
          <w:iCs/>
        </w:rPr>
        <w:t>classifiers</w:t>
      </w:r>
      <w:r w:rsidRPr="00DC102D">
        <w:rPr>
          <w:rFonts w:cstheme="majorBidi"/>
        </w:rPr>
        <w:t>).</w:t>
      </w:r>
      <w:r w:rsidRPr="0055596A">
        <w:t xml:space="preserve"> </w:t>
      </w:r>
      <w:r>
        <w:t>In</w:t>
      </w:r>
      <w:r w:rsidRPr="00BF5416">
        <w:t xml:space="preserve"> </w:t>
      </w:r>
      <w:r>
        <w:t xml:space="preserve">the latter, the task is to predict the most likely </w:t>
      </w:r>
      <w:r w:rsidRPr="00C620DE">
        <w:t>class</w:t>
      </w:r>
      <w:r>
        <w:rPr>
          <w:i/>
          <w:iCs/>
        </w:rPr>
        <w:t xml:space="preserve"> </w:t>
      </w:r>
      <w:r>
        <w:t>from two (</w:t>
      </w:r>
      <w:r>
        <w:rPr>
          <w:i/>
          <w:iCs/>
        </w:rPr>
        <w:t>binary classification</w:t>
      </w:r>
      <w:r>
        <w:t>) or more than two (</w:t>
      </w:r>
      <w:r>
        <w:rPr>
          <w:i/>
          <w:iCs/>
        </w:rPr>
        <w:t>multi-class classification</w:t>
      </w:r>
      <w:r>
        <w:t>) mutually-exclusive classes</w:t>
      </w:r>
      <w:r w:rsidRPr="00F93BDB">
        <w:t xml:space="preserve"> </w:t>
      </w:r>
      <w:r>
        <w:t>that the discrete outcomes can belong to. Unsupervised models work with unlabeled data, usually to group the data points according to their similarity (clustering), reduce the number of the features while preserving the information within the data (d</w:t>
      </w:r>
      <w:r w:rsidRPr="005124C4">
        <w:t>imensionality reduction</w:t>
      </w:r>
      <w:r>
        <w:t>), or detect outliers in the data (novelty detection). Other ML models exist, for example,</w:t>
      </w:r>
      <w:r w:rsidRPr="00393FE6">
        <w:t xml:space="preserve"> </w:t>
      </w:r>
      <w:r>
        <w:t>semi-supervised models use both labeled and unlabeled data, often aiming to use the unlabeled data for increasing the model’s accuracy or Reinforcement learning models imitate the reward-punishment mentality of natural intelligence by choosing the next action that maximizes the reward, using what is already known in the previous step. However, as most of the studies in our review</w:t>
      </w:r>
      <w:r w:rsidRPr="00F601E9">
        <w:t xml:space="preserve"> </w:t>
      </w:r>
      <w:r>
        <w:t xml:space="preserve">use supervised models (with a few using unsupervised models either alone or in combination with supervised ones), we focus on these models and refer the interested readers to other sources such as </w:t>
      </w:r>
      <w:r>
        <w:fldChar w:fldCharType="begin"/>
      </w:r>
      <w:r w:rsidR="00400F29">
        <w:instrText xml:space="preserve"> ADDIN ZOTERO_ITEM CSL_CITATION {"citationID":"MvxuMWHe","properties":{"formattedCitation":"\\super 30\\nosupersub{}","plainCitation":"30","noteIndex":0},"citationItems":[{"id":310,"uris":["http://zotero.org/users/7931734/items/9JZ6QXAH"],"itemData":{"id":310,"type":"article-journal","container-title":"Synthesis Lectures on Artificial Intelligence and Machine Learning","DOI":"10.2200/s00196ed1v01y200906aim006","ISSN":"1939-4608","issue":"1","note":"publisher: Morgan &amp; Claypool Publishers","page":"1-130","source":"morganclaypool.com (Atypon)","title":"Introduction to Semi-Supervised Learning","volume":"3","author":[{"family":"Zhu","given":"Xiaojin"},{"family":"Goldberg","given":"Andrew B."}],"issued":{"date-parts":[["2009",1]]}}}],"schema":"https://github.com/citation-style-language/schema/raw/master/csl-citation.json"} </w:instrText>
      </w:r>
      <w:r>
        <w:fldChar w:fldCharType="separate"/>
      </w:r>
      <w:r w:rsidR="00400F29" w:rsidRPr="00400F29">
        <w:rPr>
          <w:rFonts w:ascii="Times New Roman" w:hAnsi="Times New Roman"/>
          <w:vertAlign w:val="superscript"/>
        </w:rPr>
        <w:t>30</w:t>
      </w:r>
      <w:r>
        <w:fldChar w:fldCharType="end"/>
      </w:r>
      <w:r>
        <w:t xml:space="preserve"> and </w:t>
      </w:r>
      <w:r>
        <w:fldChar w:fldCharType="begin"/>
      </w:r>
      <w:r w:rsidR="00400F29">
        <w:instrText xml:space="preserve"> ADDIN ZOTERO_ITEM CSL_CITATION {"citationID":"Kwz7jXkB","properties":{"formattedCitation":"\\super 31\\nosupersub{}","plainCitation":"31","noteIndex":0},"citationItems":[{"id":388,"uris":["http://zotero.org/users/7931734/items/LNHRD5JF"],"itemData":{"id":388,"type":"article-journal","container-title":"Synthesis Lectures on Artificial Intelligence and Machine Learning","DOI":"10/dxpsnh","ISSN":"1939-4608","issue":"1","note":"publisher: Morgan &amp; Claypool Publishers","page":"1-103","source":"morganclaypool.com (Atypon)","title":"Algorithms for Reinforcement Learning","volume":"4","author":[{"family":"Szepesvári","given":"Csaba"}],"issued":{"date-parts":[["2010",1]]}}}],"schema":"https://github.com/citation-style-language/schema/raw/master/csl-citation.json"} </w:instrText>
      </w:r>
      <w:r>
        <w:fldChar w:fldCharType="separate"/>
      </w:r>
      <w:r w:rsidR="00400F29" w:rsidRPr="00400F29">
        <w:rPr>
          <w:rFonts w:ascii="Times New Roman" w:hAnsi="Times New Roman"/>
          <w:vertAlign w:val="superscript"/>
        </w:rPr>
        <w:t>31</w:t>
      </w:r>
      <w:r>
        <w:fldChar w:fldCharType="end"/>
      </w:r>
      <w:r>
        <w:t xml:space="preserve"> for semi-supervised and reinforcement learning, respectively.</w:t>
      </w:r>
    </w:p>
    <w:p w14:paraId="41248F17" w14:textId="77777777" w:rsidR="002A2D2F" w:rsidRDefault="002A2D2F" w:rsidP="002A2D2F">
      <w:pPr>
        <w:rPr>
          <w:rFonts w:eastAsiaTheme="minorEastAsia" w:cstheme="majorBidi"/>
        </w:rPr>
      </w:pPr>
      <w:r>
        <w:rPr>
          <w:rFonts w:cstheme="majorBidi"/>
        </w:rPr>
        <w:t>G</w:t>
      </w:r>
      <w:r w:rsidRPr="00DC102D">
        <w:rPr>
          <w:rFonts w:cstheme="majorBidi"/>
        </w:rPr>
        <w:t>iven</w:t>
      </w:r>
      <w:r>
        <w:rPr>
          <w:rFonts w:cstheme="majorBidi"/>
        </w:rPr>
        <w:t xml:space="preserve"> the dataset </w:t>
      </w:r>
      <m:oMath>
        <m:r>
          <w:rPr>
            <w:rFonts w:ascii="Cambria Math" w:hAnsi="Cambria Math" w:cstheme="majorBidi"/>
          </w:rPr>
          <m:t>{X,Y}</m:t>
        </m:r>
      </m:oMath>
      <w:r>
        <w:rPr>
          <w:rFonts w:eastAsiaTheme="minorEastAsia" w:cstheme="majorBidi"/>
        </w:rPr>
        <w:t xml:space="preserve"> </w:t>
      </w:r>
      <w:r>
        <w:rPr>
          <w:rFonts w:cstheme="majorBidi"/>
        </w:rPr>
        <w:t>with</w:t>
      </w:r>
      <w:r w:rsidRPr="00DC102D">
        <w:rPr>
          <w:rFonts w:cstheme="majorBidi"/>
        </w:rPr>
        <w:t xml:space="preserve"> </w:t>
      </w:r>
      <w:r>
        <w:rPr>
          <w:rFonts w:cstheme="majorBidi"/>
          <w:i/>
          <w:iCs/>
        </w:rPr>
        <w:t>n</w:t>
      </w:r>
      <w:r>
        <w:rPr>
          <w:rFonts w:cstheme="majorBidi"/>
        </w:rPr>
        <w:t xml:space="preserve"> observations of</w:t>
      </w:r>
      <w:r>
        <w:rPr>
          <w:rFonts w:eastAsiaTheme="minorEastAsia" w:cstheme="majorBidi"/>
        </w:rPr>
        <w:t xml:space="preserve"> </w:t>
      </w:r>
      <w:r>
        <w:rPr>
          <w:rFonts w:cstheme="majorBidi"/>
          <w:i/>
          <w:iCs/>
        </w:rPr>
        <w:t>p</w:t>
      </w:r>
      <w:r>
        <w:rPr>
          <w:rFonts w:cstheme="majorBidi"/>
        </w:rPr>
        <w:t xml:space="preserve">-dimensional feature vectors and their respective </w:t>
      </w:r>
      <w:r>
        <w:rPr>
          <w:rFonts w:cstheme="majorBidi"/>
          <w:i/>
          <w:iCs/>
        </w:rPr>
        <w:t>q-</w:t>
      </w:r>
      <w:r>
        <w:rPr>
          <w:rFonts w:cstheme="majorBidi"/>
        </w:rPr>
        <w:t xml:space="preserve">dimensional labels and the statistical distribution </w:t>
      </w:r>
      <m:oMath>
        <m:r>
          <w:rPr>
            <w:rFonts w:ascii="Cambria Math" w:hAnsi="Cambria Math" w:cstheme="majorBidi"/>
          </w:rPr>
          <m:t>P</m:t>
        </m:r>
        <m:d>
          <m:dPr>
            <m:ctrlPr>
              <w:rPr>
                <w:rFonts w:ascii="Cambria Math" w:hAnsi="Cambria Math" w:cstheme="majorBidi"/>
                <w:i/>
              </w:rPr>
            </m:ctrlPr>
          </m:dPr>
          <m:e>
            <m:r>
              <w:rPr>
                <w:rFonts w:ascii="Cambria Math" w:hAnsi="Cambria Math" w:cstheme="majorBidi"/>
              </w:rPr>
              <m:t>x,y</m:t>
            </m:r>
          </m:e>
        </m:d>
        <m: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w:rPr>
                <w:rFonts w:ascii="Cambria Math" w:hAnsi="Cambria Math" w:cstheme="majorBidi"/>
              </w:rPr>
              <m:t>p×q</m:t>
            </m:r>
          </m:sup>
        </m:sSup>
        <m:r>
          <w:rPr>
            <w:rFonts w:ascii="Cambria Math" w:hAnsi="Cambria Math" w:cstheme="majorBidi"/>
          </w:rPr>
          <m:t>→[0,1]</m:t>
        </m:r>
      </m:oMath>
      <w:r>
        <w:rPr>
          <w:rFonts w:eastAsiaTheme="minorEastAsia" w:cstheme="majorBidi"/>
        </w:rPr>
        <w:t xml:space="preserve"> (the </w:t>
      </w:r>
      <w:r>
        <w:rPr>
          <w:rFonts w:cstheme="majorBidi"/>
        </w:rPr>
        <w:t>joint probability distribution of all possible inputs/outputs), the goal</w:t>
      </w:r>
      <w:r w:rsidRPr="00A75E5D">
        <w:rPr>
          <w:rFonts w:cstheme="majorBidi"/>
        </w:rPr>
        <w:t xml:space="preserve"> </w:t>
      </w:r>
      <w:r>
        <w:rPr>
          <w:rFonts w:cstheme="majorBidi"/>
        </w:rPr>
        <w:t>of s</w:t>
      </w:r>
      <w:r w:rsidRPr="00DC102D">
        <w:rPr>
          <w:rFonts w:cstheme="majorBidi"/>
        </w:rPr>
        <w:t xml:space="preserve">upervised </w:t>
      </w:r>
      <w:r>
        <w:rPr>
          <w:rFonts w:cstheme="majorBidi"/>
        </w:rPr>
        <w:t>learning</w:t>
      </w:r>
      <w:r w:rsidRPr="00A75E5D">
        <w:rPr>
          <w:rFonts w:cstheme="majorBidi"/>
        </w:rPr>
        <w:t xml:space="preserve"> </w:t>
      </w:r>
      <w:r>
        <w:rPr>
          <w:rFonts w:cstheme="majorBidi"/>
        </w:rPr>
        <w:t>is</w:t>
      </w:r>
      <w:r w:rsidRPr="00DC102D">
        <w:rPr>
          <w:rFonts w:cstheme="majorBidi"/>
        </w:rPr>
        <w:t xml:space="preserve"> to</w:t>
      </w:r>
      <w:r>
        <w:rPr>
          <w:rFonts w:cstheme="majorBidi"/>
        </w:rPr>
        <w:t xml:space="preserve"> </w:t>
      </w:r>
      <w:r w:rsidRPr="000D4A4D">
        <w:rPr>
          <w:rFonts w:cstheme="majorBidi"/>
          <w:i/>
          <w:iCs/>
        </w:rPr>
        <w:t>fit</w:t>
      </w:r>
      <w:r>
        <w:rPr>
          <w:rFonts w:cstheme="majorBidi"/>
        </w:rPr>
        <w:t xml:space="preserve"> a model to the data, that is,</w:t>
      </w:r>
      <w:r w:rsidRPr="002377FC">
        <w:rPr>
          <w:rFonts w:cstheme="majorBidi"/>
        </w:rPr>
        <w:t xml:space="preserve"> </w:t>
      </w:r>
      <w:r>
        <w:rPr>
          <w:rFonts w:cstheme="majorBidi"/>
        </w:rPr>
        <w:t>to leverage the dataset for</w:t>
      </w:r>
      <w:r w:rsidRPr="00DC102D">
        <w:rPr>
          <w:rFonts w:cstheme="majorBidi"/>
        </w:rPr>
        <w:t xml:space="preserve"> find</w:t>
      </w:r>
      <w:r>
        <w:rPr>
          <w:rFonts w:cstheme="majorBidi"/>
        </w:rPr>
        <w:t>ing</w:t>
      </w:r>
      <w:r w:rsidRPr="00DC102D">
        <w:rPr>
          <w:rFonts w:cstheme="majorBidi"/>
        </w:rPr>
        <w:t xml:space="preserve"> a </w:t>
      </w:r>
      <w:r>
        <w:rPr>
          <w:rFonts w:cstheme="majorBidi"/>
        </w:rPr>
        <w:t>function</w:t>
      </w:r>
      <w:r w:rsidRPr="00DC102D">
        <w:rPr>
          <w:rFonts w:cstheme="majorBidi"/>
        </w:rPr>
        <w:t xml:space="preserve"> </w:t>
      </w:r>
      <m:oMath>
        <m:r>
          <w:rPr>
            <w:rFonts w:ascii="Cambria Math" w:hAnsi="Cambria Math" w:cstheme="majorBidi"/>
          </w:rPr>
          <m:t>f:</m:t>
        </m:r>
        <m:sSup>
          <m:sSupPr>
            <m:ctrlPr>
              <w:rPr>
                <w:rFonts w:ascii="Cambria Math" w:hAnsi="Cambria Math" w:cstheme="majorBidi"/>
                <w:i/>
              </w:rPr>
            </m:ctrlPr>
          </m:sSupPr>
          <m:e>
            <m:r>
              <m:rPr>
                <m:scr m:val="double-struck"/>
              </m:rPr>
              <w:rPr>
                <w:rFonts w:ascii="Cambria Math" w:hAnsi="Cambria Math" w:cstheme="majorBidi"/>
              </w:rPr>
              <m:t>R</m:t>
            </m:r>
          </m:e>
          <m:sup>
            <m:r>
              <w:rPr>
                <w:rFonts w:ascii="Cambria Math" w:hAnsi="Cambria Math" w:cstheme="majorBidi"/>
              </w:rPr>
              <m:t>p</m:t>
            </m:r>
          </m:sup>
        </m:sSup>
        <m: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w:rPr>
                <w:rFonts w:ascii="Cambria Math" w:hAnsi="Cambria Math" w:cstheme="majorBidi"/>
              </w:rPr>
              <m:t>q</m:t>
            </m:r>
          </m:sup>
        </m:sSup>
      </m:oMath>
      <w:r>
        <w:rPr>
          <w:rFonts w:cstheme="majorBidi"/>
        </w:rPr>
        <w:t xml:space="preserve"> that minimizes the difference or </w:t>
      </w:r>
      <w:r>
        <w:rPr>
          <w:rFonts w:cstheme="majorBidi"/>
          <w:i/>
          <w:iCs/>
        </w:rPr>
        <w:t>loss</w:t>
      </w:r>
      <w:r>
        <w:rPr>
          <w:rFonts w:cstheme="majorBidi"/>
        </w:rPr>
        <w:t xml:space="preserve"> between the true label </w:t>
      </w:r>
      <w:r>
        <w:rPr>
          <w:rFonts w:cstheme="majorBidi"/>
          <w:i/>
          <w:iCs/>
        </w:rPr>
        <w:t>y</w:t>
      </w:r>
      <w:r>
        <w:rPr>
          <w:rFonts w:cstheme="majorBidi"/>
        </w:rPr>
        <w:t xml:space="preserve"> and the predicted label </w:t>
      </w:r>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=f(x)</m:t>
        </m:r>
      </m:oMath>
      <w:r>
        <w:rPr>
          <w:rFonts w:eastAsiaTheme="minorEastAsia" w:cstheme="majorBidi"/>
        </w:rPr>
        <w:t xml:space="preserve"> for each </w:t>
      </w:r>
      <m:oMath>
        <m:r>
          <w:rPr>
            <w:rFonts w:ascii="Cambria Math" w:hAnsi="Cambria Math" w:cstheme="majorBidi"/>
          </w:rPr>
          <m:t>x,y∈</m:t>
        </m:r>
        <m:sSup>
          <m:sSupPr>
            <m:ctrlPr>
              <w:rPr>
                <w:rFonts w:ascii="Cambria Math" w:hAnsi="Cambria Math" w:cstheme="majorBidi"/>
                <w:i/>
              </w:rPr>
            </m:ctrlPr>
          </m:sSupPr>
          <m:e>
            <m:r>
              <m:rPr>
                <m:scr m:val="double-struck"/>
              </m:rPr>
              <w:rPr>
                <w:rFonts w:ascii="Cambria Math" w:hAnsi="Cambria Math" w:cstheme="majorBidi"/>
              </w:rPr>
              <m:t>R</m:t>
            </m:r>
          </m:e>
          <m:sup>
            <m:r>
              <w:rPr>
                <w:rFonts w:ascii="Cambria Math" w:hAnsi="Cambria Math" w:cstheme="majorBidi"/>
              </w:rPr>
              <m:t>p×q</m:t>
            </m:r>
          </m:sup>
        </m:sSup>
      </m:oMath>
      <w:r>
        <w:rPr>
          <w:rFonts w:eastAsiaTheme="minorEastAsia" w:cstheme="majorBidi"/>
        </w:rPr>
        <w:t xml:space="preserve"> </w:t>
      </w:r>
      <w:r>
        <w:rPr>
          <w:rStyle w:val="FootnoteReference"/>
          <w:rFonts w:eastAsiaTheme="minorEastAsia" w:cstheme="majorBidi"/>
        </w:rPr>
        <w:footnoteReference w:id="4"/>
      </w:r>
      <w:r>
        <w:rPr>
          <w:rFonts w:eastAsiaTheme="minorEastAsia" w:cstheme="majorBidi"/>
        </w:rPr>
        <w:t xml:space="preserve">. The loss can be quantified using any </w:t>
      </w:r>
      <w:r>
        <w:rPr>
          <w:rFonts w:eastAsiaTheme="minorEastAsia" w:cstheme="majorBidi"/>
          <w:i/>
          <w:iCs/>
        </w:rPr>
        <w:t xml:space="preserve">loss function </w:t>
      </w:r>
      <w:r>
        <w:rPr>
          <w:rFonts w:eastAsiaTheme="minorEastAsia" w:cstheme="majorBidi"/>
        </w:rPr>
        <w:t xml:space="preserve">indicating the </w:t>
      </w:r>
      <w:r w:rsidRPr="00167522">
        <w:rPr>
          <w:rFonts w:cstheme="majorBidi"/>
        </w:rPr>
        <w:t>discrepancy</w:t>
      </w:r>
      <w:r>
        <w:rPr>
          <w:rFonts w:cstheme="majorBidi"/>
        </w:rPr>
        <w:t xml:space="preserve"> between the observation and the prediction, </w:t>
      </w:r>
      <w:r>
        <w:rPr>
          <w:rFonts w:eastAsiaTheme="minorEastAsia" w:cstheme="majorBidi"/>
        </w:rPr>
        <w:t xml:space="preserve">such as </w:t>
      </w:r>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 xml:space="preserve"> y</m:t>
                </m:r>
              </m:e>
              <m:sub>
                <m:r>
                  <w:rPr>
                    <w:rFonts w:ascii="Cambria Math" w:eastAsiaTheme="minorEastAsia" w:hAnsi="Cambria Math" w:cstheme="majorBidi"/>
                  </w:rPr>
                  <m:t>i</m:t>
                </m:r>
              </m:sub>
            </m:sSub>
            <m:r>
              <w:rPr>
                <w:rFonts w:ascii="Cambria Math" w:eastAsiaTheme="minorEastAsia" w:hAnsi="Cambria Math" w:cstheme="majorBidi"/>
              </w:rPr>
              <m:t>-f(</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m:t>
            </m:r>
          </m:e>
        </m:d>
      </m:oMath>
      <w:r>
        <w:rPr>
          <w:rFonts w:eastAsiaTheme="minorEastAsia" w:cstheme="majorBidi"/>
        </w:rPr>
        <w:t xml:space="preserve"> or </w:t>
      </w:r>
      <m:oMath>
        <m:sSup>
          <m:sSupPr>
            <m:ctrlPr>
              <w:rPr>
                <w:rFonts w:ascii="Cambria Math" w:eastAsiaTheme="minorEastAsia" w:hAnsi="Cambria Math" w:cstheme="majorBidi"/>
                <w:i/>
              </w:rPr>
            </m:ctrlPr>
          </m:sSupPr>
          <m:e>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 xml:space="preserve"> y</m:t>
                </m:r>
              </m:e>
              <m:sub>
                <m:r>
                  <w:rPr>
                    <w:rFonts w:ascii="Cambria Math" w:eastAsiaTheme="minorEastAsia" w:hAnsi="Cambria Math" w:cstheme="majorBidi"/>
                  </w:rPr>
                  <m:t>i</m:t>
                </m:r>
              </m:sub>
            </m:sSub>
            <m:r>
              <w:rPr>
                <w:rFonts w:ascii="Cambria Math" w:eastAsiaTheme="minorEastAsia" w:hAnsi="Cambria Math" w:cstheme="majorBidi"/>
              </w:rPr>
              <m:t>-f(</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 xml:space="preserve"> </m:t>
        </m:r>
      </m:oMath>
      <w:r>
        <w:rPr>
          <w:rFonts w:eastAsiaTheme="minorEastAsia" w:cstheme="majorBidi"/>
        </w:rPr>
        <w:t xml:space="preserve">or their variations (known as the </w:t>
      </w:r>
      <w:r>
        <w:rPr>
          <w:rFonts w:eastAsiaTheme="minorEastAsia" w:cstheme="majorBidi"/>
          <w:i/>
          <w:iCs/>
        </w:rPr>
        <w:t xml:space="preserve">absolute </w:t>
      </w:r>
      <w:r>
        <w:rPr>
          <w:rFonts w:eastAsiaTheme="minorEastAsia" w:cstheme="majorBidi"/>
        </w:rPr>
        <w:t xml:space="preserve">or </w:t>
      </w:r>
      <w:r>
        <w:rPr>
          <w:rFonts w:eastAsiaTheme="minorEastAsia" w:cstheme="majorBidi"/>
          <w:i/>
          <w:iCs/>
        </w:rPr>
        <w:t>L1 loss</w:t>
      </w:r>
      <w:r>
        <w:rPr>
          <w:rFonts w:eastAsiaTheme="minorEastAsia" w:cstheme="majorBidi"/>
        </w:rPr>
        <w:t xml:space="preserve">, and the </w:t>
      </w:r>
      <w:r>
        <w:rPr>
          <w:rFonts w:eastAsiaTheme="minorEastAsia" w:cstheme="majorBidi"/>
          <w:i/>
          <w:iCs/>
        </w:rPr>
        <w:t xml:space="preserve">squared </w:t>
      </w:r>
      <w:r>
        <w:rPr>
          <w:rFonts w:eastAsiaTheme="minorEastAsia" w:cstheme="majorBidi"/>
        </w:rPr>
        <w:t xml:space="preserve">or </w:t>
      </w:r>
      <w:r>
        <w:rPr>
          <w:rFonts w:eastAsiaTheme="minorEastAsia" w:cstheme="majorBidi"/>
          <w:i/>
          <w:iCs/>
        </w:rPr>
        <w:t xml:space="preserve">quadratic </w:t>
      </w:r>
      <w:r>
        <w:rPr>
          <w:rFonts w:eastAsiaTheme="minorEastAsia" w:cstheme="majorBidi"/>
        </w:rPr>
        <w:t xml:space="preserve">or </w:t>
      </w:r>
      <w:r>
        <w:rPr>
          <w:rFonts w:eastAsiaTheme="minorEastAsia" w:cstheme="majorBidi"/>
          <w:i/>
          <w:iCs/>
        </w:rPr>
        <w:t>L2 loss</w:t>
      </w:r>
      <w:r>
        <w:rPr>
          <w:rFonts w:eastAsiaTheme="minorEastAsia" w:cstheme="majorBidi"/>
        </w:rPr>
        <w:t xml:space="preserve">, </w:t>
      </w:r>
      <w:r>
        <w:rPr>
          <w:rFonts w:eastAsiaTheme="minorEastAsia" w:cstheme="majorBidi"/>
        </w:rPr>
        <w:lastRenderedPageBreak/>
        <w:t xml:space="preserve">respectively) or even a simple function that outputs 0 or 1 for incorrect and correct predictions, respectively (known as the </w:t>
      </w:r>
      <w:r>
        <w:rPr>
          <w:rFonts w:eastAsiaTheme="minorEastAsia" w:cstheme="majorBidi"/>
          <w:i/>
          <w:iCs/>
        </w:rPr>
        <w:t>0-1 loss</w:t>
      </w:r>
      <w:r>
        <w:rPr>
          <w:rFonts w:eastAsiaTheme="minorEastAsia" w:cstheme="majorBidi"/>
        </w:rPr>
        <w:t>, usually used in classification problems).</w:t>
      </w:r>
      <w:r>
        <w:rPr>
          <w:rFonts w:eastAsiaTheme="minorEastAsia" w:cstheme="majorBidi"/>
        </w:rPr>
        <w:br/>
        <w:t>The expected value of loss</w:t>
      </w:r>
      <w:r w:rsidRPr="00F052A2">
        <w:rPr>
          <w:rFonts w:eastAsiaTheme="minorEastAsia" w:cstheme="majorBidi"/>
        </w:rPr>
        <w:t xml:space="preserve"> </w:t>
      </w:r>
      <w:r>
        <w:rPr>
          <w:rFonts w:eastAsiaTheme="minorEastAsia" w:cstheme="majorBidi"/>
        </w:rPr>
        <w:t>over all datapoints of the probability distribution</w:t>
      </w:r>
      <w:r w:rsidRPr="00F052A2">
        <w:rPr>
          <w:rFonts w:eastAsiaTheme="minorEastAsia" w:cstheme="majorBidi"/>
        </w:rPr>
        <w:t xml:space="preserve"> </w:t>
      </w:r>
      <w:r>
        <w:rPr>
          <w:rFonts w:eastAsiaTheme="minorEastAsia" w:cstheme="majorBidi"/>
        </w:rPr>
        <w:t xml:space="preserve">is called the </w:t>
      </w:r>
      <w:r>
        <w:rPr>
          <w:rFonts w:eastAsiaTheme="minorEastAsia" w:cstheme="majorBidi"/>
          <w:i/>
          <w:iCs/>
        </w:rPr>
        <w:t>risk</w:t>
      </w:r>
      <w:r>
        <w:rPr>
          <w:rFonts w:eastAsiaTheme="minorEastAsia" w:cstheme="majorBidi"/>
        </w:rPr>
        <w:t xml:space="preserve">, or more accurately, the </w:t>
      </w:r>
      <w:r>
        <w:rPr>
          <w:rFonts w:eastAsiaTheme="minorEastAsia" w:cstheme="majorBidi"/>
          <w:i/>
          <w:iCs/>
        </w:rPr>
        <w:t>true risk</w:t>
      </w:r>
      <w:r>
        <w:rPr>
          <w:rFonts w:eastAsiaTheme="minorEastAsia" w:cstheme="majorBidi"/>
        </w:rPr>
        <w:t xml:space="preserve">: </w:t>
      </w:r>
      <m:oMath>
        <m:r>
          <w:rPr>
            <w:rFonts w:ascii="Cambria Math" w:eastAsiaTheme="minorEastAsia" w:hAnsi="Cambria Math" w:cstheme="majorBidi"/>
          </w:rPr>
          <m:t>E</m:t>
        </m:r>
        <m:d>
          <m:dPr>
            <m:begChr m:val="["/>
            <m:endChr m:val="]"/>
            <m:ctrlPr>
              <w:rPr>
                <w:rFonts w:ascii="Cambria Math" w:eastAsiaTheme="minorEastAsia" w:hAnsi="Cambria Math" w:cstheme="majorBidi"/>
                <w:i/>
              </w:rPr>
            </m:ctrlPr>
          </m:dPr>
          <m:e>
            <m:r>
              <w:rPr>
                <w:rFonts w:ascii="Cambria Math" w:eastAsiaTheme="minorEastAsia" w:hAnsi="Cambria Math" w:cstheme="majorBidi"/>
              </w:rPr>
              <m:t>Loss</m:t>
            </m:r>
            <m:d>
              <m:dPr>
                <m:ctrlPr>
                  <w:rPr>
                    <w:rFonts w:ascii="Cambria Math" w:eastAsiaTheme="minorEastAsia" w:hAnsi="Cambria Math" w:cstheme="majorBidi"/>
                    <w:i/>
                    <w:iCs/>
                  </w:rPr>
                </m:ctrlPr>
              </m:dPr>
              <m:e>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r>
                  <w:rPr>
                    <w:rFonts w:ascii="Cambria Math" w:eastAsiaTheme="minorEastAsia" w:hAnsi="Cambria Math" w:cstheme="majorBidi"/>
                  </w:rPr>
                  <m:t>,f(</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m:t>
                </m:r>
                <m:ctrlPr>
                  <w:rPr>
                    <w:rFonts w:ascii="Cambria Math" w:eastAsiaTheme="minorEastAsia" w:hAnsi="Cambria Math" w:cstheme="majorBidi"/>
                    <w:i/>
                  </w:rPr>
                </m:ctrlPr>
              </m:e>
            </m:d>
          </m:e>
        </m:d>
        <m:r>
          <w:rPr>
            <w:rFonts w:ascii="Cambria Math" w:eastAsiaTheme="minorEastAsia" w:hAnsi="Cambria Math" w:cstheme="majorBidi"/>
          </w:rPr>
          <m:t>=</m:t>
        </m:r>
        <m:nary>
          <m:naryPr>
            <m:limLoc m:val="subSup"/>
            <m:ctrlPr>
              <w:rPr>
                <w:rFonts w:ascii="Cambria Math" w:eastAsiaTheme="minorEastAsia" w:hAnsi="Cambria Math" w:cstheme="majorBidi"/>
                <w:i/>
              </w:rPr>
            </m:ctrlPr>
          </m:naryPr>
          <m:sub>
            <m:r>
              <w:rPr>
                <w:rFonts w:ascii="Cambria Math" w:eastAsiaTheme="minorEastAsia" w:hAnsi="Cambria Math" w:cstheme="majorBidi"/>
              </w:rPr>
              <m:t>-∞</m:t>
            </m:r>
          </m:sub>
          <m:sup>
            <m:r>
              <w:rPr>
                <w:rFonts w:ascii="Cambria Math" w:eastAsiaTheme="minorEastAsia" w:hAnsi="Cambria Math" w:cstheme="majorBidi"/>
              </w:rPr>
              <m:t>+∞</m:t>
            </m:r>
          </m:sup>
          <m:e>
            <m:r>
              <w:rPr>
                <w:rFonts w:ascii="Cambria Math" w:eastAsiaTheme="minorEastAsia" w:hAnsi="Cambria Math" w:cstheme="majorBidi"/>
              </w:rPr>
              <m:t>Loss</m:t>
            </m:r>
            <m:d>
              <m:dPr>
                <m:ctrlPr>
                  <w:rPr>
                    <w:rFonts w:ascii="Cambria Math" w:eastAsiaTheme="minorEastAsia" w:hAnsi="Cambria Math" w:cstheme="majorBidi"/>
                    <w:i/>
                    <w:iCs/>
                  </w:rPr>
                </m:ctrlPr>
              </m:dPr>
              <m:e>
                <m:r>
                  <w:rPr>
                    <w:rFonts w:ascii="Cambria Math" w:eastAsiaTheme="minorEastAsia" w:hAnsi="Cambria Math" w:cstheme="majorBidi"/>
                  </w:rPr>
                  <m:t>y,f(x)</m:t>
                </m:r>
                <m:ctrlPr>
                  <w:rPr>
                    <w:rFonts w:ascii="Cambria Math" w:eastAsiaTheme="minorEastAsia" w:hAnsi="Cambria Math" w:cstheme="majorBidi"/>
                    <w:i/>
                  </w:rPr>
                </m:ctrlPr>
              </m:e>
            </m:d>
            <m:r>
              <w:rPr>
                <w:rFonts w:ascii="Cambria Math" w:eastAsiaTheme="minorEastAsia" w:hAnsi="Cambria Math" w:cstheme="majorBidi"/>
              </w:rPr>
              <m:t xml:space="preserve"> dP(x,y)</m:t>
            </m:r>
          </m:e>
        </m:nary>
      </m:oMath>
      <w:r>
        <w:rPr>
          <w:rFonts w:eastAsiaTheme="minorEastAsia" w:cstheme="majorBidi"/>
        </w:rPr>
        <w:t>.</w:t>
      </w:r>
      <w:r>
        <w:rPr>
          <w:rFonts w:eastAsiaTheme="minorEastAsia" w:cstheme="majorBidi"/>
        </w:rPr>
        <w:br/>
        <w:t xml:space="preserve">In practice however, </w:t>
      </w:r>
      <m:oMath>
        <m:r>
          <w:rPr>
            <w:rFonts w:ascii="Cambria Math" w:hAnsi="Cambria Math" w:cstheme="majorBidi"/>
          </w:rPr>
          <m:t>P</m:t>
        </m:r>
        <m:d>
          <m:dPr>
            <m:ctrlPr>
              <w:rPr>
                <w:rFonts w:ascii="Cambria Math" w:hAnsi="Cambria Math" w:cstheme="majorBidi"/>
                <w:i/>
              </w:rPr>
            </m:ctrlPr>
          </m:dPr>
          <m:e>
            <m:r>
              <w:rPr>
                <w:rFonts w:ascii="Cambria Math" w:hAnsi="Cambria Math" w:cstheme="majorBidi"/>
              </w:rPr>
              <m:t>x,y</m:t>
            </m:r>
          </m:e>
        </m:d>
      </m:oMath>
      <w:r>
        <w:rPr>
          <w:rFonts w:eastAsiaTheme="minorEastAsia" w:cstheme="majorBidi"/>
        </w:rPr>
        <w:t xml:space="preserve"> is unknown and the initial dataset </w:t>
      </w:r>
      <m:oMath>
        <m:r>
          <w:rPr>
            <w:rFonts w:ascii="Cambria Math" w:hAnsi="Cambria Math" w:cstheme="majorBidi"/>
          </w:rPr>
          <m:t>{X,Y}</m:t>
        </m:r>
      </m:oMath>
      <w:r>
        <w:rPr>
          <w:rFonts w:cstheme="majorBidi"/>
        </w:rPr>
        <w:t xml:space="preserve"> is </w:t>
      </w:r>
      <w:r>
        <w:rPr>
          <w:rFonts w:eastAsiaTheme="minorEastAsia" w:cstheme="majorBidi"/>
        </w:rPr>
        <w:t xml:space="preserve">the only data available. Therefore, the </w:t>
      </w:r>
      <w:r>
        <w:rPr>
          <w:rFonts w:eastAsiaTheme="minorEastAsia" w:cstheme="majorBidi"/>
          <w:i/>
          <w:iCs/>
        </w:rPr>
        <w:t>empirical risk</w:t>
      </w:r>
      <w:r>
        <w:rPr>
          <w:rFonts w:eastAsiaTheme="minorEastAsia" w:cstheme="majorBidi"/>
        </w:rPr>
        <w:t xml:space="preserve">, that is the average loss for each </w:t>
      </w:r>
      <m:oMath>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)∈{X,Y}</m:t>
        </m:r>
      </m:oMath>
      <w:r>
        <w:rPr>
          <w:rFonts w:eastAsiaTheme="minorEastAsia" w:cstheme="majorBidi"/>
        </w:rPr>
        <w:t xml:space="preserve">, is minimized as an estimation of the true risk: </w:t>
      </w:r>
      <m:oMath>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n</m:t>
            </m:r>
          </m:den>
        </m:f>
        <m:nary>
          <m:naryPr>
            <m:chr m:val="∑"/>
            <m:limLoc m:val="undOvr"/>
            <m:ctrlPr>
              <w:rPr>
                <w:rFonts w:ascii="Cambria Math" w:eastAsiaTheme="minorEastAsia" w:hAnsi="Cambria Math" w:cstheme="majorBidi"/>
                <w:i/>
              </w:rPr>
            </m:ctrlPr>
          </m:naryPr>
          <m:sub>
            <m:r>
              <w:rPr>
                <w:rFonts w:ascii="Cambria Math" w:eastAsiaTheme="minorEastAsia" w:hAnsi="Cambria Math" w:cstheme="majorBidi"/>
              </w:rPr>
              <m:t>i=1</m:t>
            </m:r>
          </m:sub>
          <m:sup>
            <m:r>
              <w:rPr>
                <w:rFonts w:ascii="Cambria Math" w:eastAsiaTheme="minorEastAsia" w:hAnsi="Cambria Math" w:cstheme="majorBidi"/>
              </w:rPr>
              <m:t>n</m:t>
            </m:r>
          </m:sup>
          <m:e>
            <m:r>
              <w:rPr>
                <w:rFonts w:ascii="Cambria Math" w:eastAsiaTheme="minorEastAsia" w:hAnsi="Cambria Math" w:cstheme="majorBidi"/>
              </w:rPr>
              <m:t>Loss</m:t>
            </m:r>
            <m:d>
              <m:dPr>
                <m:ctrlPr>
                  <w:rPr>
                    <w:rFonts w:ascii="Cambria Math" w:eastAsiaTheme="minorEastAsia" w:hAnsi="Cambria Math" w:cstheme="majorBidi"/>
                    <w:i/>
                    <w:iCs/>
                  </w:rPr>
                </m:ctrlPr>
              </m:dPr>
              <m:e>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r>
                  <w:rPr>
                    <w:rFonts w:ascii="Cambria Math" w:eastAsiaTheme="minorEastAsia" w:hAnsi="Cambria Math" w:cstheme="majorBidi"/>
                  </w:rPr>
                  <m:t>,f(</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m:t>
                </m:r>
                <m:ctrlPr>
                  <w:rPr>
                    <w:rFonts w:ascii="Cambria Math" w:eastAsiaTheme="minorEastAsia" w:hAnsi="Cambria Math" w:cstheme="majorBidi"/>
                    <w:i/>
                  </w:rPr>
                </m:ctrlPr>
              </m:e>
            </m:d>
          </m:e>
        </m:nary>
      </m:oMath>
      <w:r>
        <w:rPr>
          <w:rFonts w:eastAsiaTheme="minorEastAsia" w:cstheme="majorBidi"/>
        </w:rPr>
        <w:t>.</w:t>
      </w:r>
    </w:p>
    <w:p w14:paraId="32924EA2" w14:textId="103472AC" w:rsidR="002A2D2F" w:rsidRDefault="002A2D2F" w:rsidP="002A2D2F">
      <w:pPr>
        <w:rPr>
          <w:rFonts w:eastAsiaTheme="minorEastAsia" w:cstheme="majorBidi"/>
        </w:rPr>
      </w:pPr>
      <w:r>
        <w:rPr>
          <w:rFonts w:eastAsiaTheme="minorEastAsia" w:cstheme="majorBidi"/>
        </w:rPr>
        <w:t xml:space="preserve">This substitution is warranted by the </w:t>
      </w:r>
      <w:r w:rsidRPr="00002DD6">
        <w:rPr>
          <w:rFonts w:eastAsiaTheme="minorEastAsia" w:cstheme="majorBidi"/>
          <w:i/>
          <w:iCs/>
        </w:rPr>
        <w:t xml:space="preserve">empirical risk minimization </w:t>
      </w:r>
      <w:r>
        <w:rPr>
          <w:rFonts w:eastAsiaTheme="minorEastAsia" w:cstheme="majorBidi"/>
          <w:i/>
          <w:iCs/>
        </w:rPr>
        <w:t xml:space="preserve">(ERM) </w:t>
      </w:r>
      <w:r w:rsidRPr="00002DD6">
        <w:rPr>
          <w:rFonts w:eastAsiaTheme="minorEastAsia" w:cstheme="majorBidi"/>
          <w:i/>
          <w:iCs/>
        </w:rPr>
        <w:t>principle</w:t>
      </w:r>
      <w:r>
        <w:rPr>
          <w:rFonts w:eastAsiaTheme="minorEastAsia" w:cstheme="majorBidi"/>
        </w:rPr>
        <w:t xml:space="preserve">, stating that a function which minimizes the empirical risk over a subset of a statistical distribution, results in a risk (defined over the original distribution) that is </w:t>
      </w:r>
      <w:r w:rsidRPr="00002DD6">
        <w:rPr>
          <w:rFonts w:eastAsiaTheme="minorEastAsia" w:cstheme="majorBidi"/>
        </w:rPr>
        <w:t>close to its minimum</w:t>
      </w:r>
      <w:r>
        <w:rPr>
          <w:rFonts w:eastAsiaTheme="minorEastAsia" w:cstheme="majorBidi"/>
        </w:rPr>
        <w:t xml:space="preserve">, given that [constraint] </w:t>
      </w:r>
      <w:r>
        <w:rPr>
          <w:rFonts w:eastAsiaTheme="minorEastAsia" w:cstheme="majorBidi"/>
        </w:rPr>
        <w:fldChar w:fldCharType="begin"/>
      </w:r>
      <w:r w:rsidR="00400F29">
        <w:rPr>
          <w:rFonts w:eastAsiaTheme="minorEastAsia" w:cstheme="majorBidi"/>
        </w:rPr>
        <w:instrText xml:space="preserve"> ADDIN ZOTERO_ITEM CSL_CITATION {"citationID":"S93NwMcr","properties":{"formattedCitation":"\\super 32\\nosupersub{}","plainCitation":"32","noteIndex":0},"citationItems":[{"id":346,"uris":["http://zotero.org/users/7931734/items/8A3GRC62"],"itemData":{"id":346,"type":"paper-conference","abstract":"Learning is posed as a problem of function estimation, for which two princi(cid:173) ples of solution are considered: empirical risk minimization and structural  risk minimization. These two principles are applied to two different state(cid:173) ments of the function estimation problem: global and local. Systematic  improvements in prediction power are illustrated in application to zip-code  recognition.","container-title":"Advances in Neural Information Processing Systems","publisher":"Morgan-Kaufmann","source":"Neural Information Processing Systems","title":"Principles of Risk Minimization for Learning Theory","URL":"https://papers.nips.cc/paper/1991/hash/ff4d5fbbafdf976cfdc032e3bde78de5-Abstract.html","volume":"4","author":[{"family":"Vapnik","given":"V."}],"accessed":{"date-parts":[["2022",12,23]]},"issued":{"date-parts":[["1991"]]}}}],"schema":"https://github.com/citation-style-language/schema/raw/master/csl-citation.json"} </w:instrText>
      </w:r>
      <w:r>
        <w:rPr>
          <w:rFonts w:eastAsiaTheme="minorEastAsia" w:cstheme="majorBidi"/>
        </w:rPr>
        <w:fldChar w:fldCharType="separate"/>
      </w:r>
      <w:r w:rsidR="00400F29" w:rsidRPr="00400F29">
        <w:rPr>
          <w:rFonts w:ascii="Times New Roman" w:hAnsi="Times New Roman"/>
          <w:vertAlign w:val="superscript"/>
        </w:rPr>
        <w:t>32</w:t>
      </w:r>
      <w:r>
        <w:rPr>
          <w:rFonts w:eastAsiaTheme="minorEastAsia" w:cstheme="majorBidi"/>
        </w:rPr>
        <w:fldChar w:fldCharType="end"/>
      </w:r>
      <w:r>
        <w:rPr>
          <w:rFonts w:eastAsiaTheme="minorEastAsia" w:cstheme="majorBidi"/>
        </w:rPr>
        <w:t xml:space="preserve">. Consequently, should an optimal function </w:t>
      </w:r>
      <m:oMath>
        <m:sSup>
          <m:sSupPr>
            <m:ctrlPr>
              <w:rPr>
                <w:rFonts w:ascii="Cambria Math" w:eastAsiaTheme="minorEastAsia" w:hAnsi="Cambria Math" w:cstheme="majorBidi"/>
                <w:i/>
              </w:rPr>
            </m:ctrlPr>
          </m:sSupPr>
          <m:e>
            <m:r>
              <w:rPr>
                <w:rFonts w:ascii="Cambria Math" w:eastAsiaTheme="minorEastAsia" w:hAnsi="Cambria Math" w:cstheme="majorBidi"/>
              </w:rPr>
              <m:t>f</m:t>
            </m:r>
          </m:e>
          <m:sup>
            <m:r>
              <w:rPr>
                <w:rFonts w:ascii="Cambria Math" w:eastAsiaTheme="minorEastAsia" w:hAnsi="Cambria Math" w:cstheme="majorBidi"/>
              </w:rPr>
              <m:t>*</m:t>
            </m:r>
          </m:sup>
        </m:sSup>
      </m:oMath>
      <w:r>
        <w:rPr>
          <w:rFonts w:eastAsiaTheme="minorEastAsia" w:cstheme="majorBidi"/>
        </w:rPr>
        <w:t xml:space="preserve"> be found that minimizes the empirical risk over the initial </w:t>
      </w:r>
      <w:r w:rsidRPr="0097704A">
        <w:rPr>
          <w:rFonts w:eastAsiaTheme="minorEastAsia" w:cstheme="majorBidi"/>
        </w:rPr>
        <w:t>dataset ([constraint]), the</w:t>
      </w:r>
      <w:r>
        <w:rPr>
          <w:rFonts w:eastAsiaTheme="minorEastAsia" w:cstheme="majorBidi"/>
        </w:rPr>
        <w:t xml:space="preserve"> same function can be used to provide accurate predictions for </w:t>
      </w:r>
      <m:oMath>
        <m:acc>
          <m:accPr>
            <m:chr m:val="́"/>
            <m:ctrlPr>
              <w:rPr>
                <w:rFonts w:ascii="Cambria Math" w:hAnsi="Cambria Math" w:cstheme="majorBidi"/>
                <w:i/>
              </w:rPr>
            </m:ctrlPr>
          </m:accPr>
          <m:e>
            <m:r>
              <w:rPr>
                <w:rFonts w:ascii="Cambria Math" w:hAnsi="Cambria Math" w:cstheme="majorBidi"/>
              </w:rPr>
              <m:t>x</m:t>
            </m:r>
          </m:e>
        </m:acc>
        <m:r>
          <w:rPr>
            <w:rFonts w:ascii="Cambria Math" w:hAnsi="Cambria Math" w:cstheme="majorBidi"/>
          </w:rPr>
          <m:t>∉X</m:t>
        </m:r>
      </m:oMath>
      <w:r w:rsidRPr="00FE1DB0">
        <w:rPr>
          <w:rFonts w:eastAsiaTheme="minorEastAsia" w:cstheme="majorBidi"/>
        </w:rPr>
        <w:t xml:space="preserve"> </w:t>
      </w:r>
      <w:r>
        <w:rPr>
          <w:rFonts w:eastAsiaTheme="minorEastAsia" w:cstheme="majorBidi"/>
        </w:rPr>
        <w:footnoteReference w:id="5"/>
      </w:r>
      <w:r>
        <w:rPr>
          <w:rFonts w:eastAsiaTheme="minorEastAsia" w:cstheme="majorBidi"/>
        </w:rPr>
        <w:t xml:space="preserve">. Such function is said to be </w:t>
      </w:r>
      <w:r w:rsidRPr="00560D76">
        <w:rPr>
          <w:rFonts w:eastAsiaTheme="minorEastAsia" w:cstheme="majorBidi"/>
          <w:i/>
          <w:iCs/>
        </w:rPr>
        <w:t>generalizable</w:t>
      </w:r>
      <w:r>
        <w:rPr>
          <w:rFonts w:eastAsiaTheme="minorEastAsia" w:cstheme="majorBidi"/>
        </w:rPr>
        <w:t xml:space="preserve">. </w:t>
      </w:r>
      <w:r w:rsidRPr="00560D76">
        <w:rPr>
          <w:rFonts w:eastAsiaTheme="minorEastAsia" w:cstheme="majorBidi"/>
        </w:rPr>
        <w:t>Interestingly, ERM also extends to functions that, instead of minimizing the risk of incorrect predictions, maximize the chance of correct predictions, as will be discussed shortly.</w:t>
      </w:r>
    </w:p>
    <w:p w14:paraId="31DF5832" w14:textId="77777777" w:rsidR="002A2D2F" w:rsidRPr="008E6373" w:rsidRDefault="002A2D2F" w:rsidP="002A2D2F">
      <w:pPr>
        <w:rPr>
          <w:rFonts w:eastAsiaTheme="minorEastAsia" w:cstheme="majorBidi"/>
        </w:rPr>
      </w:pPr>
      <w:r>
        <w:rPr>
          <w:rFonts w:cstheme="majorBidi"/>
        </w:rPr>
        <w:t xml:space="preserve">The computational procedure of finding a suitable function </w:t>
      </w:r>
      <w:r>
        <w:rPr>
          <w:rFonts w:cstheme="majorBidi"/>
          <w:i/>
          <w:iCs/>
        </w:rPr>
        <w:t xml:space="preserve">f </w:t>
      </w:r>
      <w:r>
        <w:rPr>
          <w:rFonts w:cstheme="majorBidi"/>
        </w:rPr>
        <w:t xml:space="preserve">is called </w:t>
      </w:r>
      <w:r w:rsidRPr="001233BA">
        <w:rPr>
          <w:rFonts w:cstheme="majorBidi"/>
          <w:i/>
          <w:iCs/>
        </w:rPr>
        <w:t>model</w:t>
      </w:r>
      <w:r>
        <w:rPr>
          <w:rFonts w:cstheme="majorBidi"/>
        </w:rPr>
        <w:t xml:space="preserve"> </w:t>
      </w:r>
      <w:r w:rsidRPr="008E6373">
        <w:rPr>
          <w:rFonts w:cstheme="majorBidi"/>
          <w:i/>
          <w:iCs/>
        </w:rPr>
        <w:t>training</w:t>
      </w:r>
      <w:r w:rsidRPr="008E6373">
        <w:rPr>
          <w:rFonts w:cstheme="majorBidi"/>
        </w:rPr>
        <w:t xml:space="preserve">. </w:t>
      </w:r>
      <w:r w:rsidRPr="008E6373">
        <w:rPr>
          <w:rFonts w:eastAsiaTheme="minorEastAsia" w:cstheme="majorBidi"/>
        </w:rPr>
        <w:t xml:space="preserve">As supervised learning </w:t>
      </w:r>
      <w:r>
        <w:rPr>
          <w:rFonts w:eastAsiaTheme="minorEastAsia" w:cstheme="majorBidi"/>
        </w:rPr>
        <w:t>(</w:t>
      </w:r>
      <w:r w:rsidRPr="008E6373">
        <w:rPr>
          <w:rFonts w:eastAsiaTheme="minorEastAsia" w:cstheme="majorBidi"/>
        </w:rPr>
        <w:t>in its general definition</w:t>
      </w:r>
      <w:r>
        <w:rPr>
          <w:rFonts w:eastAsiaTheme="minorEastAsia" w:cstheme="majorBidi"/>
        </w:rPr>
        <w:t>)</w:t>
      </w:r>
      <w:r w:rsidRPr="008E6373">
        <w:rPr>
          <w:rFonts w:eastAsiaTheme="minorEastAsia" w:cstheme="majorBidi"/>
        </w:rPr>
        <w:t xml:space="preserve"> makes no assumption</w:t>
      </w:r>
      <w:r>
        <w:rPr>
          <w:rFonts w:eastAsiaTheme="minorEastAsia" w:cstheme="majorBidi"/>
        </w:rPr>
        <w:t>s</w:t>
      </w:r>
      <w:r w:rsidRPr="008E6373">
        <w:rPr>
          <w:rFonts w:eastAsiaTheme="minorEastAsia" w:cstheme="majorBidi"/>
        </w:rPr>
        <w:t xml:space="preserve"> about </w:t>
      </w:r>
      <w:r w:rsidRPr="008E6373">
        <w:rPr>
          <w:rFonts w:eastAsiaTheme="minorEastAsia" w:cstheme="majorBidi"/>
          <w:i/>
          <w:iCs/>
        </w:rPr>
        <w:t>f</w:t>
      </w:r>
      <w:r w:rsidRPr="008E6373">
        <w:rPr>
          <w:rFonts w:eastAsiaTheme="minorEastAsia" w:cstheme="majorBidi"/>
        </w:rPr>
        <w:t xml:space="preserve">, any function that satisfies the aforementioned criteria may be used </w:t>
      </w:r>
      <w:r w:rsidRPr="008E6373">
        <w:rPr>
          <w:rFonts w:eastAsiaTheme="minorEastAsia" w:cstheme="majorBidi"/>
        </w:rPr>
        <w:footnoteReference w:id="6"/>
      </w:r>
      <w:r w:rsidRPr="008E6373">
        <w:rPr>
          <w:rFonts w:eastAsiaTheme="minorEastAsia" w:cstheme="majorBidi"/>
        </w:rPr>
        <w:t xml:space="preserve">. Therefore, several types of functions exist. A typing scheme is to divide them to those constructed at the time of prediction and those a priori constructed at the time of training, called instance- or memory-based, and model-based, </w:t>
      </w:r>
      <w:r w:rsidRPr="0097704A">
        <w:rPr>
          <w:rFonts w:eastAsiaTheme="minorEastAsia" w:cstheme="majorBidi"/>
        </w:rPr>
        <w:t>respectively. [explain]</w:t>
      </w:r>
    </w:p>
    <w:p w14:paraId="60474A9B" w14:textId="77777777" w:rsidR="002A2D2F" w:rsidRDefault="002A2D2F" w:rsidP="002A2D2F">
      <w:pPr>
        <w:rPr>
          <w:rFonts w:eastAsiaTheme="minorEastAsia" w:cstheme="majorBidi"/>
        </w:rPr>
      </w:pPr>
      <w:r>
        <w:rPr>
          <w:rFonts w:eastAsiaTheme="minorEastAsia" w:cstheme="majorBidi"/>
        </w:rPr>
        <w:t xml:space="preserve">It can also be a more constrained model such as </w:t>
      </w:r>
      <m:oMath>
        <m:r>
          <w:rPr>
            <w:rFonts w:ascii="Cambria Math" w:eastAsiaTheme="minorEastAsia" w:hAnsi="Cambria Math" w:cstheme="majorBidi"/>
          </w:rPr>
          <m:t>f(x;θ)</m:t>
        </m:r>
      </m:oMath>
      <w:r>
        <w:rPr>
          <w:rFonts w:eastAsiaTheme="minorEastAsia" w:cstheme="majorBidi"/>
        </w:rPr>
        <w:t xml:space="preserve"> in which </w:t>
      </w:r>
      <m:oMath>
        <m:r>
          <w:rPr>
            <w:rFonts w:ascii="Cambria Math" w:eastAsiaTheme="minorEastAsia" w:hAnsi="Cambria Math" w:cstheme="majorBidi"/>
          </w:rPr>
          <m:t>θ</m:t>
        </m:r>
      </m:oMath>
      <w:r>
        <w:rPr>
          <w:rFonts w:eastAsiaTheme="minorEastAsia" w:cstheme="majorBidi"/>
        </w:rPr>
        <w:t xml:space="preserve"> is a finite set of numbers defining the characteristics of the function, called </w:t>
      </w:r>
      <w:r w:rsidRPr="001233BA">
        <w:rPr>
          <w:rFonts w:eastAsiaTheme="minorEastAsia" w:cstheme="majorBidi"/>
          <w:i/>
          <w:iCs/>
        </w:rPr>
        <w:t>model parameters</w:t>
      </w:r>
      <w:r>
        <w:rPr>
          <w:rFonts w:eastAsiaTheme="minorEastAsia" w:cstheme="majorBidi"/>
        </w:rPr>
        <w:t xml:space="preserve">, and thus this class of functions are called </w:t>
      </w:r>
      <w:r>
        <w:rPr>
          <w:rFonts w:eastAsiaTheme="minorEastAsia" w:cstheme="majorBidi"/>
          <w:i/>
          <w:iCs/>
        </w:rPr>
        <w:t>parametric models</w:t>
      </w:r>
      <w:r>
        <w:rPr>
          <w:rFonts w:eastAsiaTheme="minorEastAsia" w:cstheme="majorBidi"/>
        </w:rPr>
        <w:t xml:space="preserve">. In contrast, </w:t>
      </w:r>
      <w:r>
        <w:rPr>
          <w:rFonts w:eastAsiaTheme="minorEastAsia" w:cstheme="majorBidi"/>
          <w:i/>
          <w:iCs/>
        </w:rPr>
        <w:t xml:space="preserve">non-parametric models </w:t>
      </w:r>
      <w:r>
        <w:rPr>
          <w:rFonts w:eastAsiaTheme="minorEastAsia" w:cstheme="majorBidi"/>
        </w:rPr>
        <w:t xml:space="preserve">have no such assumption and are less deterministic </w:t>
      </w:r>
      <w:r>
        <w:rPr>
          <w:rFonts w:eastAsiaTheme="minorEastAsia" w:cstheme="majorBidi"/>
        </w:rPr>
        <w:footnoteReference w:id="7"/>
      </w:r>
      <w:r>
        <w:rPr>
          <w:rFonts w:eastAsiaTheme="minorEastAsia" w:cstheme="majorBidi"/>
        </w:rPr>
        <w:t>. Training parametric models would be equivalent to finding a</w:t>
      </w:r>
      <w:r w:rsidRPr="008E6373">
        <w:rPr>
          <w:rFonts w:eastAsiaTheme="minorEastAsia" w:cstheme="majorBidi"/>
        </w:rPr>
        <w:t xml:space="preserve"> </w:t>
      </w:r>
      <w:r>
        <w:rPr>
          <w:rFonts w:eastAsiaTheme="minorEastAsia" w:cstheme="majorBidi"/>
        </w:rPr>
        <w:t xml:space="preserve">set of parameters </w:t>
      </w:r>
      <m:oMath>
        <m:sSup>
          <m:sSupPr>
            <m:ctrlPr>
              <w:rPr>
                <w:rFonts w:ascii="Cambria Math" w:eastAsiaTheme="minorEastAsia" w:hAnsi="Cambria Math" w:cstheme="majorBidi"/>
                <w:i/>
              </w:rPr>
            </m:ctrlPr>
          </m:sSupPr>
          <m:e>
            <m:r>
              <w:rPr>
                <w:rFonts w:ascii="Cambria Math" w:eastAsiaTheme="minorEastAsia" w:hAnsi="Cambria Math" w:cstheme="majorBidi"/>
              </w:rPr>
              <m:t>θ</m:t>
            </m:r>
          </m:e>
          <m:sup>
            <m:r>
              <w:rPr>
                <w:rFonts w:ascii="Cambria Math" w:eastAsiaTheme="minorEastAsia" w:hAnsi="Cambria Math" w:cstheme="majorBidi"/>
              </w:rPr>
              <m:t>*</m:t>
            </m:r>
          </m:sup>
        </m:sSup>
      </m:oMath>
      <w:r>
        <w:rPr>
          <w:rFonts w:eastAsiaTheme="minorEastAsia" w:cstheme="majorBidi"/>
        </w:rPr>
        <w:t xml:space="preserve"> that minimizes the empirical risk. When used in this sense (i.e., a function to be minimized), empirical risk is often referred as the </w:t>
      </w:r>
      <w:r>
        <w:rPr>
          <w:rFonts w:eastAsiaTheme="minorEastAsia" w:cstheme="majorBidi"/>
          <w:i/>
          <w:iCs/>
        </w:rPr>
        <w:t>cost function</w:t>
      </w:r>
      <w:r>
        <w:rPr>
          <w:rFonts w:eastAsiaTheme="minorEastAsia" w:cstheme="majorBidi"/>
        </w:rPr>
        <w:t xml:space="preserve">. However, sometimes the cost function does not result in a closed-form expression, for example in logistic regression. In such cases, it is more convenient to calculate the likelihood of the predicted </w:t>
      </w:r>
      <w:r>
        <w:rPr>
          <w:rFonts w:eastAsiaTheme="minorEastAsia" w:cstheme="majorBidi"/>
        </w:rPr>
        <w:lastRenderedPageBreak/>
        <w:t xml:space="preserve">parameters </w:t>
      </w:r>
      <m:oMath>
        <m:acc>
          <m:accPr>
            <m:ctrlPr>
              <w:rPr>
                <w:rFonts w:ascii="Cambria Math" w:eastAsiaTheme="minorEastAsia" w:hAnsi="Cambria Math" w:cstheme="majorBidi"/>
                <w:i/>
              </w:rPr>
            </m:ctrlPr>
          </m:accPr>
          <m:e>
            <m:r>
              <w:rPr>
                <w:rFonts w:ascii="Cambria Math" w:eastAsiaTheme="minorEastAsia" w:hAnsi="Cambria Math" w:cstheme="majorBidi"/>
              </w:rPr>
              <m:t>θ</m:t>
            </m:r>
          </m:e>
        </m:acc>
      </m:oMath>
      <w:r>
        <w:rPr>
          <w:rFonts w:eastAsiaTheme="minorEastAsia" w:cstheme="majorBidi"/>
        </w:rPr>
        <w:t xml:space="preserve"> being the correct set of parameters given label </w:t>
      </w:r>
      <m:oMath>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r>
          <w:rPr>
            <w:rFonts w:ascii="Cambria Math" w:eastAsiaTheme="minorEastAsia" w:hAnsi="Cambria Math" w:cstheme="majorBidi"/>
          </w:rPr>
          <m:t>∈Y</m:t>
        </m:r>
      </m:oMath>
      <w:r>
        <w:rPr>
          <w:rFonts w:eastAsiaTheme="minorEastAsia" w:cstheme="majorBidi"/>
        </w:rPr>
        <w:t xml:space="preserve"> is observed, that is </w:t>
      </w:r>
      <m:oMath>
        <m:r>
          <w:rPr>
            <w:rFonts w:ascii="Cambria Math" w:eastAsiaTheme="minorEastAsia" w:hAnsi="Cambria Math" w:cstheme="majorBidi"/>
          </w:rPr>
          <m:t>Likelihood</m:t>
        </m:r>
        <m:d>
          <m:dPr>
            <m:ctrlPr>
              <w:rPr>
                <w:rFonts w:ascii="Cambria Math" w:eastAsiaTheme="minorEastAsia" w:hAnsi="Cambria Math" w:cstheme="majorBidi"/>
                <w:i/>
              </w:rPr>
            </m:ctrlPr>
          </m:dPr>
          <m:e>
            <m:acc>
              <m:accPr>
                <m:ctrlPr>
                  <w:rPr>
                    <w:rFonts w:ascii="Cambria Math" w:eastAsiaTheme="minorEastAsia" w:hAnsi="Cambria Math" w:cstheme="majorBidi"/>
                    <w:i/>
                  </w:rPr>
                </m:ctrlPr>
              </m:accPr>
              <m:e>
                <m:r>
                  <w:rPr>
                    <w:rFonts w:ascii="Cambria Math" w:eastAsiaTheme="minorEastAsia" w:hAnsi="Cambria Math" w:cstheme="majorBidi"/>
                  </w:rPr>
                  <m:t>θ</m:t>
                </m:r>
              </m:e>
            </m:acc>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e>
        </m:d>
      </m:oMath>
      <w:r>
        <w:rPr>
          <w:rFonts w:eastAsiaTheme="minorEastAsia" w:cstheme="majorBidi"/>
        </w:rPr>
        <w:t>. Accordingly, the aim would be to maximize the ma</w:t>
      </w:r>
      <w:bookmarkStart w:id="3" w:name="_Hlk122718575"/>
      <w:r>
        <w:rPr>
          <w:rFonts w:eastAsiaTheme="minorEastAsia" w:cstheme="majorBidi"/>
        </w:rPr>
        <w:t xml:space="preserve">ximum likelihood estimator: </w:t>
      </w:r>
      <w:bookmarkEnd w:id="3"/>
      <m:oMath>
        <m:r>
          <w:rPr>
            <w:rFonts w:ascii="Cambria Math" w:eastAsiaTheme="minorEastAsia" w:hAnsi="Cambria Math" w:cstheme="majorBidi"/>
          </w:rPr>
          <m:t>MLE</m:t>
        </m:r>
        <m:d>
          <m:dPr>
            <m:ctrlPr>
              <w:rPr>
                <w:rFonts w:ascii="Cambria Math" w:eastAsiaTheme="minorEastAsia" w:hAnsi="Cambria Math" w:cstheme="majorBidi"/>
                <w:i/>
              </w:rPr>
            </m:ctrlPr>
          </m:dPr>
          <m:e>
            <m:r>
              <w:rPr>
                <w:rFonts w:ascii="Cambria Math" w:eastAsiaTheme="minorEastAsia" w:hAnsi="Cambria Math" w:cstheme="majorBidi"/>
              </w:rPr>
              <m:t>θ,Y</m:t>
            </m:r>
          </m:e>
        </m:d>
        <m:r>
          <w:rPr>
            <w:rFonts w:ascii="Cambria Math" w:eastAsiaTheme="minorEastAsia" w:hAnsi="Cambria Math" w:cstheme="majorBidi"/>
          </w:rPr>
          <m:t>=</m:t>
        </m:r>
        <m:nary>
          <m:naryPr>
            <m:chr m:val="∏"/>
            <m:limLoc m:val="undOvr"/>
            <m:ctrlPr>
              <w:rPr>
                <w:rFonts w:ascii="Cambria Math" w:eastAsiaTheme="minorEastAsia" w:hAnsi="Cambria Math" w:cstheme="majorBidi"/>
                <w:i/>
              </w:rPr>
            </m:ctrlPr>
          </m:naryPr>
          <m:sub>
            <m:r>
              <w:rPr>
                <w:rFonts w:ascii="Cambria Math" w:eastAsiaTheme="minorEastAsia" w:hAnsi="Cambria Math" w:cstheme="majorBidi"/>
              </w:rPr>
              <m:t>i=1</m:t>
            </m:r>
          </m:sub>
          <m:sup>
            <m:r>
              <w:rPr>
                <w:rFonts w:ascii="Cambria Math" w:eastAsiaTheme="minorEastAsia" w:hAnsi="Cambria Math" w:cstheme="majorBidi"/>
              </w:rPr>
              <m:t>n</m:t>
            </m:r>
          </m:sup>
          <m:e>
            <m:r>
              <w:rPr>
                <w:rFonts w:ascii="Cambria Math" w:eastAsiaTheme="minorEastAsia" w:hAnsi="Cambria Math" w:cstheme="majorBidi"/>
              </w:rPr>
              <m:t>Likelihood</m:t>
            </m:r>
            <m:d>
              <m:dPr>
                <m:ctrlPr>
                  <w:rPr>
                    <w:rFonts w:ascii="Cambria Math" w:eastAsiaTheme="minorEastAsia" w:hAnsi="Cambria Math" w:cstheme="majorBidi"/>
                    <w:i/>
                  </w:rPr>
                </m:ctrlPr>
              </m:dPr>
              <m:e>
                <m:r>
                  <w:rPr>
                    <w:rFonts w:ascii="Cambria Math" w:eastAsiaTheme="minorEastAsia" w:hAnsi="Cambria Math" w:cstheme="majorBidi"/>
                  </w:rPr>
                  <m:t>θ,</m:t>
                </m:r>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e>
            </m:d>
          </m:e>
        </m:nary>
      </m:oMath>
      <w:r>
        <w:rPr>
          <w:rFonts w:eastAsiaTheme="minorEastAsia" w:cstheme="majorBidi"/>
        </w:rPr>
        <w:t xml:space="preserve"> </w:t>
      </w:r>
      <w:r>
        <w:rPr>
          <w:rFonts w:eastAsiaTheme="minorEastAsia" w:cstheme="majorBidi"/>
        </w:rPr>
        <w:footnoteReference w:id="8"/>
      </w:r>
      <w:r>
        <w:rPr>
          <w:rFonts w:eastAsiaTheme="minorEastAsia" w:cstheme="majorBidi"/>
        </w:rPr>
        <w:t xml:space="preserve">. For this reason, the term </w:t>
      </w:r>
      <w:r>
        <w:rPr>
          <w:rFonts w:eastAsiaTheme="minorEastAsia" w:cstheme="majorBidi"/>
          <w:i/>
          <w:iCs/>
        </w:rPr>
        <w:t>objective function</w:t>
      </w:r>
      <w:r>
        <w:rPr>
          <w:rFonts w:eastAsiaTheme="minorEastAsia" w:cstheme="majorBidi"/>
        </w:rPr>
        <w:t xml:space="preserve"> may be preferred over cost function as it is a broader category that includes any function that the model tries to optimize.</w:t>
      </w:r>
    </w:p>
    <w:p w14:paraId="2A061159" w14:textId="69CE460A" w:rsidR="002A2D2F" w:rsidRDefault="002A2D2F" w:rsidP="002A2D2F">
      <w:r>
        <w:rPr>
          <w:rFonts w:cstheme="majorBidi"/>
        </w:rPr>
        <w:t xml:space="preserve">If the predicted function </w:t>
      </w:r>
      <m:oMath>
        <m:acc>
          <m:accPr>
            <m:ctrlPr>
              <w:rPr>
                <w:rFonts w:ascii="Cambria Math" w:hAnsi="Cambria Math" w:cstheme="majorBidi"/>
                <w:i/>
              </w:rPr>
            </m:ctrlPr>
          </m:accPr>
          <m:e>
            <m:r>
              <w:rPr>
                <w:rFonts w:ascii="Cambria Math" w:hAnsi="Cambria Math" w:cstheme="majorBidi"/>
              </w:rPr>
              <m:t>f</m:t>
            </m:r>
          </m:e>
        </m:acc>
      </m:oMath>
      <w:r>
        <w:rPr>
          <w:rFonts w:eastAsiaTheme="minorEastAsia" w:cstheme="majorBidi"/>
        </w:rPr>
        <w:t xml:space="preserve"> results in a high deviation from the observed labels (high empirical risk), the model is said to have high </w:t>
      </w:r>
      <w:r>
        <w:rPr>
          <w:rFonts w:eastAsiaTheme="minorEastAsia" w:cstheme="majorBidi"/>
          <w:i/>
          <w:iCs/>
        </w:rPr>
        <w:t>bias</w:t>
      </w:r>
      <w:r>
        <w:rPr>
          <w:rFonts w:eastAsiaTheme="minorEastAsia" w:cstheme="majorBidi"/>
        </w:rPr>
        <w:t xml:space="preserve"> and therefore </w:t>
      </w:r>
      <w:r>
        <w:rPr>
          <w:rFonts w:eastAsiaTheme="minorEastAsia" w:cstheme="majorBidi"/>
          <w:i/>
          <w:iCs/>
        </w:rPr>
        <w:t xml:space="preserve">underfits </w:t>
      </w:r>
      <w:r>
        <w:rPr>
          <w:rFonts w:eastAsiaTheme="minorEastAsia" w:cstheme="majorBidi"/>
        </w:rPr>
        <w:t>the data.</w:t>
      </w:r>
      <w:r w:rsidRPr="00C20968">
        <w:t xml:space="preserve"> </w:t>
      </w:r>
      <w:r>
        <w:t>While it is necessary for the suitable model to adequately fit the training data (i.e., low bias), this alone is not sufficient for a good modeling.</w:t>
      </w:r>
      <w:r w:rsidRPr="00C20968">
        <w:t xml:space="preserve"> </w:t>
      </w:r>
      <w:r>
        <w:t>The ultimate goal of models is to predict decently when faced with</w:t>
      </w:r>
      <w:r w:rsidRPr="00DC102D">
        <w:t xml:space="preserve"> </w:t>
      </w:r>
      <w:r>
        <w:t>real-world, unknown data. Such models are said to have high</w:t>
      </w:r>
      <w:r w:rsidRPr="00DC102D">
        <w:t xml:space="preserve"> </w:t>
      </w:r>
      <w:r>
        <w:rPr>
          <w:i/>
          <w:iCs/>
        </w:rPr>
        <w:t xml:space="preserve">generalizability </w:t>
      </w:r>
      <w:r>
        <w:t xml:space="preserve">or low </w:t>
      </w:r>
      <w:r>
        <w:rPr>
          <w:i/>
          <w:iCs/>
        </w:rPr>
        <w:t>variance</w:t>
      </w:r>
      <w:r>
        <w:t>, as they are insensitive to changes in the input data, given that the new data has (roughly) the same statistical distribution as the original data</w:t>
      </w:r>
      <w:r>
        <w:rPr>
          <w:i/>
          <w:iCs/>
        </w:rPr>
        <w:t xml:space="preserve"> </w:t>
      </w:r>
      <w:r>
        <w:rPr>
          <w:i/>
          <w:iCs/>
        </w:rPr>
        <w:fldChar w:fldCharType="begin"/>
      </w:r>
      <w:r w:rsidR="00400F29">
        <w:rPr>
          <w:i/>
          <w:iCs/>
        </w:rPr>
        <w:instrText xml:space="preserve"> ADDIN ZOTERO_ITEM CSL_CITATION {"citationID":"WYblKLuL","properties":{"formattedCitation":"\\super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rPr>
          <w:i/>
          <w:iCs/>
        </w:rPr>
        <w:fldChar w:fldCharType="separate"/>
      </w:r>
      <w:r w:rsidR="00400F29" w:rsidRPr="00400F29">
        <w:rPr>
          <w:rFonts w:ascii="Times New Roman" w:hAnsi="Times New Roman"/>
          <w:vertAlign w:val="superscript"/>
        </w:rPr>
        <w:t>18</w:t>
      </w:r>
      <w:r>
        <w:rPr>
          <w:i/>
          <w:iCs/>
        </w:rPr>
        <w:fldChar w:fldCharType="end"/>
      </w:r>
      <w:r>
        <w:rPr>
          <w:i/>
          <w:iCs/>
        </w:rPr>
        <w:t>.</w:t>
      </w:r>
      <w:r w:rsidRPr="005D694E">
        <w:t xml:space="preserve"> </w:t>
      </w:r>
      <w:r>
        <w:t>Models that have a low bias on the original dataset but underperform on other datasets are said to</w:t>
      </w:r>
      <w:r w:rsidRPr="00FD1B47">
        <w:rPr>
          <w:i/>
          <w:iCs/>
        </w:rPr>
        <w:t xml:space="preserve"> </w:t>
      </w:r>
      <w:r>
        <w:rPr>
          <w:i/>
          <w:iCs/>
        </w:rPr>
        <w:t xml:space="preserve">overfit </w:t>
      </w:r>
      <w:r>
        <w:t xml:space="preserve">the data. They can reproduce the training labels with low bias, but a slight change in the input will severely decrease their performance, that is, they have high variance. Hence, as bias and variance tend to move in opposite directions, called </w:t>
      </w:r>
      <w:r w:rsidRPr="00A04A77">
        <w:rPr>
          <w:i/>
          <w:iCs/>
        </w:rPr>
        <w:t>bias-variance tradeoff</w:t>
      </w:r>
      <w:r>
        <w:rPr>
          <w:i/>
          <w:iCs/>
        </w:rPr>
        <w:t xml:space="preserve">, </w:t>
      </w:r>
      <w:r>
        <w:t xml:space="preserve">a good model should find a balance between the two, based on how the model is going to be used in practice </w:t>
      </w:r>
      <w:r>
        <w:fldChar w:fldCharType="begin"/>
      </w:r>
      <w:r w:rsidR="00400F29">
        <w:instrText xml:space="preserve"> ADDIN ZOTERO_ITEM CSL_CITATION {"citationID":"GH1o8X6y","properties":{"formattedCitation":"\\super 18,24\\nosupersub{}","plainCitation":"18,24","noteIndex":0},"citationItems":[{"id":424,"uris":["http://zotero.org/users/7931734/items/MKT8CQ2J"],"itemData":{"id":424,"type":"article-journal","abstract":"Knowledge Discovery in Databases (KDD) has become a very attractive discipline both for research and industry within last few years. Its goal is to extract pieces of knowledge or ‘patterns’ from usually very large databases. It portrays a robust sequ","container-title":"Intelligent Data Analysis","DOI":"10.3233/ida-2000-43-413","ISSN":"1088-467X","issue":"3-4","language":"en","note":"publisher: IOS Press","page":"363-374","source":"content.iospress.com","title":"From machine learning to knowledge discovery: Survey of preprocessing and postprocessing","title-short":"From machine learning to knowledge discovery","volume":"4","author":[{"family":"Bruha","given":"Ivan"}],"issued":{"date-parts":[["2000",1,1]]}}},{"id":377,"uris":["http://zotero.org/users/7931734/items/73J8WV2N"],"itemData":{"id":377,"type":"article-journal","abstract":"Supervised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fldChar w:fldCharType="separate"/>
      </w:r>
      <w:r w:rsidR="00400F29" w:rsidRPr="00400F29">
        <w:rPr>
          <w:rFonts w:ascii="Times New Roman" w:hAnsi="Times New Roman"/>
          <w:vertAlign w:val="superscript"/>
        </w:rPr>
        <w:t>18,24</w:t>
      </w:r>
      <w:r>
        <w:fldChar w:fldCharType="end"/>
      </w:r>
      <w:r>
        <w:t>.</w:t>
      </w:r>
    </w:p>
    <w:p w14:paraId="45D45288" w14:textId="35CD5559" w:rsidR="002A2D2F" w:rsidRDefault="002A2D2F" w:rsidP="002A2D2F">
      <w:r>
        <w:t xml:space="preserve">Consequently, the choice of which model to use falls on the shoulders of the analyst, based on the data itself and the characteristics of the model. As stated by the </w:t>
      </w:r>
      <w:r>
        <w:rPr>
          <w:i/>
          <w:iCs/>
        </w:rPr>
        <w:t>no free lunch theorem</w:t>
      </w:r>
      <w:r>
        <w:t xml:space="preserve">: “for any algorithm, any elevated performance over one class of problems is offset by performance over another class” </w:t>
      </w:r>
      <w:r>
        <w:fldChar w:fldCharType="begin"/>
      </w:r>
      <w:r w:rsidR="00400F29">
        <w:instrText xml:space="preserve"> ADDIN ZOTERO_ITEM CSL_CITATION {"citationID":"Bs8Ac13E","properties":{"formattedCitation":"\\super 33\\nosupersub{}","plainCitation":"33","noteIndex":0},"citationItems":[{"id":24,"uris":["http://zotero.org/users/7931734/items/ZKJ7FE5L"],"itemData":{"id":24,"type":"article-journal","abstract":"A framework is developed to explore the connection between effective optimization algorithms and the problems they are solving. A number of \"no free lunch\"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\"head-to-head\" minimax distinctions between optimization algorithms, distinctions that result despite the NFL theorems' enforcing of a type of uniformity over all algorithms.","container-title":"IEEE Transactions on Evolutionary Computation","DOI":"10.1109/4235.585893","ISSN":"1941-0026","issue":"1","note":"event-title: IEEE Transactions on Evolutionary Computation","page":"67-82","source":"IEEE Xplore","title":"No free lunch theorems for optimization","volume":"1","author":[{"family":"Wolpert","given":"D.H."},{"family":"Macready","given":"W.G."}],"issued":{"date-parts":[["1997",4]]}}}],"schema":"https://github.com/citation-style-language/schema/raw/master/csl-citation.json"} </w:instrText>
      </w:r>
      <w:r>
        <w:fldChar w:fldCharType="separate"/>
      </w:r>
      <w:r w:rsidR="00400F29" w:rsidRPr="00400F29">
        <w:rPr>
          <w:rFonts w:ascii="Times New Roman" w:hAnsi="Times New Roman"/>
          <w:vertAlign w:val="superscript"/>
        </w:rPr>
        <w:t>33</w:t>
      </w:r>
      <w:r>
        <w:fldChar w:fldCharType="end"/>
      </w:r>
      <w:r>
        <w:t>, therefore no single model can have adequate performance for all machine learning tasks.</w:t>
      </w:r>
      <w:r>
        <w:rPr>
          <w:rStyle w:val="highlight"/>
        </w:rPr>
        <w:t xml:space="preserve"> The most widely used approach in practice is to prepare a list of models that are applicable to that task (e.g., binary classification, etc.) and test them to find a model that has the best performance </w:t>
      </w:r>
      <w:r>
        <w:rPr>
          <w:rStyle w:val="highlight"/>
        </w:rPr>
        <w:fldChar w:fldCharType="begin"/>
      </w:r>
      <w:r w:rsidR="00400F29">
        <w:rPr>
          <w:rStyle w:val="highlight"/>
        </w:rPr>
        <w:instrText xml:space="preserve"> ADDIN ZOTERO_ITEM CSL_CITATION {"citationID":"V0WCDJN4","properties":{"formattedCitation":"\\super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rPr>
          <w:rStyle w:val="highlight"/>
        </w:rPr>
        <w:fldChar w:fldCharType="separate"/>
      </w:r>
      <w:r w:rsidR="00400F29" w:rsidRPr="00400F29">
        <w:rPr>
          <w:rFonts w:ascii="Times New Roman" w:hAnsi="Times New Roman"/>
          <w:vertAlign w:val="superscript"/>
        </w:rPr>
        <w:t>18</w:t>
      </w:r>
      <w:r>
        <w:rPr>
          <w:rStyle w:val="highlight"/>
        </w:rPr>
        <w:fldChar w:fldCharType="end"/>
      </w:r>
      <w:r>
        <w:rPr>
          <w:rStyle w:val="highlight"/>
        </w:rPr>
        <w:t>.</w:t>
      </w:r>
    </w:p>
    <w:p w14:paraId="7D6F0504" w14:textId="77777777" w:rsidR="002A2D2F" w:rsidRDefault="002A2D2F" w:rsidP="002A2D2F">
      <w:r>
        <w:t xml:space="preserve">Aside from that, several criteria for model selection have been proposed, the most famous of which, are </w:t>
      </w:r>
      <w:r w:rsidRPr="00E65094">
        <w:t>Akaike Information Criterion (AIC)</w:t>
      </w:r>
      <w:r>
        <w:t xml:space="preserve"> and Bayesian Information Criterion (BIC). </w:t>
      </w:r>
      <w:r w:rsidRPr="0097704A">
        <w:t>[explain AIC and BIC]</w:t>
      </w:r>
    </w:p>
    <w:p w14:paraId="6197B20A" w14:textId="292C7468" w:rsidR="00E01B69" w:rsidRDefault="00E01B69" w:rsidP="00E01B69">
      <w:pPr>
        <w:pStyle w:val="Heading2"/>
      </w:pPr>
      <w:r>
        <w:t>4.1. Example Models</w:t>
      </w:r>
    </w:p>
    <w:p w14:paraId="138DEFC2" w14:textId="079EEC27" w:rsidR="00E01B69" w:rsidRPr="00C8145D" w:rsidRDefault="00E01B69" w:rsidP="00E01B69">
      <w:pPr>
        <w:pStyle w:val="Heading3"/>
      </w:pPr>
      <w:bookmarkStart w:id="4" w:name="_Toc123391058"/>
      <w:bookmarkStart w:id="5" w:name="_Toc124023348"/>
      <w:r>
        <w:t xml:space="preserve">4.1.1. </w:t>
      </w:r>
      <w:r w:rsidRPr="00C8145D">
        <w:t>Regression Models</w:t>
      </w:r>
      <w:bookmarkEnd w:id="4"/>
      <w:bookmarkEnd w:id="5"/>
    </w:p>
    <w:p w14:paraId="4733A311" w14:textId="77777777" w:rsidR="00E01B69" w:rsidRPr="00682599" w:rsidRDefault="00E01B69" w:rsidP="00E01B69">
      <w:pPr>
        <w:rPr>
          <w:rFonts w:eastAsiaTheme="minorEastAsia" w:cstheme="majorBidi"/>
        </w:rPr>
      </w:pPr>
      <w:r w:rsidRPr="00682599">
        <w:rPr>
          <w:rFonts w:cstheme="majorBidi"/>
        </w:rPr>
        <w:t xml:space="preserve">Regression models </w:t>
      </w:r>
      <w:r w:rsidRPr="00682599">
        <w:rPr>
          <w:rStyle w:val="FootnoteReference"/>
          <w:rFonts w:cstheme="majorBidi"/>
        </w:rPr>
        <w:footnoteReference w:id="9"/>
      </w:r>
      <w:r w:rsidRPr="00682599">
        <w:rPr>
          <w:rFonts w:cstheme="majorBidi"/>
        </w:rPr>
        <w:t xml:space="preserve"> are supervised learning algorithms that use regression methods for prediction. </w:t>
      </w:r>
      <w:r w:rsidRPr="00682599">
        <w:rPr>
          <w:rFonts w:cstheme="majorBidi"/>
          <w:i/>
          <w:iCs/>
        </w:rPr>
        <w:t>Linear regression</w:t>
      </w:r>
      <w:r w:rsidRPr="00682599">
        <w:rPr>
          <w:rFonts w:cstheme="majorBidi"/>
        </w:rPr>
        <w:t xml:space="preserve">, assumes that a continuous target variable can be modeled using a linear combination of predicting features as </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0</m:t>
            </m:r>
          </m:sub>
        </m:sSub>
        <m:r>
          <w:rPr>
            <w:rFonts w:ascii="Cambria Math" w:eastAsiaTheme="minorEastAsia"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nary>
        <m:r>
          <w:rPr>
            <w:rFonts w:ascii="Cambria Math" w:eastAsiaTheme="minorEastAsia" w:hAnsi="Cambria Math" w:cstheme="majorBidi"/>
          </w:rPr>
          <m:t xml:space="preserve"> </m:t>
        </m:r>
      </m:oMath>
      <w:r w:rsidRPr="00682599">
        <w:rPr>
          <w:rFonts w:eastAsiaTheme="minorEastAsia" w:cstheme="majorBidi"/>
        </w:rPr>
        <w:t xml:space="preserve">, with </w:t>
      </w:r>
      <w:r w:rsidRPr="00682599">
        <w:rPr>
          <w:rFonts w:cstheme="majorBidi"/>
          <w:i/>
          <w:iCs/>
        </w:rPr>
        <w:t>x</w:t>
      </w:r>
      <w:r w:rsidRPr="00682599">
        <w:rPr>
          <w:rFonts w:cstheme="majorBidi"/>
          <w:i/>
          <w:iCs/>
          <w:vertAlign w:val="subscript"/>
        </w:rPr>
        <w:t>i</w:t>
      </w:r>
      <w:r w:rsidRPr="00682599">
        <w:rPr>
          <w:rFonts w:cstheme="majorBidi"/>
        </w:rPr>
        <w:t xml:space="preserve"> and </w:t>
      </w:r>
      <w:proofErr w:type="spellStart"/>
      <w:r w:rsidRPr="00682599">
        <w:rPr>
          <w:rFonts w:cstheme="majorBidi"/>
          <w:i/>
          <w:iCs/>
        </w:rPr>
        <w:t>w</w:t>
      </w:r>
      <w:r w:rsidRPr="00682599">
        <w:rPr>
          <w:rFonts w:cstheme="majorBidi"/>
          <w:i/>
          <w:iCs/>
          <w:vertAlign w:val="subscript"/>
        </w:rPr>
        <w:t>i</w:t>
      </w:r>
      <w:proofErr w:type="spellEnd"/>
      <w:r w:rsidRPr="00682599">
        <w:rPr>
          <w:rFonts w:cstheme="majorBidi"/>
        </w:rPr>
        <w:t xml:space="preserve"> being the feature and weight vectors for the </w:t>
      </w:r>
      <w:proofErr w:type="spellStart"/>
      <w:r w:rsidRPr="00682599">
        <w:rPr>
          <w:rFonts w:cstheme="majorBidi"/>
          <w:i/>
          <w:iCs/>
        </w:rPr>
        <w:t>i</w:t>
      </w:r>
      <w:r w:rsidRPr="00682599">
        <w:rPr>
          <w:rFonts w:cstheme="majorBidi"/>
          <w:vertAlign w:val="superscript"/>
        </w:rPr>
        <w:t>th</w:t>
      </w:r>
      <w:proofErr w:type="spellEnd"/>
      <w:r w:rsidRPr="00682599">
        <w:rPr>
          <w:rFonts w:cstheme="majorBidi"/>
        </w:rPr>
        <w:t xml:space="preserve"> (out of </w:t>
      </w:r>
      <w:r w:rsidRPr="00682599">
        <w:rPr>
          <w:rFonts w:cstheme="majorBidi"/>
          <w:i/>
          <w:iCs/>
        </w:rPr>
        <w:t>n</w:t>
      </w:r>
      <w:r w:rsidRPr="00682599">
        <w:rPr>
          <w:rFonts w:cstheme="majorBidi"/>
        </w:rPr>
        <w:t xml:space="preserve">) predictor variable, and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0</m:t>
            </m:r>
          </m:sub>
        </m:sSub>
      </m:oMath>
      <w:r w:rsidRPr="00682599">
        <w:rPr>
          <w:rFonts w:eastAsiaTheme="minorEastAsia" w:cstheme="majorBidi"/>
        </w:rPr>
        <w:t xml:space="preserve"> being the intercept.</w:t>
      </w:r>
      <w:r w:rsidRPr="00682599">
        <w:rPr>
          <w:rFonts w:cstheme="majorBidi"/>
        </w:rPr>
        <w:t xml:space="preserve"> The aim is to find </w:t>
      </w:r>
      <m:oMath>
        <m:r>
          <w:rPr>
            <w:rFonts w:ascii="Cambria Math" w:hAnsi="Cambria Math" w:cstheme="majorBidi"/>
          </w:rPr>
          <m:t>W=</m:t>
        </m:r>
        <m:sSubSup>
          <m:sSubSupPr>
            <m:ctrlPr>
              <w:rPr>
                <w:rFonts w:ascii="Cambria Math" w:hAnsi="Cambria Math" w:cstheme="majorBidi"/>
                <w:i/>
              </w:rPr>
            </m:ctrlPr>
          </m:sSubSupPr>
          <m:e>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r>
              <w:rPr>
                <w:rFonts w:ascii="Cambria Math" w:hAnsi="Cambria Math" w:cstheme="majorBidi"/>
              </w:rPr>
              <m:t>}</m:t>
            </m:r>
          </m:e>
          <m:sub>
            <m:r>
              <w:rPr>
                <w:rFonts w:ascii="Cambria Math" w:hAnsi="Cambria Math" w:cstheme="majorBidi"/>
              </w:rPr>
              <m:t>i=0</m:t>
            </m:r>
          </m:sub>
          <m:sup>
            <m:r>
              <w:rPr>
                <w:rFonts w:ascii="Cambria Math" w:hAnsi="Cambria Math" w:cstheme="majorBidi"/>
              </w:rPr>
              <m:t>p</m:t>
            </m:r>
          </m:sup>
        </m:sSubSup>
      </m:oMath>
      <w:r w:rsidRPr="00682599">
        <w:rPr>
          <w:rFonts w:eastAsiaTheme="minorEastAsia" w:cstheme="majorBidi"/>
        </w:rPr>
        <w:t xml:space="preserve">that </w:t>
      </w:r>
      <w:r w:rsidRPr="00682599">
        <w:rPr>
          <w:rFonts w:cstheme="majorBidi"/>
        </w:rPr>
        <w:t xml:space="preserve">minimizes the objective function, usually the mean squared </w:t>
      </w:r>
      <w:r w:rsidRPr="00682599">
        <w:rPr>
          <w:rFonts w:cstheme="majorBidi"/>
        </w:rPr>
        <w:lastRenderedPageBreak/>
        <w:t xml:space="preserve">error: </w:t>
      </w:r>
      <m:oMath>
        <m:r>
          <w:rPr>
            <w:rFonts w:ascii="Cambria Math" w:hAnsi="Cambria Math" w:cstheme="majorBidi"/>
          </w:rPr>
          <m:t>MSE</m:t>
        </m:r>
        <m:d>
          <m:dPr>
            <m:ctrlPr>
              <w:rPr>
                <w:rFonts w:ascii="Cambria Math" w:hAnsi="Cambria Math" w:cstheme="majorBidi"/>
                <w:i/>
              </w:rPr>
            </m:ctrlPr>
          </m:dPr>
          <m:e>
            <m:r>
              <w:rPr>
                <w:rFonts w:ascii="Cambria Math" w:hAnsi="Cambria Math" w:cstheme="majorBidi"/>
              </w:rPr>
              <m:t>W,X,Y</m:t>
            </m:r>
          </m:e>
        </m:d>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n</m:t>
            </m:r>
          </m:den>
        </m:f>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sSup>
              <m:sSupPr>
                <m:ctrlPr>
                  <w:rPr>
                    <w:rFonts w:ascii="Cambria Math" w:hAnsi="Cambria Math" w:cstheme="majorBidi"/>
                    <w:i/>
                  </w:rPr>
                </m:ctrlPr>
              </m:sSupPr>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e>
              <m:sup>
                <m:r>
                  <w:rPr>
                    <w:rFonts w:ascii="Cambria Math" w:hAnsi="Cambria Math" w:cstheme="majorBidi"/>
                  </w:rPr>
                  <m:t>2</m:t>
                </m:r>
              </m:sup>
            </m:sSup>
          </m:e>
        </m:nary>
      </m:oMath>
      <w:r w:rsidRPr="00682599">
        <w:rPr>
          <w:rFonts w:eastAsiaTheme="minorEastAsia" w:cstheme="majorBidi"/>
        </w:rPr>
        <w:t xml:space="preserve">. </w:t>
      </w:r>
      <w:r w:rsidRPr="00682599">
        <w:rPr>
          <w:rFonts w:cstheme="majorBidi"/>
        </w:rPr>
        <w:t>For binary classification problems, logistic regression uses the logistic function to normalize the predicted value in the range [0,1] as the probability</w:t>
      </w:r>
      <w:r>
        <w:rPr>
          <w:rFonts w:cstheme="majorBidi"/>
        </w:rPr>
        <w:t xml:space="preserve"> </w:t>
      </w:r>
      <m:oMath>
        <m:r>
          <w:rPr>
            <w:rFonts w:ascii="Cambria Math" w:hAnsi="Cambria Math" w:cstheme="majorBidi"/>
          </w:rPr>
          <m:t>P</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=1</m:t>
            </m:r>
          </m:e>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1+</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0</m:t>
                    </m:r>
                  </m:sub>
                </m:sSub>
                <m:r>
                  <w:rPr>
                    <w:rFonts w:ascii="Cambria Math" w:eastAsiaTheme="minorEastAsia"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nary>
                <m:r>
                  <w:rPr>
                    <w:rFonts w:ascii="Cambria Math" w:hAnsi="Cambria Math" w:cstheme="majorBidi"/>
                  </w:rPr>
                  <m:t>)</m:t>
                </m:r>
              </m:sup>
            </m:sSup>
          </m:den>
        </m:f>
      </m:oMath>
      <w:r w:rsidRPr="00682599">
        <w:rPr>
          <w:rFonts w:eastAsiaTheme="minorEastAsia" w:cstheme="majorBidi"/>
        </w:rPr>
        <w:t xml:space="preserve"> , or equivalently: </w:t>
      </w:r>
      <m:oMath>
        <m:func>
          <m:funcPr>
            <m:ctrlPr>
              <w:rPr>
                <w:rFonts w:ascii="Cambria Math" w:eastAsiaTheme="minorEastAsia" w:hAnsi="Cambria Math" w:cstheme="majorBidi"/>
                <w:i/>
              </w:rPr>
            </m:ctrlPr>
          </m:funcPr>
          <m:fName>
            <m:r>
              <m:rPr>
                <m:sty m:val="p"/>
              </m:rPr>
              <w:rPr>
                <w:rFonts w:ascii="Cambria Math" w:hAnsi="Cambria Math" w:cstheme="majorBidi"/>
              </w:rPr>
              <m:t>ln</m:t>
            </m:r>
          </m:fName>
          <m:e>
            <m:f>
              <m:fPr>
                <m:ctrlPr>
                  <w:rPr>
                    <w:rFonts w:ascii="Cambria Math" w:eastAsiaTheme="minorEastAsia" w:hAnsi="Cambria Math" w:cstheme="majorBidi"/>
                    <w:i/>
                  </w:rPr>
                </m:ctrlPr>
              </m:fPr>
              <m:num>
                <m:r>
                  <w:rPr>
                    <w:rFonts w:ascii="Cambria Math" w:hAnsi="Cambria Math" w:cstheme="majorBidi"/>
                  </w:rPr>
                  <m:t>P(</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=1|</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m:t>
                </m:r>
              </m:num>
              <m:den>
                <m:r>
                  <w:rPr>
                    <w:rFonts w:ascii="Cambria Math" w:eastAsiaTheme="minorEastAsia" w:hAnsi="Cambria Math" w:cstheme="majorBidi"/>
                  </w:rPr>
                  <m:t>1-</m:t>
                </m:r>
                <m:r>
                  <w:rPr>
                    <w:rFonts w:ascii="Cambria Math" w:hAnsi="Cambria Math" w:cstheme="majorBidi"/>
                  </w:rPr>
                  <m:t>P(</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=1|</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m:t>
                </m:r>
              </m:den>
            </m:f>
          </m:e>
        </m:func>
        <m:r>
          <w:rPr>
            <w:rFonts w:ascii="Cambria Math" w:eastAsiaTheme="minorEastAsia"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0</m:t>
            </m:r>
          </m:sub>
        </m:sSub>
        <m:r>
          <w:rPr>
            <w:rFonts w:ascii="Cambria Math" w:eastAsiaTheme="minorEastAsia"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nary>
      </m:oMath>
      <w:r w:rsidRPr="00682599">
        <w:rPr>
          <w:rFonts w:cstheme="majorBidi"/>
        </w:rPr>
        <w:t>.</w:t>
      </w:r>
      <w:r w:rsidRPr="00682599">
        <w:rPr>
          <w:rFonts w:cstheme="majorBidi"/>
        </w:rPr>
        <w:br/>
        <w:t xml:space="preserve">The </w:t>
      </w:r>
      <w:r w:rsidRPr="00682599">
        <w:rPr>
          <w:rFonts w:eastAsiaTheme="minorEastAsia" w:cstheme="majorBidi"/>
        </w:rPr>
        <w:t xml:space="preserve">decision boundary is often set to 0.5 and negative log-likelihood is used as the objective function. Logistic regression can be extended for multiple-class predictions using the </w:t>
      </w:r>
      <w:proofErr w:type="spellStart"/>
      <w:r w:rsidRPr="00682599">
        <w:rPr>
          <w:rFonts w:eastAsiaTheme="minorEastAsia" w:cstheme="majorBidi"/>
        </w:rPr>
        <w:t>softmax</w:t>
      </w:r>
      <w:proofErr w:type="spellEnd"/>
      <w:r w:rsidRPr="00682599">
        <w:rPr>
          <w:rFonts w:eastAsiaTheme="minorEastAsia" w:cstheme="majorBidi"/>
        </w:rPr>
        <w:t xml:space="preserve"> function. Regression can also be applied to non-linear distributions using </w:t>
      </w:r>
      <w:r w:rsidRPr="00682599">
        <w:rPr>
          <w:rFonts w:eastAsiaTheme="minorEastAsia" w:cstheme="majorBidi"/>
          <w:i/>
          <w:iCs/>
        </w:rPr>
        <w:t>polynomial regression</w:t>
      </w:r>
      <w:r w:rsidRPr="00682599">
        <w:rPr>
          <w:rFonts w:eastAsiaTheme="minorEastAsia" w:cstheme="majorBidi"/>
        </w:rPr>
        <w:t>:</w:t>
      </w:r>
      <w:r w:rsidRPr="00682599">
        <w:rPr>
          <w:rFonts w:eastAsiaTheme="minorEastAsia" w:cstheme="majorBidi"/>
        </w:rPr>
        <w:br/>
      </w:r>
      <m:oMathPara>
        <m:oMathParaPr>
          <m:jc m:val="left"/>
        </m:oMathParaP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0</m:t>
              </m:r>
            </m:sub>
          </m:sSub>
          <m:r>
            <w:rPr>
              <w:rFonts w:ascii="Cambria Math" w:eastAsiaTheme="minorEastAsia" w:hAnsi="Cambria Math" w:cstheme="majorBidi"/>
            </w:rPr>
            <m:t>+</m:t>
          </m:r>
          <m:nary>
            <m:naryPr>
              <m:chr m:val="∑"/>
              <m:limLoc m:val="undOvr"/>
              <m:ctrlPr>
                <w:rPr>
                  <w:rFonts w:ascii="Cambria Math" w:eastAsiaTheme="minorEastAsia" w:hAnsi="Cambria Math" w:cstheme="majorBidi"/>
                  <w:i/>
                </w:rPr>
              </m:ctrlPr>
            </m:naryPr>
            <m:sub>
              <m:eqArr>
                <m:eqArrPr>
                  <m:ctrlPr>
                    <w:rPr>
                      <w:rFonts w:ascii="Cambria Math" w:eastAsiaTheme="minorEastAsia" w:hAnsi="Cambria Math" w:cstheme="majorBidi"/>
                      <w:i/>
                    </w:rPr>
                  </m:ctrlPr>
                </m:eqArrPr>
                <m:e>
                  <m:r>
                    <w:rPr>
                      <w:rFonts w:ascii="Cambria Math" w:eastAsiaTheme="minorEastAsia" w:hAnsi="Cambria Math" w:cstheme="majorBidi"/>
                    </w:rPr>
                    <m:t>i=1</m:t>
                  </m:r>
                </m:e>
                <m:e>
                  <m:r>
                    <w:rPr>
                      <w:rFonts w:ascii="Cambria Math" w:eastAsiaTheme="minorEastAsia" w:hAnsi="Cambria Math" w:cstheme="majorBidi"/>
                    </w:rPr>
                    <m:t>m=1</m:t>
                  </m:r>
                </m:e>
              </m:eqArr>
            </m:sub>
            <m:sup>
              <m:r>
                <w:rPr>
                  <w:rFonts w:ascii="Cambria Math" w:eastAsiaTheme="minorEastAsia" w:hAnsi="Cambria Math" w:cstheme="majorBidi"/>
                </w:rPr>
                <m:t>n</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Sup>
                <m:sSubSupPr>
                  <m:ctrlPr>
                    <w:rPr>
                      <w:rFonts w:ascii="Cambria Math" w:hAnsi="Cambria Math" w:cstheme="majorBidi"/>
                      <w:i/>
                    </w:rPr>
                  </m:ctrlPr>
                </m:sSubSupPr>
                <m:e>
                  <m:r>
                    <w:rPr>
                      <w:rFonts w:ascii="Cambria Math" w:hAnsi="Cambria Math" w:cstheme="majorBidi"/>
                    </w:rPr>
                    <m:t>x</m:t>
                  </m:r>
                </m:e>
                <m:sub>
                  <m:r>
                    <w:rPr>
                      <w:rFonts w:ascii="Cambria Math" w:hAnsi="Cambria Math" w:cstheme="majorBidi"/>
                    </w:rPr>
                    <m:t>i</m:t>
                  </m:r>
                </m:sub>
                <m:sup>
                  <m:r>
                    <w:rPr>
                      <w:rFonts w:ascii="Cambria Math" w:hAnsi="Cambria Math" w:cstheme="majorBidi"/>
                    </w:rPr>
                    <m:t>m</m:t>
                  </m:r>
                </m:sup>
              </m:sSubSup>
            </m:e>
          </m:nary>
        </m:oMath>
      </m:oMathPara>
    </w:p>
    <w:p w14:paraId="2303A8DB" w14:textId="77777777" w:rsidR="00E01B69" w:rsidRPr="00682599" w:rsidRDefault="00E01B69" w:rsidP="00E01B69">
      <w:pPr>
        <w:rPr>
          <w:rFonts w:eastAsiaTheme="minorEastAsia" w:cstheme="majorBidi"/>
        </w:rPr>
      </w:pPr>
      <w:r w:rsidRPr="00682599">
        <w:rPr>
          <w:rFonts w:cstheme="majorBidi"/>
        </w:rPr>
        <w:t xml:space="preserve">Regression models tend to overfit high dimensional data by using complex models for lowering the bias (leading to higher variance), especially when the number of dimensions exceeds the number of training examples </w:t>
      </w:r>
      <w:r w:rsidRPr="00682599">
        <w:rPr>
          <w:rFonts w:cstheme="majorBidi"/>
        </w:rPr>
        <w:fldChar w:fldCharType="begin"/>
      </w:r>
      <w:r>
        <w:rPr>
          <w:rFonts w:cstheme="majorBidi"/>
        </w:rPr>
        <w:instrText xml:space="preserve"> ADDIN ZOTERO_ITEM CSL_CITATION {"citationID":"at82mtguq4","properties":{"formattedCitation":"\\super 34\\nosupersub{}","plainCitation":"34","noteIndex":0},"citationItems":[{"id":"95wkc4X2/DounZq53","uris":["http://zotero.org/users/7931734/items/VJT8D8MT"],"itemData":{"id":16340,"type":"article-journal","abstract":"This paper is a selective review of the regularization methods scattered in statistics literature. We introduce a general conceptual approach to regularization and fit most existing methods into it. We have tried to focus on the importance of regularization when dealing with today's high-dimensional objects: data and models. A wide range of examples are discussed, including nonparametric regression, boosting, covariance matrix estimation, principal component estimation, subsampling.","container-title":"Test","DOI":"10/dp9v2k","ISSN":"1863-8260","issue":"2","journalAbbreviation":"Test","language":"en","page":"271-344","source":"Springer Link","title":"Regularization in statistics","volume":"15","author":[{"family":"Bickel","given":"Peter J."},{"family":"Li","given":"Bo"},{"family":"Tsybakov","given":"Alexandre B."},{"family":"Geer","given":"Sara A.","non-dropping-particle":"van de"},{"family":"Yu","given":"Bin"},{"family":"Valdés","given":"Teófilo"},{"family":"Rivero","given":"Carlos"},{"family":"Fan","given":"Jianqing"},{"family":"Vaart","given":"Aad","non-dropping-particle":"van der"}],"issued":{"date-parts":[["2006",9,1]]}}}],"schema":"https://github.com/citation-style-language/schema/raw/master/csl-citation.json"} </w:instrText>
      </w:r>
      <w:r w:rsidRPr="00682599">
        <w:rPr>
          <w:rFonts w:cstheme="majorBidi"/>
        </w:rPr>
        <w:fldChar w:fldCharType="separate"/>
      </w:r>
      <w:r w:rsidRPr="00400F29">
        <w:rPr>
          <w:rFonts w:ascii="Times New Roman" w:hAnsi="Times New Roman"/>
          <w:vertAlign w:val="superscript"/>
        </w:rPr>
        <w:t>34</w:t>
      </w:r>
      <w:r w:rsidRPr="00682599">
        <w:rPr>
          <w:rFonts w:cstheme="majorBidi"/>
        </w:rPr>
        <w:fldChar w:fldCharType="end"/>
      </w:r>
      <w:r w:rsidRPr="00682599">
        <w:rPr>
          <w:rFonts w:cstheme="majorBidi"/>
        </w:rPr>
        <w:t>. One approach to this issue may be dimension reduction. Another common technique is to use regularization by</w:t>
      </w:r>
      <w:r w:rsidRPr="00682599">
        <w:rPr>
          <w:rFonts w:eastAsiaTheme="minorEastAsia" w:cstheme="majorBidi"/>
        </w:rPr>
        <w:t xml:space="preserve"> imposing a constraint or </w:t>
      </w:r>
      <w:r w:rsidRPr="00682599">
        <w:rPr>
          <w:rFonts w:cstheme="majorBidi"/>
        </w:rPr>
        <w:t>add a regularization</w:t>
      </w:r>
      <w:r w:rsidRPr="00682599">
        <w:rPr>
          <w:rFonts w:eastAsiaTheme="minorEastAsia" w:cstheme="majorBidi"/>
        </w:rPr>
        <w:t xml:space="preserve"> term </w:t>
      </w:r>
      <m:oMath>
        <m:r>
          <w:rPr>
            <w:rFonts w:ascii="Cambria Math" w:eastAsiaTheme="minorEastAsia" w:hAnsi="Cambria Math" w:cstheme="majorBidi"/>
          </w:rPr>
          <m:t>λ</m:t>
        </m:r>
        <m:r>
          <w:rPr>
            <w:rFonts w:ascii="Cambria Math" w:hAnsi="Cambria Math" w:cstheme="majorBidi"/>
          </w:rPr>
          <m:t>R(</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r>
          <w:rPr>
            <w:rFonts w:ascii="Cambria Math" w:hAnsi="Cambria Math" w:cstheme="majorBidi"/>
          </w:rPr>
          <m:t>)</m:t>
        </m:r>
      </m:oMath>
      <w:r w:rsidRPr="00682599">
        <w:rPr>
          <w:rFonts w:eastAsiaTheme="minorEastAsia" w:cstheme="majorBidi"/>
        </w:rPr>
        <w:t xml:space="preserve">, where </w:t>
      </w:r>
      <m:oMath>
        <m:r>
          <w:rPr>
            <w:rFonts w:ascii="Cambria Math" w:eastAsiaTheme="minorEastAsia" w:hAnsi="Cambria Math" w:cstheme="majorBidi"/>
          </w:rPr>
          <m:t>R</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r>
          <w:rPr>
            <w:rFonts w:ascii="Cambria Math" w:hAnsi="Cambria Math" w:cstheme="majorBidi"/>
          </w:rPr>
          <m:t>)</m:t>
        </m:r>
      </m:oMath>
      <w:r w:rsidRPr="00682599">
        <w:rPr>
          <w:rFonts w:eastAsiaTheme="minorEastAsia" w:cstheme="majorBidi"/>
        </w:rPr>
        <w:t xml:space="preserve"> is the regularization function and </w:t>
      </w:r>
      <m:oMath>
        <m:r>
          <w:rPr>
            <w:rFonts w:ascii="Cambria Math" w:eastAsiaTheme="minorEastAsia" w:hAnsi="Cambria Math" w:cstheme="majorBidi"/>
          </w:rPr>
          <m:t>λ</m:t>
        </m:r>
      </m:oMath>
      <w:r w:rsidRPr="00682599">
        <w:rPr>
          <w:rFonts w:eastAsiaTheme="minorEastAsia" w:cstheme="majorBidi"/>
        </w:rPr>
        <w:t xml:space="preserve"> determines the power of this function to penalize the model. Both </w:t>
      </w:r>
      <m:oMath>
        <m:r>
          <w:rPr>
            <w:rFonts w:ascii="Cambria Math" w:eastAsiaTheme="minorEastAsia" w:hAnsi="Cambria Math" w:cstheme="majorBidi"/>
          </w:rPr>
          <m:t>R</m:t>
        </m:r>
      </m:oMath>
      <w:r w:rsidRPr="00682599">
        <w:rPr>
          <w:rFonts w:eastAsiaTheme="minorEastAsia" w:cstheme="majorBidi"/>
        </w:rPr>
        <w:t xml:space="preserve"> and </w:t>
      </w:r>
      <m:oMath>
        <m:r>
          <w:rPr>
            <w:rFonts w:ascii="Cambria Math" w:eastAsiaTheme="minorEastAsia" w:hAnsi="Cambria Math" w:cstheme="majorBidi"/>
          </w:rPr>
          <m:t>λ</m:t>
        </m:r>
      </m:oMath>
      <w:r w:rsidRPr="00682599">
        <w:rPr>
          <w:rFonts w:eastAsiaTheme="minorEastAsia" w:cstheme="majorBidi"/>
        </w:rPr>
        <w:t xml:space="preserve"> are hyperparameters chosen by the analyst, with </w:t>
      </w:r>
      <m:oMath>
        <m:r>
          <w:rPr>
            <w:rFonts w:ascii="Cambria Math" w:eastAsiaTheme="minorEastAsia" w:hAnsi="Cambria Math" w:cstheme="majorBidi"/>
          </w:rPr>
          <m:t>λ=0</m:t>
        </m:r>
      </m:oMath>
      <w:r w:rsidRPr="00682599">
        <w:rPr>
          <w:rFonts w:eastAsiaTheme="minorEastAsia" w:cstheme="majorBidi"/>
        </w:rPr>
        <w:t xml:space="preserve"> resulting in a nonpenalized objective function. Two popular regularization methods LASSO (Least Absolute Shrinkage and Selection Operator), and </w:t>
      </w:r>
      <w:r w:rsidRPr="00682599">
        <w:rPr>
          <w:rFonts w:cstheme="majorBidi"/>
        </w:rPr>
        <w:t xml:space="preserve">Ridge regression, use </w:t>
      </w:r>
      <m:oMath>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e>
            </m:d>
          </m:e>
        </m:nary>
      </m:oMath>
      <w:r w:rsidRPr="00682599">
        <w:rPr>
          <w:rFonts w:eastAsiaTheme="minorEastAsia" w:cstheme="majorBidi"/>
        </w:rPr>
        <w:t xml:space="preserve"> and </w:t>
      </w:r>
      <m:oMath>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sSubSup>
              <m:sSubSupPr>
                <m:ctrlPr>
                  <w:rPr>
                    <w:rFonts w:ascii="Cambria Math" w:hAnsi="Cambria Math" w:cstheme="majorBidi"/>
                    <w:i/>
                  </w:rPr>
                </m:ctrlPr>
              </m:sSubSupPr>
              <m:e>
                <m:r>
                  <w:rPr>
                    <w:rFonts w:ascii="Cambria Math" w:hAnsi="Cambria Math" w:cstheme="majorBidi"/>
                  </w:rPr>
                  <m:t>w</m:t>
                </m:r>
              </m:e>
              <m:sub>
                <m:r>
                  <w:rPr>
                    <w:rFonts w:ascii="Cambria Math" w:hAnsi="Cambria Math" w:cstheme="majorBidi"/>
                  </w:rPr>
                  <m:t>i</m:t>
                </m:r>
              </m:sub>
              <m:sup>
                <m:r>
                  <w:rPr>
                    <w:rFonts w:ascii="Cambria Math" w:hAnsi="Cambria Math" w:cstheme="majorBidi"/>
                  </w:rPr>
                  <m:t>2</m:t>
                </m:r>
              </m:sup>
            </m:sSubSup>
          </m:e>
        </m:nary>
      </m:oMath>
      <w:r w:rsidRPr="00682599">
        <w:rPr>
          <w:rFonts w:eastAsiaTheme="minorEastAsia" w:cstheme="majorBidi"/>
        </w:rPr>
        <w:t xml:space="preserve"> as the regularization term, respectively. As mentioned in the previous section, regularization terms may also act as an automatic feature selection mechanism. LASSO is particularly well-known for “shrinking” the weight for irrelevant features to zero, however, it underperforms when faced with features than exceed the number of training examples or are highly correlated. To overcome this, Zou and Hastie used combined quadratic and absolutes losses as the penalty term in </w:t>
      </w:r>
      <w:r w:rsidRPr="00682599">
        <w:rPr>
          <w:rFonts w:eastAsiaTheme="minorEastAsia" w:cstheme="majorBidi"/>
          <w:i/>
          <w:iCs/>
        </w:rPr>
        <w:t>elastic net</w:t>
      </w:r>
      <w:r w:rsidRPr="00682599">
        <w:rPr>
          <w:rFonts w:eastAsiaTheme="minorEastAsia" w:cstheme="majorBidi"/>
        </w:rPr>
        <w:t xml:space="preserve"> regularization </w:t>
      </w:r>
      <w:r w:rsidRPr="00682599">
        <w:rPr>
          <w:rFonts w:eastAsiaTheme="minorEastAsia" w:cstheme="majorBidi"/>
        </w:rPr>
        <w:fldChar w:fldCharType="begin"/>
      </w:r>
      <w:r>
        <w:rPr>
          <w:rFonts w:eastAsiaTheme="minorEastAsia" w:cstheme="majorBidi"/>
        </w:rPr>
        <w:instrText xml:space="preserve"> ADDIN ZOTERO_ITEM CSL_CITATION {"citationID":"a26aqgugrat","properties":{"formattedCitation":"\\super 35\\nosupersub{}","plainCitation":"35","noteIndex":0},"citationItems":[{"id":351,"uris":["http://zotero.org/users/7931734/items/7ELMGW6A"],"itemData":{"id":351,"type":"article-journal","abstract":"Summary. We propose the elastic net, a new regularization and variable selection method. Real world data and a simulation study show that the elastic net often outperforms the lasso, while enjoying a similar sparsity of representation. In addition, the elastic net encourages a grouping effect, where strongly correlated predictors tend to be in or out of the model together. The elastic net is particularly useful when the number of predictors (p) is much bigger than the number of observations (n). By contrast, the lasso is not a very satisfactory variable selection method in the p</w:instrText>
      </w:r>
      <w:r>
        <w:rPr>
          <w:rFonts w:ascii="Cambria Math" w:eastAsiaTheme="minorEastAsia" w:hAnsi="Cambria Math" w:cs="Cambria Math"/>
        </w:rPr>
        <w:instrText>≫</w:instrText>
      </w:r>
      <w:r>
        <w:rPr>
          <w:rFonts w:eastAsiaTheme="minorEastAsia" w:cstheme="majorBidi"/>
        </w:rPr>
        <w:instrText xml:space="preserve">n case. An algorithm called LARS-EN is proposed for computing elastic net regularization paths efficiently, much like algorithm LARS does for the lasso.","container-title":"Journal of the Royal Statistical Society: Series B (Statistical Methodology)","DOI":"10.1111/j.1467-9868.2005.00503.x","ISSN":"1467-9868","issue":"2","language":"en","note":"_eprint: https://onlinelibrary.wiley.com/doi/pdf/10.1111/j.1467-9868.2005.00503.x","page":"301-320","source":"Wiley Online Library","title":"Regularization and variable selection via the elastic net","volume":"67","author":[{"family":"Zou","given":"Hui"},{"family":"Hastie","given":"Trevor"}],"issued":{"date-parts":[["2005"]]}}}],"schema":"https://github.com/citation-style-language/schema/raw/master/csl-citation.json"} </w:instrText>
      </w:r>
      <w:r w:rsidRPr="00682599">
        <w:rPr>
          <w:rFonts w:eastAsiaTheme="minorEastAsia" w:cstheme="majorBidi"/>
        </w:rPr>
        <w:fldChar w:fldCharType="separate"/>
      </w:r>
      <w:r w:rsidRPr="00400F29">
        <w:rPr>
          <w:rFonts w:ascii="Times New Roman" w:hAnsi="Times New Roman"/>
          <w:vertAlign w:val="superscript"/>
        </w:rPr>
        <w:t>35</w:t>
      </w:r>
      <w:r w:rsidRPr="00682599">
        <w:rPr>
          <w:rFonts w:eastAsiaTheme="minorEastAsia" w:cstheme="majorBidi"/>
        </w:rPr>
        <w:fldChar w:fldCharType="end"/>
      </w:r>
      <w:r w:rsidRPr="00682599">
        <w:rPr>
          <w:rFonts w:eastAsiaTheme="minorEastAsia" w:cstheme="majorBidi"/>
        </w:rPr>
        <w:t>.</w:t>
      </w:r>
    </w:p>
    <w:p w14:paraId="5E719FB1" w14:textId="1656528B" w:rsidR="00E01B69" w:rsidRPr="00C8145D" w:rsidRDefault="00E01B69" w:rsidP="00E01B69">
      <w:pPr>
        <w:pStyle w:val="Heading3"/>
      </w:pPr>
      <w:bookmarkStart w:id="6" w:name="_Toc123391059"/>
      <w:bookmarkStart w:id="7" w:name="_Toc124023349"/>
      <w:r>
        <w:t xml:space="preserve">4.1.2. </w:t>
      </w:r>
      <w:r w:rsidRPr="00C8145D">
        <w:t>Decision Trees</w:t>
      </w:r>
      <w:bookmarkEnd w:id="6"/>
      <w:bookmarkEnd w:id="7"/>
    </w:p>
    <w:p w14:paraId="480823BD" w14:textId="77777777" w:rsidR="00E01B69" w:rsidRPr="00133190" w:rsidRDefault="00E01B69" w:rsidP="00E01B69">
      <w:pPr>
        <w:pStyle w:val="FootnoteText"/>
        <w:rPr>
          <w:rFonts w:cstheme="majorBidi"/>
          <w:sz w:val="24"/>
          <w:szCs w:val="24"/>
        </w:rPr>
      </w:pPr>
      <w:r w:rsidRPr="00133190">
        <w:rPr>
          <w:rFonts w:cstheme="majorBidi"/>
          <w:sz w:val="24"/>
          <w:szCs w:val="24"/>
        </w:rPr>
        <w:t xml:space="preserve">A tree is an acyclic graph with one </w:t>
      </w:r>
      <w:r w:rsidRPr="00133190">
        <w:rPr>
          <w:rFonts w:cstheme="majorBidi"/>
          <w:i/>
          <w:iCs/>
          <w:sz w:val="24"/>
          <w:szCs w:val="24"/>
        </w:rPr>
        <w:t>root</w:t>
      </w:r>
      <w:r w:rsidRPr="00133190">
        <w:rPr>
          <w:rFonts w:cstheme="majorBidi"/>
          <w:sz w:val="24"/>
          <w:szCs w:val="24"/>
        </w:rPr>
        <w:t xml:space="preserve"> or </w:t>
      </w:r>
      <w:r w:rsidRPr="00133190">
        <w:rPr>
          <w:rFonts w:cstheme="majorBidi"/>
          <w:i/>
          <w:iCs/>
          <w:sz w:val="24"/>
          <w:szCs w:val="24"/>
        </w:rPr>
        <w:t>parent</w:t>
      </w:r>
      <w:r w:rsidRPr="00133190">
        <w:rPr>
          <w:rFonts w:cstheme="majorBidi"/>
          <w:sz w:val="24"/>
          <w:szCs w:val="24"/>
        </w:rPr>
        <w:t xml:space="preserve"> node with several subtrees of </w:t>
      </w:r>
      <w:r w:rsidRPr="00133190">
        <w:rPr>
          <w:rFonts w:cstheme="majorBidi"/>
          <w:i/>
          <w:iCs/>
          <w:sz w:val="24"/>
          <w:szCs w:val="24"/>
        </w:rPr>
        <w:t>leaf</w:t>
      </w:r>
      <w:r w:rsidRPr="00133190">
        <w:rPr>
          <w:rFonts w:cstheme="majorBidi"/>
          <w:sz w:val="24"/>
          <w:szCs w:val="24"/>
        </w:rPr>
        <w:t xml:space="preserve"> or </w:t>
      </w:r>
      <w:r w:rsidRPr="00133190">
        <w:rPr>
          <w:rFonts w:cstheme="majorBidi"/>
          <w:i/>
          <w:iCs/>
          <w:sz w:val="24"/>
          <w:szCs w:val="24"/>
        </w:rPr>
        <w:t>child</w:t>
      </w:r>
      <w:r w:rsidRPr="00133190">
        <w:rPr>
          <w:rFonts w:cstheme="majorBidi"/>
          <w:sz w:val="24"/>
          <w:szCs w:val="24"/>
        </w:rPr>
        <w:t xml:space="preserve"> nodes </w:t>
      </w:r>
      <w:r w:rsidRPr="00133190">
        <w:rPr>
          <w:rFonts w:cstheme="majorBidi"/>
          <w:sz w:val="24"/>
          <w:szCs w:val="24"/>
        </w:rPr>
        <w:fldChar w:fldCharType="begin"/>
      </w:r>
      <w:r>
        <w:rPr>
          <w:rFonts w:cstheme="majorBidi"/>
          <w:sz w:val="24"/>
          <w:szCs w:val="24"/>
        </w:rPr>
        <w:instrText xml:space="preserve"> ADDIN ZOTERO_ITEM CSL_CITATION {"citationID":"NVwNzxkN","properties":{"formattedCitation":"\\super 21,22\\nosupersub{}","plainCitation":"21,22","noteIndex":0},"citationItems":[{"id":"95wkc4X2/ZPKH5HMb","uris":["http://zotero.org/users/7931734/items/D57J4KZX"],"itemData":{"id":8325,"type":"article-journal","abstract":"Abstract Exploring relationships in complex datasets is one of the challenges in today’s big data era. The graph-based visualization approach, which integrates the advantages of graph analysis theory and visualization technologies and combines machine and human intelligence, has become an effective means for analyzing various relationships in complex datasets. In this paper, we first introduce a graph-based visual analytics model for associated data. Then, we summarize seven typical visualization methods for associated data according to their layout features, including their node-link diagram, adjacency matrix, hypergraph, flow diagram, graphs with geospatial information, multi-attribute graph, and space-filling diagram and discuss their advantages and disadvantages. We describe current graph simplification and interaction techniques, including graph filtering, node clustering, edge bundling, graph data dimension reduction, and topology-based graph transformation. Finally, we discuss the potential challenges and developmental trends of the research direction. Graphical abstract","container-title":"Journal of Visualization","DOI":"10.1007/s12650-019-00551-y","ISSN":"1875-8975","issue":"3","journalAbbreviation":"J Vis","language":"en","note":"Company: Springer\nDistributor: Springer\nInstitution: Springer\nLabel: Springer\nnumber: 3\npublisher: Springer Berlin Heidelberg","page":"625-639","source":"link.springer.com","title":"A survey on visualization approaches for exploring association relationships in graph data","volume":"22","author":[{"family":"Chen","given":"Yi"},{"family":"Guan","given":"Zeli"},{"family":"Zhang","given":"Rong"},{"family":"Du","given":"Xiaomin"},{"family":"Wang","given":"Yunhai"}],"issued":{"date-parts":[["2019",6,1]]}}},{"id":"95wkc4X2/TzoTA02o","uris":["http://zotero.org/users/7931734/items/JSYEFV4N"],"itemData":{"id":10540,"type":"paper-conference","abstract":"This State-of-the-Art Report considers graph visualization techniques according to the type of graphs supported, and discusses various graph algorithmic aspects useful for the different stages of the visual graph analysis process. The analysis of large graphs plays a prominent role in various fields of research and is relevant in many important application areas. Effective visual analysis of graphs requires appropriate visual presentations in combination with respective user interaction facilities and algorithmic graph analysis methods. How to design appropriate graph analysis systems depends on many factors, including the type of graph describing the data, the analytical task at hand, and the applicability of graph analysis methods. The most recent surveys of graph visualization and navigation techniques were presented by Herman et al. [HMM00] and Diaz [DPS02]. The first work surveyed the main techniques for visualization of hierarchies and graphs in general that had been introduced until 2000. The second work concentrated on graph layouts introduced until 2002. Recently, new techniques have been developed covering a broader range of graph types, such as time-varying graphs. Also, in accordance with ever growing amounts of graph-structured data becoming available, the inclusion of algorithmic graph analysis and interaction techniques becomes increasingly important. In this State-of-the-Art Report, we survey available techniques for the visual analysis of large graphs. Our review firstly considers graph visualization techniques according to the type of graphs supported. The visualization techniques form the basis for the presentation of interaction approaches suitable for visual graph exploration. As an important component of visual graph analysis, we discuss various graph algorithmic aspects useful for the different stages of the visual graph analysis process.","container-title":"Eurographics","DOI":"10/gp3kvz","source":"Semantic Scholar","title":"Visual Analysis of Large Graphs","author":[{"family":"Landesberger","given":"T. V."},{"family":"Kuijper","given":"Arjan"},{"family":"Schreck","given":"T."},{"family":"Kohlhammer","given":"J."},{"family":"Wijk","given":"J. V."},{"family":"Fekete","given":"Jean-Daniel"},{"family":"Fellner","given":"D."}],"issued":{"date-parts":[["2010"]]}}}],"schema":"https://github.com/citation-style-language/schema/raw/master/csl-citation.json"} </w:instrText>
      </w:r>
      <w:r w:rsidRPr="00133190">
        <w:rPr>
          <w:rFonts w:cstheme="majorBidi"/>
          <w:sz w:val="24"/>
          <w:szCs w:val="24"/>
        </w:rPr>
        <w:fldChar w:fldCharType="separate"/>
      </w:r>
      <w:r w:rsidRPr="00644EFE">
        <w:rPr>
          <w:rFonts w:ascii="Times New Roman" w:hAnsi="Times New Roman"/>
          <w:sz w:val="24"/>
          <w:szCs w:val="24"/>
          <w:vertAlign w:val="superscript"/>
        </w:rPr>
        <w:t>21,22</w:t>
      </w:r>
      <w:r w:rsidRPr="00133190">
        <w:rPr>
          <w:rFonts w:cstheme="majorBidi"/>
          <w:sz w:val="24"/>
          <w:szCs w:val="24"/>
        </w:rPr>
        <w:fldChar w:fldCharType="end"/>
      </w:r>
      <w:r w:rsidRPr="00133190">
        <w:rPr>
          <w:rFonts w:cstheme="majorBidi"/>
          <w:sz w:val="24"/>
          <w:szCs w:val="24"/>
        </w:rPr>
        <w:t>. Decision tree</w:t>
      </w:r>
      <w:r>
        <w:rPr>
          <w:rFonts w:cstheme="majorBidi"/>
          <w:sz w:val="24"/>
          <w:szCs w:val="24"/>
        </w:rPr>
        <w:t>s</w:t>
      </w:r>
      <w:r w:rsidRPr="00133190">
        <w:rPr>
          <w:rFonts w:cstheme="majorBidi"/>
          <w:sz w:val="24"/>
          <w:szCs w:val="24"/>
        </w:rPr>
        <w:t xml:space="preserve"> (DT) </w:t>
      </w:r>
      <w:r w:rsidRPr="00133190">
        <w:rPr>
          <w:rFonts w:eastAsia="Times New Roman" w:cstheme="majorBidi"/>
          <w:sz w:val="24"/>
          <w:szCs w:val="24"/>
        </w:rPr>
        <w:t>are intuitive</w:t>
      </w:r>
      <w:r>
        <w:rPr>
          <w:rFonts w:eastAsia="Times New Roman" w:cstheme="majorBidi"/>
          <w:sz w:val="24"/>
          <w:szCs w:val="24"/>
        </w:rPr>
        <w:t xml:space="preserve">, </w:t>
      </w:r>
      <w:r w:rsidRPr="00133190">
        <w:rPr>
          <w:rFonts w:eastAsia="Times New Roman" w:cstheme="majorBidi"/>
          <w:sz w:val="24"/>
          <w:szCs w:val="24"/>
        </w:rPr>
        <w:t>easy to understand,</w:t>
      </w:r>
      <w:r>
        <w:rPr>
          <w:rFonts w:eastAsia="Times New Roman" w:cstheme="majorBidi"/>
          <w:sz w:val="24"/>
          <w:szCs w:val="24"/>
        </w:rPr>
        <w:t xml:space="preserve"> fast to train, robust to noisy data, and </w:t>
      </w:r>
      <w:r w:rsidRPr="00133190">
        <w:rPr>
          <w:rFonts w:eastAsia="Times New Roman" w:cstheme="majorBidi"/>
          <w:sz w:val="24"/>
          <w:szCs w:val="24"/>
        </w:rPr>
        <w:t xml:space="preserve">can be used for both classification and regression </w:t>
      </w:r>
      <w:r>
        <w:rPr>
          <w:rFonts w:eastAsia="Times New Roman" w:cstheme="majorBidi"/>
          <w:sz w:val="24"/>
          <w:szCs w:val="24"/>
        </w:rPr>
        <w:t xml:space="preserve">tasks </w:t>
      </w:r>
      <w:r>
        <w:rPr>
          <w:rFonts w:eastAsia="Times New Roman" w:cstheme="majorBidi"/>
          <w:sz w:val="24"/>
          <w:szCs w:val="24"/>
        </w:rPr>
        <w:fldChar w:fldCharType="begin"/>
      </w:r>
      <w:r>
        <w:rPr>
          <w:rFonts w:eastAsia="Times New Roman" w:cstheme="majorBidi"/>
          <w:sz w:val="24"/>
          <w:szCs w:val="24"/>
        </w:rPr>
        <w:instrText xml:space="preserve"> ADDIN ZOTERO_ITEM CSL_CITATION {"citationID":"aolo8ehbvr","properties":{"formattedCitation":"\\super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rPr>
          <w:rFonts w:eastAsia="Times New Roman" w:cstheme="majorBidi"/>
          <w:sz w:val="24"/>
          <w:szCs w:val="24"/>
        </w:rPr>
        <w:fldChar w:fldCharType="separate"/>
      </w:r>
      <w:r w:rsidRPr="00644EFE">
        <w:rPr>
          <w:rFonts w:ascii="Times New Roman" w:hAnsi="Times New Roman"/>
          <w:sz w:val="24"/>
          <w:szCs w:val="24"/>
          <w:vertAlign w:val="superscript"/>
        </w:rPr>
        <w:t>18</w:t>
      </w:r>
      <w:r>
        <w:rPr>
          <w:rFonts w:eastAsia="Times New Roman" w:cstheme="majorBidi"/>
          <w:sz w:val="24"/>
          <w:szCs w:val="24"/>
        </w:rPr>
        <w:fldChar w:fldCharType="end"/>
      </w:r>
      <w:r w:rsidRPr="00133190">
        <w:rPr>
          <w:rFonts w:eastAsia="Times New Roman" w:cstheme="majorBidi"/>
          <w:sz w:val="24"/>
          <w:szCs w:val="24"/>
        </w:rPr>
        <w:t xml:space="preserve">. DT works by selecting a feature to split the dataset based on its classes or values, for categorical or discretized variables, and continuous variables, respectively. </w:t>
      </w:r>
      <w:r w:rsidRPr="00133190">
        <w:rPr>
          <w:rFonts w:cstheme="majorBidi"/>
          <w:sz w:val="24"/>
          <w:szCs w:val="24"/>
        </w:rPr>
        <w:t xml:space="preserve">it is also possible to use a linear or non-linear combination of several features for the split to create </w:t>
      </w:r>
      <w:r w:rsidRPr="00133190">
        <w:rPr>
          <w:rFonts w:cstheme="majorBidi"/>
          <w:i/>
          <w:iCs/>
          <w:sz w:val="24"/>
          <w:szCs w:val="24"/>
        </w:rPr>
        <w:t xml:space="preserve">multivariate </w:t>
      </w:r>
      <w:r w:rsidRPr="00133190">
        <w:rPr>
          <w:rFonts w:cstheme="majorBidi"/>
          <w:sz w:val="24"/>
          <w:szCs w:val="24"/>
        </w:rPr>
        <w:t>DTs.</w:t>
      </w:r>
      <w:r w:rsidRPr="00133190">
        <w:rPr>
          <w:rFonts w:eastAsia="Times New Roman" w:cstheme="majorBidi"/>
          <w:sz w:val="24"/>
          <w:szCs w:val="24"/>
        </w:rPr>
        <w:t xml:space="preserve"> Ideally, each partition should be </w:t>
      </w:r>
      <w:r w:rsidRPr="00133190">
        <w:rPr>
          <w:rFonts w:eastAsia="Times New Roman" w:cstheme="majorBidi"/>
          <w:i/>
          <w:iCs/>
          <w:sz w:val="24"/>
          <w:szCs w:val="24"/>
        </w:rPr>
        <w:t>pure</w:t>
      </w:r>
      <w:r w:rsidRPr="00133190">
        <w:rPr>
          <w:rFonts w:eastAsia="Times New Roman" w:cstheme="majorBidi"/>
          <w:sz w:val="24"/>
          <w:szCs w:val="24"/>
        </w:rPr>
        <w:t>, that is, to contain the instances of one label only. As the divisions in real-world datasets are often impure, t</w:t>
      </w:r>
      <w:r w:rsidRPr="00133190">
        <w:rPr>
          <w:rFonts w:cstheme="majorBidi"/>
          <w:sz w:val="24"/>
          <w:szCs w:val="24"/>
        </w:rPr>
        <w:t>he choice of which feature and what threshold of that feature to split upon, can be based on expert knowledge or optimization techniques.</w:t>
      </w:r>
      <w:r w:rsidRPr="00133190">
        <w:rPr>
          <w:rFonts w:eastAsia="Times New Roman" w:cstheme="majorBidi"/>
          <w:sz w:val="24"/>
          <w:szCs w:val="24"/>
        </w:rPr>
        <w:t xml:space="preserve"> In the case of the latter, the splitting feature is chosen based on a measure of impurity such as entropy, </w:t>
      </w:r>
      <m:oMath>
        <m:r>
          <w:rPr>
            <w:rFonts w:ascii="Cambria Math" w:hAnsi="Cambria Math" w:cstheme="majorBidi"/>
            <w:sz w:val="24"/>
            <w:szCs w:val="24"/>
          </w:rPr>
          <m:t>E=-</m:t>
        </m:r>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i</m:t>
                </m:r>
              </m:sub>
            </m:sSub>
            <m:r>
              <m:rPr>
                <m:sty m:val="p"/>
              </m:rPr>
              <w:rPr>
                <w:rFonts w:ascii="Cambria Math" w:hAnsi="Cambria Math" w:cstheme="majorBidi"/>
                <w:sz w:val="24"/>
                <w:szCs w:val="24"/>
              </w:rPr>
              <m:t>log⁡</m:t>
            </m:r>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i</m:t>
                </m:r>
              </m:sub>
            </m:sSub>
            <m:r>
              <w:rPr>
                <w:rFonts w:ascii="Cambria Math" w:hAnsi="Cambria Math" w:cstheme="majorBidi"/>
                <w:sz w:val="24"/>
                <w:szCs w:val="24"/>
              </w:rPr>
              <m:t>)</m:t>
            </m:r>
          </m:e>
        </m:nary>
      </m:oMath>
      <w:r w:rsidRPr="00133190">
        <w:rPr>
          <w:rFonts w:cstheme="majorBidi"/>
          <w:sz w:val="24"/>
          <w:szCs w:val="24"/>
        </w:rPr>
        <w:t>,</w:t>
      </w:r>
      <w:r w:rsidRPr="00133190">
        <w:rPr>
          <w:rFonts w:eastAsia="Times New Roman" w:cstheme="majorBidi"/>
          <w:sz w:val="24"/>
          <w:szCs w:val="24"/>
        </w:rPr>
        <w:t xml:space="preserve"> or the Gini Index, </w:t>
      </w:r>
      <m:oMath>
        <m:r>
          <w:rPr>
            <w:rFonts w:ascii="Cambria Math" w:eastAsia="Times New Roman" w:hAnsi="Cambria Math" w:cstheme="majorBidi"/>
            <w:sz w:val="24"/>
            <w:szCs w:val="24"/>
          </w:rPr>
          <m:t>G=1-</m:t>
        </m:r>
        <m:nary>
          <m:naryPr>
            <m:chr m:val="∑"/>
            <m:limLoc m:val="undOvr"/>
            <m:ctrlPr>
              <w:rPr>
                <w:rFonts w:ascii="Cambria Math" w:eastAsia="Times New Roman" w:hAnsi="Cambria Math" w:cstheme="majorBidi"/>
                <w:i/>
                <w:sz w:val="24"/>
                <w:szCs w:val="24"/>
              </w:rPr>
            </m:ctrlPr>
          </m:naryPr>
          <m:sub>
            <m:r>
              <w:rPr>
                <w:rFonts w:ascii="Cambria Math" w:eastAsia="Times New Roman" w:hAnsi="Cambria Math" w:cstheme="majorBidi"/>
                <w:sz w:val="24"/>
                <w:szCs w:val="24"/>
              </w:rPr>
              <m:t>i=1</m:t>
            </m:r>
          </m:sub>
          <m:sup>
            <m:r>
              <w:rPr>
                <w:rFonts w:ascii="Cambria Math" w:eastAsia="Times New Roman" w:hAnsi="Cambria Math" w:cstheme="majorBidi"/>
                <w:sz w:val="24"/>
                <w:szCs w:val="24"/>
              </w:rPr>
              <m:t>n</m:t>
            </m:r>
          </m:sup>
          <m:e>
            <m:sSubSup>
              <m:sSubSupPr>
                <m:ctrlPr>
                  <w:rPr>
                    <w:rFonts w:ascii="Cambria Math" w:eastAsia="Times New Roman" w:hAnsi="Cambria Math" w:cstheme="majorBidi"/>
                    <w:i/>
                    <w:sz w:val="24"/>
                    <w:szCs w:val="24"/>
                  </w:rPr>
                </m:ctrlPr>
              </m:sSubSupPr>
              <m:e>
                <m:r>
                  <w:rPr>
                    <w:rFonts w:ascii="Cambria Math" w:eastAsia="Times New Roman" w:hAnsi="Cambria Math" w:cstheme="majorBidi"/>
                    <w:sz w:val="24"/>
                    <w:szCs w:val="24"/>
                  </w:rPr>
                  <m:t>p</m:t>
                </m:r>
              </m:e>
              <m:sub>
                <m:r>
                  <w:rPr>
                    <w:rFonts w:ascii="Cambria Math" w:eastAsia="Times New Roman" w:hAnsi="Cambria Math" w:cstheme="majorBidi"/>
                    <w:sz w:val="24"/>
                    <w:szCs w:val="24"/>
                  </w:rPr>
                  <m:t>i</m:t>
                </m:r>
              </m:sub>
              <m:sup>
                <m:r>
                  <w:rPr>
                    <w:rFonts w:ascii="Cambria Math" w:eastAsia="Times New Roman" w:hAnsi="Cambria Math" w:cstheme="majorBidi"/>
                    <w:sz w:val="24"/>
                    <w:szCs w:val="24"/>
                  </w:rPr>
                  <m:t>2</m:t>
                </m:r>
              </m:sup>
            </m:sSubSup>
          </m:e>
        </m:nary>
      </m:oMath>
      <w:r w:rsidRPr="00133190">
        <w:rPr>
          <w:rFonts w:eastAsia="Times New Roman" w:cstheme="majorBidi"/>
          <w:sz w:val="24"/>
          <w:szCs w:val="24"/>
        </w:rPr>
        <w:t xml:space="preserve">. For continuous attributes, an exhaustive search for </w:t>
      </w:r>
      <w:r w:rsidRPr="00133190">
        <w:rPr>
          <w:rFonts w:cstheme="majorBidi"/>
          <w:sz w:val="24"/>
          <w:szCs w:val="24"/>
        </w:rPr>
        <w:t>threshold selection, being an iterative and computationally expensive process, can be avoided by</w:t>
      </w:r>
      <w:r w:rsidRPr="00133190">
        <w:rPr>
          <w:rFonts w:eastAsia="Times New Roman" w:cstheme="majorBidi"/>
          <w:sz w:val="24"/>
          <w:szCs w:val="24"/>
        </w:rPr>
        <w:t xml:space="preserve"> discretization into</w:t>
      </w:r>
      <w:r w:rsidRPr="00133190">
        <w:rPr>
          <w:rFonts w:cstheme="majorBidi"/>
          <w:sz w:val="24"/>
          <w:szCs w:val="24"/>
        </w:rPr>
        <w:t xml:space="preserve"> several discrete intervals </w:t>
      </w:r>
      <w:r w:rsidRPr="00133190">
        <w:rPr>
          <w:rFonts w:cstheme="majorBidi"/>
          <w:sz w:val="24"/>
          <w:szCs w:val="24"/>
        </w:rPr>
        <w:fldChar w:fldCharType="begin"/>
      </w:r>
      <w:r>
        <w:rPr>
          <w:rFonts w:cstheme="majorBidi"/>
          <w:sz w:val="24"/>
          <w:szCs w:val="24"/>
        </w:rPr>
        <w:instrText xml:space="preserve"> ADDIN ZOTERO_ITEM CSL_CITATION {"citationID":"a1r8aovr8gn","properties":{"formattedCitation":"\\super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rsidRPr="00133190">
        <w:rPr>
          <w:rFonts w:cstheme="majorBidi"/>
          <w:sz w:val="24"/>
          <w:szCs w:val="24"/>
        </w:rPr>
        <w:fldChar w:fldCharType="separate"/>
      </w:r>
      <w:r w:rsidRPr="00644EFE">
        <w:rPr>
          <w:rFonts w:ascii="Times New Roman" w:hAnsi="Times New Roman"/>
          <w:sz w:val="24"/>
          <w:szCs w:val="24"/>
          <w:vertAlign w:val="superscript"/>
        </w:rPr>
        <w:t>18</w:t>
      </w:r>
      <w:r w:rsidRPr="00133190">
        <w:rPr>
          <w:rFonts w:cstheme="majorBidi"/>
          <w:sz w:val="24"/>
          <w:szCs w:val="24"/>
        </w:rPr>
        <w:fldChar w:fldCharType="end"/>
      </w:r>
      <w:r w:rsidRPr="00133190">
        <w:rPr>
          <w:rFonts w:cstheme="majorBidi"/>
          <w:sz w:val="24"/>
          <w:szCs w:val="24"/>
        </w:rPr>
        <w:t xml:space="preserve">. As trees with fewer leaves are more optimal, the training may be stopped after the generating of an arbitrary level of leaves, or removing the leaves during (pre-pruning) or after the training, (post-pruning) </w:t>
      </w:r>
      <w:r w:rsidRPr="00133190">
        <w:rPr>
          <w:rFonts w:cstheme="majorBidi"/>
          <w:sz w:val="24"/>
          <w:szCs w:val="24"/>
        </w:rPr>
        <w:fldChar w:fldCharType="begin"/>
      </w:r>
      <w:r>
        <w:rPr>
          <w:rFonts w:cstheme="majorBidi"/>
          <w:sz w:val="24"/>
          <w:szCs w:val="24"/>
        </w:rPr>
        <w:instrText xml:space="preserve"> ADDIN ZOTERO_ITEM CSL_CITATION {"citationID":"ai237icoud","properties":{"formattedCitation":"\\super 18,24\\nosupersub{}","plainCitation":"18,24","noteIndex":0},"citationItems":[{"id":424,"uris":["http://zotero.org/users/7931734/items/MKT8CQ2J"],"itemData":{"id":424,"type":"article-journal","abstract":"Knowledge Discovery in Databases (KDD) has become a very attractive discipline both for research and industry within last few years. Its goal is to extract pieces of knowledge or ‘patterns’ from usually very large databases. It portrays a robust sequ","container-title":"Intelligent Data Analysis","DOI":"10.3233/ida-2000-43-413","ISSN":"1088-467X","issue":"3-4","language":"en","note":"publisher: IOS Press","page":"363-374","source":"content.iospress.com","title":"From machine learning to knowledge discovery: Survey of preprocessing and postprocessing","title-short":"From machine learning to knowledge discovery","volume":"4","author":[{"family":"Bruha","given":"Ivan"}],"issued":{"date-parts":[["2000",1,1]]}}},{"id":377,"uris":["http://zotero.org/users/7931734/items/73J8WV2N"],"itemData":{"id":377,"type":"article-journal","abstract":"Supervised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rsidRPr="00133190">
        <w:rPr>
          <w:rFonts w:cstheme="majorBidi"/>
          <w:sz w:val="24"/>
          <w:szCs w:val="24"/>
        </w:rPr>
        <w:fldChar w:fldCharType="separate"/>
      </w:r>
      <w:r w:rsidRPr="00644EFE">
        <w:rPr>
          <w:rFonts w:ascii="Times New Roman" w:hAnsi="Times New Roman"/>
          <w:sz w:val="24"/>
          <w:szCs w:val="24"/>
          <w:vertAlign w:val="superscript"/>
        </w:rPr>
        <w:t>18,24</w:t>
      </w:r>
      <w:r w:rsidRPr="00133190">
        <w:rPr>
          <w:rFonts w:cstheme="majorBidi"/>
          <w:sz w:val="24"/>
          <w:szCs w:val="24"/>
        </w:rPr>
        <w:fldChar w:fldCharType="end"/>
      </w:r>
      <w:r w:rsidRPr="00133190">
        <w:rPr>
          <w:rFonts w:cstheme="majorBidi"/>
          <w:sz w:val="24"/>
          <w:szCs w:val="24"/>
        </w:rPr>
        <w:t>.</w:t>
      </w:r>
    </w:p>
    <w:p w14:paraId="7B4FECB6" w14:textId="77777777" w:rsidR="00E01B69" w:rsidRDefault="00E01B69" w:rsidP="00E01B69">
      <w:pPr>
        <w:pStyle w:val="FootnoteText"/>
        <w:rPr>
          <w:rFonts w:cstheme="majorBidi"/>
        </w:rPr>
      </w:pPr>
    </w:p>
    <w:p w14:paraId="44390744" w14:textId="75733AA3" w:rsidR="00E01B69" w:rsidRPr="00C8145D" w:rsidRDefault="00E01B69" w:rsidP="00E01B69">
      <w:pPr>
        <w:pStyle w:val="Heading3"/>
      </w:pPr>
      <w:bookmarkStart w:id="8" w:name="_Toc123391061"/>
      <w:bookmarkStart w:id="9" w:name="_Toc124023350"/>
      <w:r>
        <w:lastRenderedPageBreak/>
        <w:t xml:space="preserve">4.1.3. </w:t>
      </w:r>
      <w:r w:rsidRPr="00C8145D">
        <w:t>Support Vector Machines</w:t>
      </w:r>
      <w:bookmarkEnd w:id="8"/>
      <w:bookmarkEnd w:id="9"/>
    </w:p>
    <w:p w14:paraId="5AD88D00" w14:textId="77777777" w:rsidR="00E01B69" w:rsidRPr="00B76BB5" w:rsidRDefault="00E01B69" w:rsidP="00E01B69">
      <w:pPr>
        <w:rPr>
          <w:rFonts w:cstheme="majorBidi"/>
        </w:rPr>
      </w:pPr>
      <w:r w:rsidRPr="00B76BB5">
        <w:rPr>
          <w:rFonts w:cstheme="majorBidi"/>
        </w:rPr>
        <w:t xml:space="preserve">Support vector machine (SVM) was built as a binary classification model that aims to separate two sets of points in an n-dimensional space by drawing a hyperplane between them, called a decision boundary. In this model, </w:t>
      </w:r>
      <w:r w:rsidRPr="00B76BB5">
        <w:rPr>
          <w:rFonts w:cstheme="majorBidi"/>
          <w:i/>
          <w:iCs/>
        </w:rPr>
        <w:t>n</w:t>
      </w:r>
      <w:r w:rsidRPr="00B76BB5">
        <w:rPr>
          <w:rFonts w:cstheme="majorBidi"/>
        </w:rPr>
        <w:t xml:space="preserve"> is the number of features for each point (case) and a hyperplane is a </w:t>
      </w:r>
      <w:r w:rsidRPr="00B76BB5">
        <w:rPr>
          <w:rFonts w:cstheme="majorBidi"/>
          <w:i/>
          <w:iCs/>
        </w:rPr>
        <w:t>n-1</w:t>
      </w:r>
      <w:r w:rsidRPr="00B76BB5">
        <w:rPr>
          <w:rFonts w:cstheme="majorBidi"/>
        </w:rPr>
        <w:t xml:space="preserve"> dimension structure that can be thought as an extension of the concept of lines (1-D) on a 2-D space or planes (2-D) on a 3-D space. Intuitively, there might exist more than one hyperplane that can achieve this task. For the sake of generalizability, SVM takes the hyperplane in the halfway between the largest distance (margin) from the nearest two points of different classes (called vector machines). This approach is therefore called a maximum-margin hyperplane. Considering two parallel hyperplanes </w:t>
      </w:r>
      <m:oMath>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T</m:t>
            </m:r>
          </m:sup>
        </m:sSup>
        <m:r>
          <w:rPr>
            <w:rFonts w:ascii="Cambria Math" w:eastAsiaTheme="minorEastAsia" w:hAnsi="Cambria Math" w:cstheme="majorBidi"/>
          </w:rPr>
          <m:t>x+b=1</m:t>
        </m:r>
      </m:oMath>
      <w:r w:rsidRPr="00B76BB5">
        <w:rPr>
          <w:rFonts w:eastAsiaTheme="minorEastAsia" w:cstheme="majorBidi"/>
        </w:rPr>
        <w:t xml:space="preserve"> and </w:t>
      </w:r>
      <m:oMath>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T</m:t>
            </m:r>
          </m:sup>
        </m:sSup>
        <m:r>
          <w:rPr>
            <w:rFonts w:ascii="Cambria Math" w:eastAsiaTheme="minorEastAsia" w:hAnsi="Cambria Math" w:cstheme="majorBidi"/>
          </w:rPr>
          <m:t>x+b=-1</m:t>
        </m:r>
      </m:oMath>
      <w:r w:rsidRPr="00B76BB5">
        <w:rPr>
          <w:rFonts w:eastAsiaTheme="minorEastAsia" w:cstheme="majorBidi"/>
        </w:rPr>
        <w:t xml:space="preserve">, passing through support vectors on each side, we want a hyperplane </w:t>
      </w:r>
      <m:oMath>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T</m:t>
            </m:r>
          </m:sup>
        </m:sSup>
        <m:r>
          <w:rPr>
            <w:rFonts w:ascii="Cambria Math" w:eastAsiaTheme="minorEastAsia" w:hAnsi="Cambria Math" w:cstheme="majorBidi"/>
          </w:rPr>
          <m:t>x+b=0</m:t>
        </m:r>
      </m:oMath>
      <w:r w:rsidRPr="00B76BB5">
        <w:rPr>
          <w:rFonts w:eastAsiaTheme="minorEastAsia" w:cstheme="majorBidi"/>
        </w:rPr>
        <w:t xml:space="preserve"> midway between them. Given that the distance between two hyperplanes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1</m:t>
            </m:r>
          </m:sub>
        </m:sSub>
        <m:r>
          <w:rPr>
            <w:rFonts w:ascii="Cambria Math" w:eastAsiaTheme="minorEastAsia" w:hAnsi="Cambria Math" w:cstheme="majorBidi"/>
          </w:rPr>
          <m:t>x+</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1</m:t>
            </m:r>
          </m:sub>
        </m:sSub>
      </m:oMath>
      <w:r w:rsidRPr="00B76BB5">
        <w:rPr>
          <w:rFonts w:eastAsiaTheme="minorEastAsia" w:cstheme="majorBidi"/>
        </w:rPr>
        <w:t xml:space="preserve"> and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2</m:t>
            </m:r>
          </m:sub>
        </m:sSub>
        <m:r>
          <w:rPr>
            <w:rFonts w:ascii="Cambria Math" w:eastAsiaTheme="minorEastAsia" w:hAnsi="Cambria Math" w:cstheme="majorBidi"/>
          </w:rPr>
          <m:t>x+</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2</m:t>
            </m:r>
          </m:sub>
        </m:sSub>
      </m:oMath>
      <w:r w:rsidRPr="00B76BB5">
        <w:rPr>
          <w:rFonts w:eastAsiaTheme="minorEastAsia" w:cstheme="majorBidi"/>
        </w:rPr>
        <w:t xml:space="preserve"> is calculated as </w:t>
      </w:r>
      <m:oMath>
        <m:r>
          <w:rPr>
            <w:rFonts w:ascii="Cambria Math" w:eastAsiaTheme="minorEastAsia" w:hAnsi="Cambria Math" w:cstheme="majorBidi"/>
          </w:rPr>
          <m:t>d=</m:t>
        </m:r>
        <m:f>
          <m:fPr>
            <m:ctrlPr>
              <w:rPr>
                <w:rFonts w:ascii="Cambria Math" w:eastAsiaTheme="minorEastAsia" w:hAnsi="Cambria Math" w:cstheme="majorBidi"/>
                <w:i/>
              </w:rPr>
            </m:ctrlPr>
          </m:fPr>
          <m:num>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1</m:t>
                    </m:r>
                  </m:sub>
                </m:sSub>
              </m:e>
            </m:d>
          </m:num>
          <m:den>
            <m:rad>
              <m:radPr>
                <m:degHide m:val="1"/>
                <m:ctrlPr>
                  <w:rPr>
                    <w:rFonts w:ascii="Cambria Math" w:eastAsiaTheme="minorEastAsia" w:hAnsi="Cambria Math" w:cstheme="majorBidi"/>
                    <w:i/>
                  </w:rPr>
                </m:ctrlPr>
              </m:radPr>
              <m:deg/>
              <m:e>
                <m:sSubSup>
                  <m:sSubSupPr>
                    <m:ctrlPr>
                      <w:rPr>
                        <w:rFonts w:ascii="Cambria Math" w:eastAsiaTheme="minorEastAsia" w:hAnsi="Cambria Math" w:cstheme="majorBidi"/>
                        <w:i/>
                      </w:rPr>
                    </m:ctrlPr>
                  </m:sSubSupPr>
                  <m:e>
                    <m:r>
                      <w:rPr>
                        <w:rFonts w:ascii="Cambria Math" w:eastAsiaTheme="minorEastAsia" w:hAnsi="Cambria Math" w:cstheme="majorBidi"/>
                      </w:rPr>
                      <m:t>w</m:t>
                    </m:r>
                  </m:e>
                  <m:sub>
                    <m:r>
                      <w:rPr>
                        <w:rFonts w:ascii="Cambria Math" w:eastAsiaTheme="minorEastAsia" w:hAnsi="Cambria Math" w:cstheme="majorBidi"/>
                      </w:rPr>
                      <m:t>1</m:t>
                    </m:r>
                  </m:sub>
                  <m:sup>
                    <m:r>
                      <w:rPr>
                        <w:rFonts w:ascii="Cambria Math" w:eastAsiaTheme="minorEastAsia" w:hAnsi="Cambria Math" w:cstheme="majorBidi"/>
                      </w:rPr>
                      <m:t>2</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w</m:t>
                    </m:r>
                  </m:e>
                  <m:sub>
                    <m:r>
                      <w:rPr>
                        <w:rFonts w:ascii="Cambria Math" w:eastAsiaTheme="minorEastAsia" w:hAnsi="Cambria Math" w:cstheme="majorBidi"/>
                      </w:rPr>
                      <m:t>2</m:t>
                    </m:r>
                  </m:sub>
                  <m:sup>
                    <m:r>
                      <w:rPr>
                        <w:rFonts w:ascii="Cambria Math" w:eastAsiaTheme="minorEastAsia" w:hAnsi="Cambria Math" w:cstheme="majorBidi"/>
                      </w:rPr>
                      <m:t>2</m:t>
                    </m:r>
                  </m:sup>
                </m:sSubSup>
              </m:e>
            </m:rad>
          </m:den>
        </m:f>
      </m:oMath>
      <w:r w:rsidRPr="00B76BB5">
        <w:rPr>
          <w:rFonts w:eastAsiaTheme="minorEastAsia" w:cstheme="majorBidi"/>
        </w:rPr>
        <w:t xml:space="preserve">, </w:t>
      </w:r>
      <w:r w:rsidRPr="00B76BB5">
        <w:rPr>
          <w:rFonts w:cstheme="majorBidi"/>
        </w:rPr>
        <w:t xml:space="preserve">the margin will be </w:t>
      </w:r>
      <m:oMath>
        <m:f>
          <m:fPr>
            <m:ctrlPr>
              <w:rPr>
                <w:rFonts w:ascii="Cambria Math" w:hAnsi="Cambria Math" w:cstheme="majorBidi"/>
                <w:i/>
              </w:rPr>
            </m:ctrlPr>
          </m:fPr>
          <m:num>
            <m:r>
              <w:rPr>
                <w:rFonts w:ascii="Cambria Math" w:hAnsi="Cambria Math" w:cstheme="majorBidi"/>
              </w:rPr>
              <m:t>2</m:t>
            </m:r>
          </m:num>
          <m:den>
            <m:d>
              <m:dPr>
                <m:begChr m:val="‖"/>
                <m:endChr m:val="‖"/>
                <m:ctrlPr>
                  <w:rPr>
                    <w:rFonts w:ascii="Cambria Math" w:hAnsi="Cambria Math" w:cstheme="majorBidi"/>
                    <w:i/>
                  </w:rPr>
                </m:ctrlPr>
              </m:dPr>
              <m:e>
                <m:r>
                  <w:rPr>
                    <w:rFonts w:ascii="Cambria Math" w:hAnsi="Cambria Math" w:cstheme="majorBidi"/>
                  </w:rPr>
                  <m:t>w</m:t>
                </m:r>
              </m:e>
            </m:d>
          </m:den>
        </m:f>
      </m:oMath>
      <w:r w:rsidRPr="00B76BB5">
        <w:rPr>
          <w:rFonts w:eastAsiaTheme="minorEastAsia" w:cstheme="majorBidi"/>
        </w:rPr>
        <w:t xml:space="preserve">, in which </w:t>
      </w:r>
      <m:oMath>
        <m:d>
          <m:dPr>
            <m:begChr m:val="‖"/>
            <m:endChr m:val="‖"/>
            <m:ctrlPr>
              <w:rPr>
                <w:rFonts w:ascii="Cambria Math" w:eastAsiaTheme="minorEastAsia" w:hAnsi="Cambria Math" w:cstheme="majorBidi"/>
                <w:i/>
              </w:rPr>
            </m:ctrlPr>
          </m:dPr>
          <m:e>
            <m:r>
              <w:rPr>
                <w:rFonts w:ascii="Cambria Math" w:eastAsiaTheme="minorEastAsia" w:hAnsi="Cambria Math" w:cstheme="majorBidi"/>
              </w:rPr>
              <m:t>w</m:t>
            </m:r>
          </m:e>
        </m:d>
        <m:r>
          <w:rPr>
            <w:rFonts w:ascii="Cambria Math" w:eastAsiaTheme="minorEastAsia" w:hAnsi="Cambria Math" w:cstheme="majorBidi"/>
          </w:rPr>
          <m:t>=</m:t>
        </m:r>
        <m:rad>
          <m:radPr>
            <m:degHide m:val="1"/>
            <m:ctrlPr>
              <w:rPr>
                <w:rFonts w:ascii="Cambria Math" w:eastAsiaTheme="minorEastAsia" w:hAnsi="Cambria Math" w:cstheme="majorBidi"/>
                <w:i/>
              </w:rPr>
            </m:ctrlPr>
          </m:radPr>
          <m:deg/>
          <m:e>
            <m:sSubSup>
              <m:sSubSupPr>
                <m:ctrlPr>
                  <w:rPr>
                    <w:rFonts w:ascii="Cambria Math" w:eastAsiaTheme="minorEastAsia" w:hAnsi="Cambria Math" w:cstheme="majorBidi"/>
                    <w:i/>
                  </w:rPr>
                </m:ctrlPr>
              </m:sSubSupPr>
              <m:e>
                <m:r>
                  <w:rPr>
                    <w:rFonts w:ascii="Cambria Math" w:eastAsiaTheme="minorEastAsia" w:hAnsi="Cambria Math" w:cstheme="majorBidi"/>
                  </w:rPr>
                  <m:t>w</m:t>
                </m:r>
              </m:e>
              <m:sub>
                <m:r>
                  <w:rPr>
                    <w:rFonts w:ascii="Cambria Math" w:eastAsiaTheme="minorEastAsia" w:hAnsi="Cambria Math" w:cstheme="majorBidi"/>
                  </w:rPr>
                  <m:t>1</m:t>
                </m:r>
              </m:sub>
              <m:sup>
                <m:r>
                  <w:rPr>
                    <w:rFonts w:ascii="Cambria Math" w:eastAsiaTheme="minorEastAsia" w:hAnsi="Cambria Math" w:cstheme="majorBidi"/>
                  </w:rPr>
                  <m:t>2</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w</m:t>
                </m:r>
              </m:e>
              <m:sub>
                <m:r>
                  <w:rPr>
                    <w:rFonts w:ascii="Cambria Math" w:eastAsiaTheme="minorEastAsia" w:hAnsi="Cambria Math" w:cstheme="majorBidi"/>
                  </w:rPr>
                  <m:t>2</m:t>
                </m:r>
              </m:sub>
              <m:sup>
                <m:r>
                  <w:rPr>
                    <w:rFonts w:ascii="Cambria Math" w:eastAsiaTheme="minorEastAsia" w:hAnsi="Cambria Math" w:cstheme="majorBidi"/>
                  </w:rPr>
                  <m:t>2</m:t>
                </m:r>
              </m:sup>
            </m:sSubSup>
          </m:e>
        </m:rad>
      </m:oMath>
      <w:r w:rsidRPr="00B76BB5">
        <w:rPr>
          <w:rFonts w:eastAsiaTheme="minorEastAsia" w:cstheme="majorBidi"/>
        </w:rPr>
        <w:t xml:space="preserve"> is the distance from the origin, </w:t>
      </w:r>
      <w:r>
        <w:rPr>
          <w:rFonts w:eastAsiaTheme="minorEastAsia" w:cstheme="majorBidi"/>
        </w:rPr>
        <w:t>i.e.,</w:t>
      </w:r>
      <w:r w:rsidRPr="00B76BB5">
        <w:rPr>
          <w:rFonts w:eastAsiaTheme="minorEastAsia" w:cstheme="majorBidi"/>
        </w:rPr>
        <w:t xml:space="preserve"> the Euclidean norm. </w:t>
      </w:r>
      <w:r w:rsidRPr="00B76BB5">
        <w:rPr>
          <w:rFonts w:cstheme="majorBidi"/>
        </w:rPr>
        <w:t xml:space="preserve">The task here is to optimize parameters </w:t>
      </w:r>
      <m:oMath>
        <m:sSup>
          <m:sSupPr>
            <m:ctrlPr>
              <w:rPr>
                <w:rFonts w:ascii="Cambria Math" w:hAnsi="Cambria Math" w:cstheme="majorBidi"/>
                <w:i/>
              </w:rPr>
            </m:ctrlPr>
          </m:sSupPr>
          <m:e>
            <m:r>
              <w:rPr>
                <w:rFonts w:ascii="Cambria Math" w:hAnsi="Cambria Math" w:cstheme="majorBidi"/>
              </w:rPr>
              <m:t>w</m:t>
            </m:r>
          </m:e>
          <m:sup>
            <m:r>
              <w:rPr>
                <w:rFonts w:ascii="Cambria Math" w:hAnsi="Cambria Math" w:cstheme="majorBidi"/>
              </w:rPr>
              <m:t>T</m:t>
            </m:r>
          </m:sup>
        </m:sSup>
      </m:oMath>
      <w:r w:rsidRPr="00B76BB5">
        <w:rPr>
          <w:rFonts w:eastAsiaTheme="minorEastAsia" w:cstheme="majorBidi"/>
        </w:rPr>
        <w:t xml:space="preserve"> (transpose of the hyperplane weight vector),</w:t>
      </w:r>
      <w:r w:rsidRPr="00B76BB5">
        <w:rPr>
          <w:rFonts w:cstheme="majorBidi"/>
        </w:rPr>
        <w:t xml:space="preserve"> and </w:t>
      </w:r>
      <w:r w:rsidRPr="00B76BB5">
        <w:rPr>
          <w:rFonts w:cstheme="majorBidi"/>
          <w:i/>
          <w:iCs/>
        </w:rPr>
        <w:t>b</w:t>
      </w:r>
      <w:r w:rsidRPr="00B76BB5">
        <w:rPr>
          <w:rFonts w:cstheme="majorBidi"/>
        </w:rPr>
        <w:t xml:space="preserve"> (offset from the origin) so that the margin is maximized. Therefore, </w:t>
      </w:r>
      <m:oMath>
        <m:d>
          <m:dPr>
            <m:begChr m:val="‖"/>
            <m:endChr m:val="‖"/>
            <m:ctrlPr>
              <w:rPr>
                <w:rFonts w:ascii="Cambria Math" w:eastAsiaTheme="minorEastAsia" w:hAnsi="Cambria Math" w:cstheme="majorBidi"/>
                <w:i/>
              </w:rPr>
            </m:ctrlPr>
          </m:dPr>
          <m:e>
            <m:r>
              <w:rPr>
                <w:rFonts w:ascii="Cambria Math" w:eastAsiaTheme="minorEastAsia" w:hAnsi="Cambria Math" w:cstheme="majorBidi"/>
              </w:rPr>
              <m:t>w</m:t>
            </m:r>
          </m:e>
        </m:d>
      </m:oMath>
      <w:r w:rsidRPr="00B76BB5">
        <w:rPr>
          <w:rFonts w:eastAsiaTheme="minorEastAsia" w:cstheme="majorBidi"/>
        </w:rPr>
        <w:t xml:space="preserve"> should be minimized, while also observing the constraint</w:t>
      </w:r>
      <m:oMath>
        <m:sSub>
          <m:sSubPr>
            <m:ctrlPr>
              <w:rPr>
                <w:rFonts w:ascii="Cambria Math" w:eastAsiaTheme="minorEastAsia" w:hAnsi="Cambria Math" w:cstheme="majorBidi"/>
                <w:i/>
              </w:rPr>
            </m:ctrlPr>
          </m:sSubPr>
          <m:e>
            <m:r>
              <w:rPr>
                <w:rFonts w:ascii="Cambria Math" w:eastAsiaTheme="minorEastAsia" w:hAnsi="Cambria Math" w:cstheme="majorBidi"/>
              </w:rPr>
              <m:t xml:space="preserve"> y</m:t>
            </m:r>
          </m:e>
          <m:sub>
            <m:r>
              <w:rPr>
                <w:rFonts w:ascii="Cambria Math" w:eastAsiaTheme="minorEastAsia" w:hAnsi="Cambria Math" w:cstheme="majorBidi"/>
              </w:rPr>
              <m:t>i</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T</m:t>
            </m:r>
          </m:sup>
        </m:sSup>
        <m:r>
          <w:rPr>
            <w:rFonts w:ascii="Cambria Math" w:eastAsiaTheme="minorEastAsia" w:hAnsi="Cambria Math" w:cstheme="majorBidi"/>
          </w:rPr>
          <m:t>x+b)≥1</m:t>
        </m:r>
      </m:oMath>
      <w:r w:rsidRPr="00B76BB5">
        <w:rPr>
          <w:rFonts w:eastAsiaTheme="minorEastAsia" w:cstheme="majorBidi"/>
        </w:rPr>
        <w:t xml:space="preserve"> for all </w:t>
      </w:r>
      <m:oMath>
        <m:r>
          <w:rPr>
            <w:rFonts w:ascii="Cambria Math" w:eastAsiaTheme="minorEastAsia" w:hAnsi="Cambria Math" w:cstheme="majorBidi"/>
          </w:rPr>
          <m:t>1≤i≤n</m:t>
        </m:r>
      </m:oMath>
      <w:r w:rsidRPr="00B76BB5">
        <w:rPr>
          <w:rFonts w:eastAsiaTheme="minorEastAsia" w:cstheme="majorBidi"/>
        </w:rPr>
        <w:t xml:space="preserve"> to prevent data points from overlapping with the margin.</w:t>
      </w:r>
      <w:r>
        <w:rPr>
          <w:rFonts w:eastAsiaTheme="minorEastAsia" w:cstheme="majorBidi"/>
        </w:rPr>
        <w:t xml:space="preserve"> Furthermore, a soft margin can be used that tolerates misclassifying points to compensate for generalizability.</w:t>
      </w:r>
    </w:p>
    <w:p w14:paraId="40A615E9" w14:textId="77777777" w:rsidR="00E01B69" w:rsidRPr="002A2D2F" w:rsidRDefault="00E01B69" w:rsidP="00E01B69">
      <w:pPr>
        <w:rPr>
          <w:rFonts w:cstheme="majorBidi"/>
        </w:rPr>
      </w:pPr>
      <w:r w:rsidRPr="00B76BB5">
        <w:rPr>
          <w:rFonts w:cstheme="majorBidi"/>
        </w:rPr>
        <w:t>However, classic SVM hypothesizes that there exists a linear structure that can achieve the classification task, which may not be the case in many real-world problems. To overcome this, SVM can be extended in several ways to fit other types of non-linearly separable points. One way to overcome non-linearity is to transfer the points into a space of higher dimension in which a linear hyperplane capable of satisfying this condition does exist</w:t>
      </w:r>
      <w:r w:rsidRPr="003F05D8">
        <w:rPr>
          <w:rFonts w:cstheme="majorBidi"/>
        </w:rPr>
        <w:t>. To avoid complex computation, the points are almost never transformed directly, but rather, a kernel function is used instead. Several types of kernel functions exist such as the G</w:t>
      </w:r>
      <w:r w:rsidRPr="00B76BB5">
        <w:rPr>
          <w:rFonts w:cstheme="majorBidi"/>
        </w:rPr>
        <w:t>aussian kernel and the choice of kernel is a hyperparameter that should be decided by the analyst, usually through a grid search.</w:t>
      </w:r>
      <w:r>
        <w:rPr>
          <w:rFonts w:cstheme="majorBidi"/>
        </w:rPr>
        <w:t xml:space="preserve"> Since the model complexity is not affected by the number of attributes, SVM can deal with high dimensional data </w:t>
      </w:r>
      <w:r>
        <w:rPr>
          <w:rFonts w:cstheme="majorBidi"/>
        </w:rPr>
        <w:fldChar w:fldCharType="begin"/>
      </w:r>
      <w:r>
        <w:rPr>
          <w:rFonts w:cstheme="majorBidi"/>
        </w:rPr>
        <w:instrText xml:space="preserve"> ADDIN ZOTERO_ITEM CSL_CITATION {"citationID":"aihbfckjs6","properties":{"formattedCitation":"\\super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rPr>
          <w:rFonts w:cstheme="majorBidi"/>
        </w:rPr>
        <w:fldChar w:fldCharType="separate"/>
      </w:r>
      <w:r w:rsidRPr="00644EFE">
        <w:rPr>
          <w:rFonts w:ascii="Times New Roman" w:hAnsi="Times New Roman"/>
          <w:vertAlign w:val="superscript"/>
        </w:rPr>
        <w:t>18</w:t>
      </w:r>
      <w:r>
        <w:rPr>
          <w:rFonts w:cstheme="majorBidi"/>
        </w:rPr>
        <w:fldChar w:fldCharType="end"/>
      </w:r>
      <w:r>
        <w:rPr>
          <w:rFonts w:cstheme="majorBidi"/>
        </w:rPr>
        <w:t xml:space="preserve">. </w:t>
      </w:r>
      <w:r w:rsidRPr="00B76BB5">
        <w:rPr>
          <w:rFonts w:cstheme="majorBidi"/>
        </w:rPr>
        <w:t xml:space="preserve">The limitation of SVM to binary classification can be solved by mapping multiple class problems into binary classes, such as pair-wise classification of one class versus the rest </w:t>
      </w:r>
      <w:r w:rsidRPr="00B76BB5">
        <w:rPr>
          <w:rFonts w:cstheme="majorBidi"/>
        </w:rPr>
        <w:fldChar w:fldCharType="begin"/>
      </w:r>
      <w:r>
        <w:rPr>
          <w:rFonts w:cstheme="majorBidi"/>
        </w:rPr>
        <w:instrText xml:space="preserve"> ADDIN ZOTERO_ITEM CSL_CITATION {"citationID":"aseqe2mol7","properties":{"formattedCitation":"\\super 36\\nosupersub{}","plainCitation":"36","noteIndex":0},"citationItems":[{"id":209,"uris":["http://zotero.org/users/7931734/items/JCHV5YPU"],"itemData":{"id":209,"type":"article-journal","abstract":"Pairwise classification is the task to predict whether the examples a,b of a pair (a,b) belong to the same class or to different classes. In particular, interclass generalization problems can be treated in this way. In pairwise classification, the order of the two input examples should not affect the classification result. To achieve this, particular kernels as well as the use of symmetric training sets in the framework of support vector machines were suggested. The paper discusses both approaches in a general way and establishes a strong connection between them. In addition, an efficient implementation is discussed which allows the training of several millions of pairs. The value of these contributions is confirmed by excellent results on the labeled faces in the wild benchmark.","container-title":"Journal of Machine Learning Research","ISSN":"1533-7928","issue":"75","page":"2279-2292","source":"www.jmlr.org","title":"Pairwise Support Vector Machines and their Application to Large Scale Problems","volume":"13","author":[{"family":"Brunner","given":"Carl"},{"family":"Fischer","given":"Andreas"},{"family":"Luig","given":"Klaus"},{"family":"Thies","given":"Thorsten"}],"issued":{"date-parts":[["2012"]]}}}],"schema":"https://github.com/citation-style-language/schema/raw/master/csl-citation.json"} </w:instrText>
      </w:r>
      <w:r w:rsidRPr="00B76BB5">
        <w:rPr>
          <w:rFonts w:cstheme="majorBidi"/>
        </w:rPr>
        <w:fldChar w:fldCharType="separate"/>
      </w:r>
      <w:r w:rsidRPr="00400F29">
        <w:rPr>
          <w:rFonts w:ascii="Times New Roman" w:hAnsi="Times New Roman"/>
          <w:vertAlign w:val="superscript"/>
        </w:rPr>
        <w:t>36</w:t>
      </w:r>
      <w:r w:rsidRPr="00B76BB5">
        <w:rPr>
          <w:rFonts w:cstheme="majorBidi"/>
        </w:rPr>
        <w:fldChar w:fldCharType="end"/>
      </w:r>
      <w:r w:rsidRPr="00B76BB5">
        <w:rPr>
          <w:rFonts w:cstheme="majorBidi"/>
        </w:rPr>
        <w:t>. SVM can be extended into support vector regression (SVR) that tends to minimize the distance of points from the hyperplane, similar to linear regression. Moreover, this model can also be extended into unlabeled data by using support vector clustering (SVC).</w:t>
      </w:r>
      <w:r>
        <w:rPr>
          <w:rFonts w:cstheme="majorBidi"/>
        </w:rPr>
        <w:t xml:space="preserve"> The downsides of SVM are the large sample size required for modeling, low interpretability and high training time </w:t>
      </w:r>
      <w:r>
        <w:rPr>
          <w:rFonts w:cstheme="majorBidi"/>
        </w:rPr>
        <w:fldChar w:fldCharType="begin"/>
      </w:r>
      <w:r>
        <w:rPr>
          <w:rFonts w:cstheme="majorBidi"/>
        </w:rPr>
        <w:instrText xml:space="preserve"> ADDIN ZOTERO_ITEM CSL_CITATION {"citationID":"aoe78cafmt","properties":{"formattedCitation":"\\super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rPr>
          <w:rFonts w:cstheme="majorBidi"/>
        </w:rPr>
        <w:fldChar w:fldCharType="separate"/>
      </w:r>
      <w:r w:rsidRPr="00644EFE">
        <w:rPr>
          <w:rFonts w:ascii="Times New Roman" w:hAnsi="Times New Roman"/>
          <w:vertAlign w:val="superscript"/>
        </w:rPr>
        <w:t>18</w:t>
      </w:r>
      <w:r>
        <w:rPr>
          <w:rFonts w:cstheme="majorBidi"/>
        </w:rPr>
        <w:fldChar w:fldCharType="end"/>
      </w:r>
    </w:p>
    <w:p w14:paraId="3EA36E7A" w14:textId="63B6C6D2" w:rsidR="00E01B69" w:rsidRDefault="00E01B69" w:rsidP="00E01B69">
      <w:pPr>
        <w:pStyle w:val="Heading3"/>
      </w:pPr>
      <w:bookmarkStart w:id="10" w:name="_Toc124023352"/>
      <w:bookmarkStart w:id="11" w:name="_Toc123391060"/>
      <w:r>
        <w:t>4.1.4. Ensemble Models</w:t>
      </w:r>
      <w:bookmarkEnd w:id="10"/>
    </w:p>
    <w:p w14:paraId="1ED20834" w14:textId="77777777" w:rsidR="00E01B69" w:rsidRDefault="00E01B69" w:rsidP="00E01B69">
      <w:r>
        <w:t xml:space="preserve">Ensemble models combine several weak learners into a strong learner, for example by bootstrap aggregating (bagging) or boosting. Random forests (RFs) </w:t>
      </w:r>
      <w:proofErr w:type="gramStart"/>
      <w:r>
        <w:t>creates</w:t>
      </w:r>
      <w:proofErr w:type="gramEnd"/>
      <w:r>
        <w:t xml:space="preserve"> shallow DTs or stumps by splitting random subsets of the data with replacement using</w:t>
      </w:r>
      <w:r w:rsidRPr="00BB720A">
        <w:t xml:space="preserve"> </w:t>
      </w:r>
      <w:r>
        <w:t xml:space="preserve">certain criteria and </w:t>
      </w:r>
      <w:proofErr w:type="gramStart"/>
      <w:r>
        <w:t>aggregates</w:t>
      </w:r>
      <w:proofErr w:type="gramEnd"/>
      <w:r>
        <w:t xml:space="preserve"> them by giving a wight to each DT. RFs are widely used, as opposed to DTs, which are known to overfit the data. Extra Tree Classifiers reduce the model variance even further by sampling </w:t>
      </w:r>
      <w:r>
        <w:lastRenderedPageBreak/>
        <w:t xml:space="preserve">without replacement and splitting randomly. Boosting algorithms, such as </w:t>
      </w:r>
      <w:proofErr w:type="spellStart"/>
      <w:r w:rsidRPr="00BB720A">
        <w:t>eXtreme</w:t>
      </w:r>
      <w:proofErr w:type="spellEnd"/>
      <w:r w:rsidRPr="00BB720A">
        <w:t xml:space="preserve"> gradient boosting (</w:t>
      </w:r>
      <w:proofErr w:type="spellStart"/>
      <w:r w:rsidRPr="00BB720A">
        <w:t>XGBoost</w:t>
      </w:r>
      <w:proofErr w:type="spellEnd"/>
      <w:r w:rsidRPr="00BB720A">
        <w:t xml:space="preserve">) and </w:t>
      </w:r>
      <w:proofErr w:type="spellStart"/>
      <w:r w:rsidRPr="00BB720A">
        <w:t>CatBoost</w:t>
      </w:r>
      <w:proofErr w:type="spellEnd"/>
      <w:r>
        <w:t xml:space="preserve"> on the other hand, iteratively combine trees to improve the model. The number and depth of the trees is an important hyperparameter in both bagging and boosting algorithms.</w:t>
      </w:r>
    </w:p>
    <w:p w14:paraId="7A916A1C" w14:textId="4950FBA2" w:rsidR="00E01B69" w:rsidRPr="00465886" w:rsidRDefault="00E01B69" w:rsidP="00E01B69">
      <w:pPr>
        <w:pStyle w:val="Heading3"/>
      </w:pPr>
      <w:bookmarkStart w:id="12" w:name="_Toc123391062"/>
      <w:bookmarkStart w:id="13" w:name="_Toc124023353"/>
      <w:bookmarkEnd w:id="11"/>
      <w:r>
        <w:t xml:space="preserve">4.1.5. </w:t>
      </w:r>
      <w:r w:rsidRPr="00465886">
        <w:t>Artificial Neural Networks</w:t>
      </w:r>
      <w:bookmarkEnd w:id="12"/>
      <w:bookmarkEnd w:id="13"/>
    </w:p>
    <w:p w14:paraId="37A0AF5B" w14:textId="77777777" w:rsidR="00E01B69" w:rsidRPr="00EA6E93" w:rsidRDefault="00E01B69" w:rsidP="00E01B69">
      <w:pPr>
        <w:rPr>
          <w:rFonts w:cstheme="majorBidi"/>
        </w:rPr>
      </w:pPr>
      <w:r w:rsidRPr="001F13B7">
        <w:rPr>
          <w:rFonts w:cstheme="majorBidi"/>
        </w:rPr>
        <w:t xml:space="preserve">Artificial neural networks (ANNs) are weighted, directed graphs inspired by the connection between brain neurons (i.e., biological neural networks). ANNs are highly adaptable and can be applied to many problems in classification, regression, unsupervised and reinforcement learning. The perceptron is the simplest kind of neural network consisting of a single neuron that applies an activation function (usually the logistic function or the Rectified Linear Unit or </w:t>
      </w:r>
      <w:proofErr w:type="spellStart"/>
      <w:r w:rsidRPr="001F13B7">
        <w:rPr>
          <w:rFonts w:cstheme="majorBidi"/>
        </w:rPr>
        <w:t>ReLU</w:t>
      </w:r>
      <w:proofErr w:type="spellEnd"/>
      <w:r w:rsidRPr="001F13B7">
        <w:rPr>
          <w:rFonts w:cstheme="majorBidi"/>
        </w:rPr>
        <w:t xml:space="preserve">) to a linear combination of inputs to produce its output. Several </w:t>
      </w:r>
      <w:proofErr w:type="spellStart"/>
      <w:r w:rsidRPr="001F13B7">
        <w:rPr>
          <w:rFonts w:cstheme="majorBidi"/>
        </w:rPr>
        <w:t>perceptrons</w:t>
      </w:r>
      <w:proofErr w:type="spellEnd"/>
      <w:r w:rsidRPr="001F13B7">
        <w:rPr>
          <w:rFonts w:cstheme="majorBidi"/>
        </w:rPr>
        <w:t xml:space="preserve"> can be arranged in multiple layers to create a multi-layer perceptron (MLP) model that assigns a weight to each edge between the neurons. The layers between the first (input) layer and the last (output) layers are called hidden layers. ANNs with more than one hidden layer are called deep ANNs, which lends its name to the field of ANNs, deep learning. Training ANNs involves feeding the training examples to the model in batches and adjusting the weights while controlling the loss using a method such as back propagation and differentiation, usually with stochastic gradient descent, until a global optimum is achieved. </w:t>
      </w:r>
      <w:r w:rsidRPr="001F13B7">
        <w:rPr>
          <w:rFonts w:eastAsiaTheme="majorEastAsia" w:cstheme="majorBidi"/>
        </w:rPr>
        <w:t xml:space="preserve">The architecture of the network and the choice of activation function are the hyperparameters in this model. </w:t>
      </w:r>
      <w:r w:rsidRPr="001F13B7">
        <w:rPr>
          <w:rFonts w:cstheme="majorBidi"/>
        </w:rPr>
        <w:t xml:space="preserve">ANNs in which training is a one-way process, with the signal traveling from </w:t>
      </w:r>
      <w:r w:rsidRPr="001F13B7">
        <w:rPr>
          <w:rFonts w:eastAsiaTheme="majorEastAsia" w:cstheme="majorBidi"/>
        </w:rPr>
        <w:t xml:space="preserve">input to output are called feedforward neural network (FNN) </w:t>
      </w:r>
      <w:r w:rsidRPr="001F13B7">
        <w:rPr>
          <w:rFonts w:eastAsiaTheme="majorEastAsia" w:cstheme="majorBidi"/>
        </w:rPr>
        <w:fldChar w:fldCharType="begin"/>
      </w:r>
      <w:r>
        <w:rPr>
          <w:rFonts w:eastAsiaTheme="majorEastAsia" w:cstheme="majorBidi"/>
        </w:rPr>
        <w:instrText xml:space="preserve"> ADDIN ZOTERO_ITEM CSL_CITATION {"citationID":"at5r2dpgvj","properties":{"formattedCitation":"\\super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rsidRPr="001F13B7">
        <w:rPr>
          <w:rFonts w:eastAsiaTheme="majorEastAsia" w:cstheme="majorBidi"/>
        </w:rPr>
        <w:fldChar w:fldCharType="separate"/>
      </w:r>
      <w:r w:rsidRPr="00644EFE">
        <w:rPr>
          <w:rFonts w:ascii="Times New Roman" w:hAnsi="Times New Roman"/>
          <w:vertAlign w:val="superscript"/>
        </w:rPr>
        <w:t>18</w:t>
      </w:r>
      <w:r w:rsidRPr="001F13B7">
        <w:rPr>
          <w:rFonts w:eastAsiaTheme="majorEastAsia" w:cstheme="majorBidi"/>
        </w:rPr>
        <w:fldChar w:fldCharType="end"/>
      </w:r>
      <w:r w:rsidRPr="001F13B7">
        <w:rPr>
          <w:rFonts w:eastAsiaTheme="majorEastAsia" w:cstheme="majorBidi"/>
        </w:rPr>
        <w:t xml:space="preserve">. </w:t>
      </w:r>
      <w:r>
        <w:rPr>
          <w:rFonts w:eastAsiaTheme="majorEastAsia" w:cstheme="majorBidi"/>
        </w:rPr>
        <w:t>Neural networks work impeccably with high-dimensional and non-linear data. However, they are known for their low interpretability, requiring high number of training data, and consuming excess time and computational resources for training.</w:t>
      </w:r>
    </w:p>
    <w:p w14:paraId="2A740137" w14:textId="7AD864B4" w:rsidR="00E01B69" w:rsidRDefault="00E01B69" w:rsidP="00E01B69">
      <w:pPr>
        <w:pStyle w:val="Heading3"/>
      </w:pPr>
      <w:bookmarkStart w:id="14" w:name="_Toc123391063"/>
      <w:bookmarkStart w:id="15" w:name="_Toc124023354"/>
      <w:r>
        <w:t xml:space="preserve">4.1.6. </w:t>
      </w:r>
      <w:r w:rsidRPr="00C8145D">
        <w:t>K-nearest neighbors</w:t>
      </w:r>
      <w:bookmarkEnd w:id="14"/>
      <w:bookmarkEnd w:id="15"/>
    </w:p>
    <w:p w14:paraId="68189EB8" w14:textId="5A9C5828" w:rsidR="00E01B69" w:rsidRPr="00E01B69" w:rsidRDefault="00E01B69" w:rsidP="00E01B69">
      <w:r>
        <w:t xml:space="preserve">The </w:t>
      </w:r>
      <w:r w:rsidRPr="00667433">
        <w:rPr>
          <w:i/>
          <w:iCs/>
        </w:rPr>
        <w:t>k</w:t>
      </w:r>
      <w:r w:rsidRPr="004624CE">
        <w:t xml:space="preserve">-nearest neighbors (KNN) is a </w:t>
      </w:r>
      <w:r>
        <w:t xml:space="preserve">supervised non-parametric and </w:t>
      </w:r>
      <w:r w:rsidRPr="004624CE">
        <w:t xml:space="preserve">instance-based learning algorithm that assigns a value to an unknown observation </w:t>
      </w:r>
      <w:proofErr w:type="gramStart"/>
      <w:r w:rsidRPr="004624CE">
        <w:t>similar to</w:t>
      </w:r>
      <w:proofErr w:type="gramEnd"/>
      <w:r w:rsidRPr="004624CE">
        <w:t xml:space="preserve"> the </w:t>
      </w:r>
      <w:r w:rsidRPr="00667433">
        <w:rPr>
          <w:i/>
          <w:iCs/>
        </w:rPr>
        <w:t>k</w:t>
      </w:r>
      <w:r w:rsidRPr="004624CE">
        <w:t xml:space="preserve"> points of the training data </w:t>
      </w:r>
      <w:r>
        <w:t>in its vicinity</w:t>
      </w:r>
      <w:r w:rsidRPr="004624CE">
        <w:t xml:space="preserve">, i.e., its </w:t>
      </w:r>
      <w:r w:rsidRPr="00667433">
        <w:rPr>
          <w:i/>
          <w:iCs/>
        </w:rPr>
        <w:t>k</w:t>
      </w:r>
      <w:r w:rsidRPr="004624CE">
        <w:t>-nearest neighbors.</w:t>
      </w:r>
      <w:r>
        <w:t xml:space="preserve"> The hyperparameter </w:t>
      </w:r>
      <m:oMath>
        <m:r>
          <w:rPr>
            <w:rFonts w:ascii="Cambria Math" w:hAnsi="Cambria Math"/>
          </w:rPr>
          <m:t>k</m:t>
        </m:r>
        <m:r>
          <m:rPr>
            <m:scr m:val="double-struck"/>
          </m:rPr>
          <w:rPr>
            <w:rFonts w:ascii="Cambria Math" w:hAnsi="Cambria Math"/>
          </w:rPr>
          <m:t>∈N</m:t>
        </m:r>
      </m:oMath>
      <w:r>
        <w:t xml:space="preserve"> significantly affects the model, and is determined usually through a grid search or visual heuristics such as the elbow method. The distance metric, for example the Euclidian distance, is a hyperparameter that should </w:t>
      </w:r>
      <w:r w:rsidRPr="00667433">
        <w:t>ideally minimize the distance between similar instances, while maximizing the distance between others</w:t>
      </w:r>
      <w:r>
        <w:t xml:space="preserve"> </w:t>
      </w:r>
      <w:r>
        <w:fldChar w:fldCharType="begin"/>
      </w:r>
      <w:r>
        <w:instrText xml:space="preserve"> ADDIN ZOTERO_ITEM CSL_CITATION {"citationID":"a1a4rk74fg2","properties":{"formattedCitation":"\\super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fldChar w:fldCharType="separate"/>
      </w:r>
      <w:r w:rsidRPr="00644EFE">
        <w:rPr>
          <w:rFonts w:ascii="Times New Roman" w:hAnsi="Times New Roman"/>
          <w:vertAlign w:val="superscript"/>
        </w:rPr>
        <w:t>18</w:t>
      </w:r>
      <w:r>
        <w:fldChar w:fldCharType="end"/>
      </w:r>
      <w:r>
        <w:t xml:space="preserve">. KNN does not require computation time during training and can be used for both </w:t>
      </w:r>
      <w:r w:rsidRPr="00251E0E">
        <w:t xml:space="preserve">classification and regression tasks </w:t>
      </w:r>
      <w:r w:rsidRPr="00251E0E">
        <w:fldChar w:fldCharType="begin"/>
      </w:r>
      <w:r>
        <w:instrText xml:space="preserve"> ADDIN ZOTERO_ITEM CSL_CITATION {"citationID":"a1qudtnqhpa","properties":{"formattedCitation":"\\super 18,25\\nosupersub{}","plainCitation":"18,25","noteIndex":0},"citationItems":[{"id":377,"uris":["http://zotero.org/users/7931734/items/73J8WV2N"],"itemData":{"id":377,"type":"article-journal","abstract":"Supervised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B."}],"accessed":{"date-parts":[["2022",12,14]]},"issued":{"date-parts":[["2007"]]}}},{"id":277,"uris":["http://zotero.org/users/7931734/items/ASYINNSY"],"itemData":{"id":277,"type":"article-journal","container-title":"International Journal of Engineering Applied Sciences and Technology","DOI":"10.33564/ijeast.2020.v05i03.069","ISSN":"24552143","issue":"3","journalAbbreviation":"IJEAST","page":"431-438","source":"DOI.org (Crossref)","title":"A Comparative Study Between Various Preprocessing Techniques for Machine Learning","volume":"5","author":[{"family":"Rao","given":"Shruti"},{"family":"Poojary","given":"Prathiksha"},{"family":"Somaiya","given":"Jigar"},{"family":"Mahajan","given":"Pranita"}],"issued":{"date-parts":[["2020",7,31]]}}}],"schema":"https://github.com/citation-style-language/schema/raw/master/csl-citation.json"} </w:instrText>
      </w:r>
      <w:r w:rsidRPr="00251E0E">
        <w:fldChar w:fldCharType="separate"/>
      </w:r>
      <w:r w:rsidRPr="00644EFE">
        <w:rPr>
          <w:rFonts w:ascii="Times New Roman" w:hAnsi="Times New Roman"/>
          <w:vertAlign w:val="superscript"/>
        </w:rPr>
        <w:t>18,25</w:t>
      </w:r>
      <w:r w:rsidRPr="00251E0E">
        <w:fldChar w:fldCharType="end"/>
      </w:r>
      <w:r w:rsidRPr="00251E0E">
        <w:t>.</w:t>
      </w:r>
      <w:r>
        <w:t xml:space="preserve"> However, it is computationally expensive as it requires computation at the time of prediction, especially in high-dimensional datasets. Moreover, it requires a lot of storage space since all the training instances need to be stored in memory in order to make predictions. KNN is also very sensitive to both noisy data and areas of low information density, although this can be mitigated to some degree by using a larger or smaller </w:t>
      </w:r>
      <w:r w:rsidRPr="00756666">
        <w:rPr>
          <w:i/>
          <w:iCs/>
        </w:rPr>
        <w:t>k</w:t>
      </w:r>
      <w:r>
        <w:t xml:space="preserve">, respectively </w:t>
      </w:r>
      <w:r>
        <w:fldChar w:fldCharType="begin"/>
      </w:r>
      <w:r>
        <w:instrText xml:space="preserve"> ADDIN ZOTERO_ITEM CSL_CITATION {"citationID":"avr69jkg0g","properties":{"formattedCitation":"\\super 18\\nosupersub{}","plainCitation":"18","noteIndex":0},"citationItems":[{"id":377,"uris":["http://zotero.org/users/7931734/items/73J8WV2N"],"itemData":{"id":377,"type":"article-journal","abstract":"Supervised Machine Learning: A Review of Classification Techniques","container-title":"Informatica","ISSN":"1854-3871","issue":"3","license":"I assign to  Informatica ,  An International Journal of Computing and Informatics  (\"Journal\") the copyright in the manuscript identified above and any additional material (figures, tables, illustrations, software or other information intended for publication) submitted as part of or as a supplement to the manuscript (\"Paper\") in all forms and media throughout the world, in all languages, for the full term of copyright, effective when and if the article is accepted for publication. This transfer includes the right to reproduce and/or to distribute the Paper to other journals or digital libraries in electronic and online forms and systems.  I understand that I retain the rights to use the pre-prints, off-prints, accepted manuscript and published journal Paper for personal use, scholarly purposes and internal institutional use.  In certain cases, I can ask for retaining the publishing rights of the Paper. The Journal can permit or deny the request for publishing rights, to which I fully agree.  I declare that the submitted Paper is original, has been written by the stated authors and has not been published elsewhere nor is currently being considered for publication by any other journal and will not be submitted for such review while under review by this Journal.  The Paper contains no material that violates proprietary rights of any other person or entity. I have obtained written permission from copyright owners for any excerpts from copyrighted works that are included and have credited the sources in my article. I have informed the co-author(s) of the terms of this publishing agreement.           Copyright ©  Slovenian Society Informatika","note":"number: 3","source":"www.informatica.si","title":"Supervised Machine Learning: A Review of Classification Techniques","title-short":"Supervised Machine Learning","URL":"https://www.informatica.si/index.php/informatica/article/view/148","volume":"31","author":[{"family":"Kotsiantis","given":"S. B."}],"accessed":{"date-parts":[["2022",12,14]]},"issued":{"date-parts":[["2007"]]}}}],"schema":"https://github.com/citation-style-language/schema/raw/master/csl-citation.json"} </w:instrText>
      </w:r>
      <w:r>
        <w:fldChar w:fldCharType="separate"/>
      </w:r>
      <w:r w:rsidRPr="00644EFE">
        <w:rPr>
          <w:rFonts w:ascii="Times New Roman" w:hAnsi="Times New Roman"/>
          <w:vertAlign w:val="superscript"/>
        </w:rPr>
        <w:t>18</w:t>
      </w:r>
      <w:r>
        <w:fldChar w:fldCharType="end"/>
      </w:r>
      <w:r>
        <w:t>.</w:t>
      </w:r>
    </w:p>
    <w:p w14:paraId="272073F3" w14:textId="7C21004E" w:rsidR="002A2D2F" w:rsidRDefault="005357D4" w:rsidP="005357D4">
      <w:pPr>
        <w:pStyle w:val="Heading1"/>
      </w:pPr>
      <w:r>
        <w:t>5.</w:t>
      </w:r>
      <w:r w:rsidR="002A2D2F">
        <w:t xml:space="preserve"> Model Training</w:t>
      </w:r>
    </w:p>
    <w:p w14:paraId="230CF0BE" w14:textId="77777777" w:rsidR="002A2D2F" w:rsidRPr="00F44469" w:rsidRDefault="002A2D2F" w:rsidP="002A2D2F">
      <w:r w:rsidRPr="00D659EE">
        <w:t xml:space="preserve">Once the </w:t>
      </w:r>
      <w:r>
        <w:rPr>
          <w:rStyle w:val="highlight"/>
        </w:rPr>
        <w:t xml:space="preserve">candidate </w:t>
      </w:r>
      <w:r w:rsidRPr="00D659EE">
        <w:t xml:space="preserve">models are identified, they must be trained on the dataset to </w:t>
      </w:r>
      <w:r>
        <w:t xml:space="preserve">find the model that </w:t>
      </w:r>
      <w:r w:rsidRPr="00D659EE">
        <w:t>optimize</w:t>
      </w:r>
      <w:r>
        <w:t>s</w:t>
      </w:r>
      <w:r w:rsidRPr="00D659EE">
        <w:t xml:space="preserve"> the objective function. The set of examples used for training a model is called the </w:t>
      </w:r>
      <w:r w:rsidRPr="00D659EE">
        <w:rPr>
          <w:i/>
          <w:iCs/>
        </w:rPr>
        <w:t>training set</w:t>
      </w:r>
      <w:r w:rsidRPr="00D659EE">
        <w:t xml:space="preserve">. Since the goal is to yield a generalizable model, the ideal approach to model </w:t>
      </w:r>
      <w:r w:rsidRPr="00D659EE">
        <w:lastRenderedPageBreak/>
        <w:t xml:space="preserve">assessment is to test the trained model on unknown data outside the initial dataset. However, most of the times such data does not exist, or may be infeasible/impossible to collect and the researcher is limited to the dataset. Using the entire dataset to train the model is prone to overfitting and leaves no data to be used for assessing the model’s performance. This issue is usually addressed through resampling techniques. For example, the dataset can be randomly partitioned into mutually exclusive </w:t>
      </w:r>
      <w:r w:rsidRPr="007811B8">
        <w:rPr>
          <w:i/>
          <w:iCs/>
        </w:rPr>
        <w:t>training set</w:t>
      </w:r>
      <w:r w:rsidRPr="00D659EE">
        <w:rPr>
          <w:i/>
          <w:iCs/>
        </w:rPr>
        <w:t xml:space="preserve"> </w:t>
      </w:r>
      <w:r w:rsidRPr="00D659EE">
        <w:t xml:space="preserve">and </w:t>
      </w:r>
      <w:r w:rsidRPr="00D659EE">
        <w:rPr>
          <w:i/>
          <w:iCs/>
        </w:rPr>
        <w:t>test set</w:t>
      </w:r>
      <w:r w:rsidRPr="00D659EE">
        <w:t xml:space="preserve">, so the model can be trained on a subset of the data and then tested on </w:t>
      </w:r>
      <w:r>
        <w:t>data points that are</w:t>
      </w:r>
      <w:r w:rsidRPr="00D659EE">
        <w:t xml:space="preserve"> unknown to the model. The partitioning can be done once</w:t>
      </w:r>
      <w:r>
        <w:t xml:space="preserve"> </w:t>
      </w:r>
      <w:r w:rsidRPr="00D659EE">
        <w:t>(</w:t>
      </w:r>
      <w:r w:rsidRPr="00F44705">
        <w:t xml:space="preserve">often asymmetrically), known as the </w:t>
      </w:r>
      <w:r w:rsidRPr="00F44705">
        <w:rPr>
          <w:i/>
          <w:iCs/>
        </w:rPr>
        <w:t>hold-out method</w:t>
      </w:r>
      <w:r w:rsidRPr="00F44705">
        <w:t>, for example, using a training to test ratio of 7:3 or 8:2. To have a better estimate of model</w:t>
      </w:r>
      <w:r>
        <w:t>’s</w:t>
      </w:r>
      <w:r w:rsidRPr="00F44705">
        <w:t xml:space="preserve"> performance, another approach called </w:t>
      </w:r>
      <w:r w:rsidRPr="00F44705">
        <w:rPr>
          <w:i/>
          <w:iCs/>
        </w:rPr>
        <w:t>cross-validation (CV)</w:t>
      </w:r>
      <w:r w:rsidRPr="00F44705">
        <w:t xml:space="preserve">, splits and trains the dataset several times, each time using different training and test sets, and uses the average performance of all iterations. There are several ways for dataset splitting in CV. In </w:t>
      </w:r>
      <w:r w:rsidRPr="00F44705">
        <w:rPr>
          <w:rStyle w:val="highlight"/>
          <w:i/>
          <w:iCs/>
        </w:rPr>
        <w:t>leave-p-out CV</w:t>
      </w:r>
      <w:r w:rsidRPr="00F44705">
        <w:rPr>
          <w:rStyle w:val="highlight"/>
        </w:rPr>
        <w:t xml:space="preserve">, </w:t>
      </w:r>
      <w:r w:rsidRPr="00F44705">
        <w:rPr>
          <w:rStyle w:val="highlight"/>
          <w:i/>
          <w:iCs/>
        </w:rPr>
        <w:t>p</w:t>
      </w:r>
      <w:r w:rsidRPr="00F44705">
        <w:rPr>
          <w:rStyle w:val="highlight"/>
        </w:rPr>
        <w:t xml:space="preserve"> examples are used for testing and all other examples are used for model training in each iteration. </w:t>
      </w:r>
      <w:r w:rsidRPr="00F44705">
        <w:t xml:space="preserve">In its most accurate (but resource-intensive) variation, called </w:t>
      </w:r>
      <w:r w:rsidRPr="00F44705">
        <w:rPr>
          <w:rStyle w:val="highlight"/>
          <w:i/>
          <w:iCs/>
        </w:rPr>
        <w:t>leave-one-out CV</w:t>
      </w:r>
      <w:r w:rsidRPr="00F44705">
        <w:rPr>
          <w:rStyle w:val="highlight"/>
        </w:rPr>
        <w:t xml:space="preserve">, </w:t>
      </w:r>
      <w:r w:rsidRPr="00F44705">
        <w:rPr>
          <w:rStyle w:val="highlight"/>
          <w:i/>
          <w:iCs/>
        </w:rPr>
        <w:t xml:space="preserve">p </w:t>
      </w:r>
      <w:r w:rsidRPr="00F44705">
        <w:rPr>
          <w:rStyle w:val="highlight"/>
        </w:rPr>
        <w:t xml:space="preserve">is equal to one. A more common approach, called </w:t>
      </w:r>
      <w:r w:rsidRPr="00F44705">
        <w:rPr>
          <w:rStyle w:val="highlight"/>
          <w:i/>
          <w:iCs/>
        </w:rPr>
        <w:t>k-fold CV</w:t>
      </w:r>
      <w:r w:rsidRPr="00F44705">
        <w:rPr>
          <w:rStyle w:val="highlight"/>
        </w:rPr>
        <w:t xml:space="preserve">, splits the dataset into </w:t>
      </w:r>
      <w:r w:rsidRPr="00F44705">
        <w:rPr>
          <w:rStyle w:val="highlight"/>
          <w:i/>
          <w:iCs/>
        </w:rPr>
        <w:t>k</w:t>
      </w:r>
      <w:r w:rsidRPr="00F44705">
        <w:rPr>
          <w:rStyle w:val="highlight"/>
        </w:rPr>
        <w:t xml:space="preserve"> equal subsets (usually 5 or 10) and </w:t>
      </w:r>
      <w:r w:rsidRPr="00F44705">
        <w:rPr>
          <w:rStyle w:val="highlight"/>
          <w:i/>
          <w:iCs/>
        </w:rPr>
        <w:t xml:space="preserve">k-1 </w:t>
      </w:r>
      <w:r w:rsidRPr="00F44705">
        <w:rPr>
          <w:rStyle w:val="highlight"/>
        </w:rPr>
        <w:t>subsets are used for model training in each iteration.</w:t>
      </w:r>
    </w:p>
    <w:p w14:paraId="427C7D18" w14:textId="77777777" w:rsidR="002A2D2F" w:rsidRDefault="002A2D2F" w:rsidP="002A2D2F">
      <w:r>
        <w:t xml:space="preserve">As it has been already made clear, there exist many instances that the analyst needs to make arbitrary choices that are more art than science, such as how to preprocess the data, </w:t>
      </w:r>
      <w:r>
        <w:rPr>
          <w:i/>
          <w:iCs/>
        </w:rPr>
        <w:t xml:space="preserve">k </w:t>
      </w:r>
      <w:r>
        <w:t xml:space="preserve">in k-fold CV, and maybe even the model that is to be used. This pattern of “educated guessing” also extends to a set of variables that determine the model and (to distinguish them from parameters that are found by model training) are called </w:t>
      </w:r>
      <w:r>
        <w:rPr>
          <w:i/>
          <w:iCs/>
        </w:rPr>
        <w:t>hyperparameters</w:t>
      </w:r>
      <w:r>
        <w:t xml:space="preserve">. One example is the choice of </w:t>
      </w:r>
      <w:r>
        <w:rPr>
          <w:i/>
          <w:iCs/>
        </w:rPr>
        <w:t xml:space="preserve">decision boundary </w:t>
      </w:r>
      <w:r>
        <w:t>in classification models. Many binary classification algorithms output a number in the range [0,1] instead of a class number. Therefore, the analyst must decide where to draw the line between one class versus the other (usually 0.5). The usual approach involves deciding on an arbitrary range for hyperparameters and trying every value in that range (</w:t>
      </w:r>
      <w:r>
        <w:rPr>
          <w:i/>
          <w:iCs/>
        </w:rPr>
        <w:t>grid search</w:t>
      </w:r>
      <w:r>
        <w:t>) or an arbitrary number of random values (</w:t>
      </w:r>
      <w:r>
        <w:rPr>
          <w:i/>
          <w:iCs/>
        </w:rPr>
        <w:t>random search</w:t>
      </w:r>
      <w:r>
        <w:t xml:space="preserve">) that maximize model efficiency. To avoid overfitting, this search is conducted on a set that is separate from the training set, called the </w:t>
      </w:r>
      <w:r>
        <w:rPr>
          <w:i/>
          <w:iCs/>
        </w:rPr>
        <w:t>validation set</w:t>
      </w:r>
      <w:r>
        <w:t>.</w:t>
      </w:r>
    </w:p>
    <w:p w14:paraId="3CD7D3EA" w14:textId="3B78C2CE" w:rsidR="002A2D2F" w:rsidRDefault="005357D4" w:rsidP="005357D4">
      <w:pPr>
        <w:pStyle w:val="Heading1"/>
      </w:pPr>
      <w:r>
        <w:t>6.</w:t>
      </w:r>
      <w:r w:rsidR="00E01B69">
        <w:t xml:space="preserve"> </w:t>
      </w:r>
      <w:r>
        <w:t xml:space="preserve">Model Assessment and </w:t>
      </w:r>
      <w:r w:rsidR="002A2D2F">
        <w:t>Performance Metrics</w:t>
      </w:r>
    </w:p>
    <w:p w14:paraId="3EE99BD0" w14:textId="77777777" w:rsidR="002A2D2F" w:rsidRDefault="002A2D2F" w:rsidP="002A2D2F">
      <w:pPr>
        <w:rPr>
          <w:rFonts w:eastAsiaTheme="minorEastAsia"/>
        </w:rPr>
      </w:pPr>
      <w:r>
        <w:t>After training the model and optimizing the hyperparameters, the model is evaluated using the testing set. Using three mutually exclusive sets (training, validation and test) is by far the most common approach in ML. There are several metrics that indicate the efficiency of the model, depending on which model is used. In regression tasks, the metrics indicate the difference between the observed value and the predicted value, for example:</w:t>
      </w:r>
      <w:r>
        <w:br/>
      </w:r>
      <m:oMathPara>
        <m:oMathParaPr>
          <m:jc m:val="left"/>
        </m:oMathParaPr>
        <m:oMath>
          <m:r>
            <w:rPr>
              <w:rFonts w:ascii="Cambria Math" w:hAnsi="Cambria Math"/>
            </w:rPr>
            <m:t xml:space="preserve">mean square error </m:t>
          </m:r>
          <m:d>
            <m:dPr>
              <m:ctrlPr>
                <w:rPr>
                  <w:rFonts w:ascii="Cambria Math" w:hAnsi="Cambria Math"/>
                  <w:i/>
                </w:rPr>
              </m:ctrlPr>
            </m:dPr>
            <m:e>
              <m:r>
                <w:rPr>
                  <w:rFonts w:ascii="Cambria Math" w:hAnsi="Cambria Math"/>
                </w:rPr>
                <m:t>MSE</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Style w:val="highlight"/>
                  <w:rFonts w:ascii="Cambria Math" w:eastAsiaTheme="majorEastAsia" w:hAnsi="Cambria Math"/>
                  <w:i/>
                </w:rPr>
              </m:ctrlPr>
            </m:naryPr>
            <m:sub>
              <m:r>
                <w:rPr>
                  <w:rStyle w:val="highlight"/>
                  <w:rFonts w:ascii="Cambria Math" w:hAnsi="Cambria Math"/>
                </w:rPr>
                <m:t>i=1</m:t>
              </m:r>
            </m:sub>
            <m:sup>
              <m:r>
                <w:rPr>
                  <w:rStyle w:val="highlight"/>
                  <w:rFonts w:ascii="Cambria Math" w:hAnsi="Cambria Math"/>
                </w:rPr>
                <m:t>n</m:t>
              </m:r>
            </m:sup>
            <m:e>
              <m:sSup>
                <m:sSupPr>
                  <m:ctrlPr>
                    <w:rPr>
                      <w:rStyle w:val="highlight"/>
                      <w:rFonts w:ascii="Cambria Math" w:eastAsiaTheme="majorEastAsia" w:hAnsi="Cambria Math"/>
                      <w:i/>
                    </w:rPr>
                  </m:ctrlPr>
                </m:sSupPr>
                <m:e>
                  <m:r>
                    <w:rPr>
                      <w:rStyle w:val="highlight"/>
                      <w:rFonts w:ascii="Cambria Math" w:hAnsi="Cambria Math"/>
                    </w:rPr>
                    <m:t>(</m:t>
                  </m:r>
                  <m:sSub>
                    <m:sSubPr>
                      <m:ctrlPr>
                        <w:rPr>
                          <w:rStyle w:val="highlight"/>
                          <w:rFonts w:ascii="Cambria Math" w:eastAsiaTheme="majorEastAsia" w:hAnsi="Cambria Math"/>
                          <w:i/>
                        </w:rPr>
                      </m:ctrlPr>
                    </m:sSubPr>
                    <m:e>
                      <m:r>
                        <w:rPr>
                          <w:rStyle w:val="highlight"/>
                          <w:rFonts w:ascii="Cambria Math" w:hAnsi="Cambria Math"/>
                        </w:rPr>
                        <m:t>y</m:t>
                      </m:r>
                    </m:e>
                    <m:sub>
                      <m:r>
                        <w:rPr>
                          <w:rStyle w:val="highlight"/>
                          <w:rFonts w:ascii="Cambria Math" w:hAnsi="Cambria Math"/>
                        </w:rPr>
                        <m:t>i</m:t>
                      </m:r>
                    </m:sub>
                  </m:sSub>
                  <m:r>
                    <w:rPr>
                      <w:rStyle w:val="highlight"/>
                      <w:rFonts w:ascii="Cambria Math" w:hAnsi="Cambria Math"/>
                    </w:rPr>
                    <m:t>-</m:t>
                  </m:r>
                  <m:sSub>
                    <m:sSubPr>
                      <m:ctrlPr>
                        <w:rPr>
                          <w:rStyle w:val="highlight"/>
                          <w:rFonts w:ascii="Cambria Math" w:eastAsiaTheme="majorEastAsia" w:hAnsi="Cambria Math"/>
                          <w:i/>
                        </w:rPr>
                      </m:ctrlPr>
                    </m:sSubPr>
                    <m:e>
                      <m:acc>
                        <m:accPr>
                          <m:ctrlPr>
                            <w:rPr>
                              <w:rStyle w:val="highlight"/>
                              <w:rFonts w:ascii="Cambria Math" w:eastAsiaTheme="majorEastAsia" w:hAnsi="Cambria Math"/>
                              <w:i/>
                            </w:rPr>
                          </m:ctrlPr>
                        </m:accPr>
                        <m:e>
                          <m:r>
                            <w:rPr>
                              <w:rStyle w:val="highlight"/>
                              <w:rFonts w:ascii="Cambria Math" w:hAnsi="Cambria Math"/>
                            </w:rPr>
                            <m:t>y</m:t>
                          </m:r>
                        </m:e>
                      </m:acc>
                    </m:e>
                    <m:sub>
                      <m:r>
                        <w:rPr>
                          <w:rStyle w:val="highlight"/>
                          <w:rFonts w:ascii="Cambria Math" w:hAnsi="Cambria Math"/>
                        </w:rPr>
                        <m:t>i</m:t>
                      </m:r>
                    </m:sub>
                  </m:sSub>
                  <m:r>
                    <w:rPr>
                      <w:rStyle w:val="highlight"/>
                      <w:rFonts w:ascii="Cambria Math" w:hAnsi="Cambria Math"/>
                    </w:rPr>
                    <m:t>)</m:t>
                  </m:r>
                </m:e>
                <m:sup>
                  <m:r>
                    <w:rPr>
                      <w:rStyle w:val="highlight"/>
                      <w:rFonts w:ascii="Cambria Math" w:hAnsi="Cambria Math"/>
                    </w:rPr>
                    <m:t>2</m:t>
                  </m:r>
                </m:sup>
              </m:sSup>
            </m:e>
          </m:nary>
          <m:r>
            <m:rPr>
              <m:sty m:val="p"/>
            </m:rPr>
            <w:rPr>
              <w:rStyle w:val="highlight"/>
              <w:rFonts w:ascii="Cambria Math" w:eastAsiaTheme="minorEastAsia" w:hAnsi="Cambria Math"/>
            </w:rPr>
            <w:br/>
          </m:r>
        </m:oMath>
      </m:oMathPara>
      <m:oMath>
        <m:r>
          <w:rPr>
            <w:rStyle w:val="highlight"/>
            <w:rFonts w:ascii="Cambria Math" w:eastAsiaTheme="minorEastAsia" w:hAnsi="Cambria Math"/>
          </w:rPr>
          <m:t xml:space="preserve">root </m:t>
        </m:r>
        <m:r>
          <w:rPr>
            <w:rFonts w:ascii="Cambria Math" w:hAnsi="Cambria Math"/>
          </w:rPr>
          <m:t xml:space="preserve">mean square error </m:t>
        </m:r>
        <m:d>
          <m:dPr>
            <m:ctrlPr>
              <w:rPr>
                <w:rFonts w:ascii="Cambria Math" w:hAnsi="Cambria Math"/>
                <w:i/>
              </w:rPr>
            </m:ctrlPr>
          </m:dPr>
          <m:e>
            <m:r>
              <w:rPr>
                <w:rFonts w:ascii="Cambria Math" w:hAnsi="Cambria Math"/>
              </w:rPr>
              <m:t>RMSE</m:t>
            </m:r>
          </m:e>
        </m:d>
        <m:r>
          <w:rPr>
            <w:rFonts w:ascii="Cambria Math" w:hAnsi="Cambria Math"/>
          </w:rPr>
          <m:t>=</m:t>
        </m:r>
        <m:rad>
          <m:radPr>
            <m:degHide m:val="1"/>
            <m:ctrlPr>
              <w:rPr>
                <w:rFonts w:ascii="Cambria Math"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Style w:val="highlight"/>
                    <w:rFonts w:ascii="Cambria Math" w:eastAsiaTheme="majorEastAsia" w:hAnsi="Cambria Math"/>
                    <w:i/>
                  </w:rPr>
                </m:ctrlPr>
              </m:naryPr>
              <m:sub>
                <m:r>
                  <w:rPr>
                    <w:rStyle w:val="highlight"/>
                    <w:rFonts w:ascii="Cambria Math" w:hAnsi="Cambria Math"/>
                  </w:rPr>
                  <m:t>i=1</m:t>
                </m:r>
              </m:sub>
              <m:sup>
                <m:r>
                  <w:rPr>
                    <w:rStyle w:val="highlight"/>
                    <w:rFonts w:ascii="Cambria Math" w:hAnsi="Cambria Math"/>
                  </w:rPr>
                  <m:t>n</m:t>
                </m:r>
              </m:sup>
              <m:e>
                <m:sSup>
                  <m:sSupPr>
                    <m:ctrlPr>
                      <w:rPr>
                        <w:rStyle w:val="highlight"/>
                        <w:rFonts w:ascii="Cambria Math" w:eastAsiaTheme="majorEastAsia" w:hAnsi="Cambria Math"/>
                        <w:i/>
                      </w:rPr>
                    </m:ctrlPr>
                  </m:sSupPr>
                  <m:e>
                    <m:r>
                      <w:rPr>
                        <w:rStyle w:val="highlight"/>
                        <w:rFonts w:ascii="Cambria Math" w:hAnsi="Cambria Math"/>
                      </w:rPr>
                      <m:t>(</m:t>
                    </m:r>
                    <m:sSub>
                      <m:sSubPr>
                        <m:ctrlPr>
                          <w:rPr>
                            <w:rStyle w:val="highlight"/>
                            <w:rFonts w:ascii="Cambria Math" w:eastAsiaTheme="majorEastAsia" w:hAnsi="Cambria Math"/>
                            <w:i/>
                          </w:rPr>
                        </m:ctrlPr>
                      </m:sSubPr>
                      <m:e>
                        <m:r>
                          <w:rPr>
                            <w:rStyle w:val="highlight"/>
                            <w:rFonts w:ascii="Cambria Math" w:hAnsi="Cambria Math"/>
                          </w:rPr>
                          <m:t>y</m:t>
                        </m:r>
                      </m:e>
                      <m:sub>
                        <m:r>
                          <w:rPr>
                            <w:rStyle w:val="highlight"/>
                            <w:rFonts w:ascii="Cambria Math" w:hAnsi="Cambria Math"/>
                          </w:rPr>
                          <m:t>i</m:t>
                        </m:r>
                      </m:sub>
                    </m:sSub>
                    <m:r>
                      <w:rPr>
                        <w:rStyle w:val="highlight"/>
                        <w:rFonts w:ascii="Cambria Math" w:hAnsi="Cambria Math"/>
                      </w:rPr>
                      <m:t>-</m:t>
                    </m:r>
                    <m:sSub>
                      <m:sSubPr>
                        <m:ctrlPr>
                          <w:rPr>
                            <w:rStyle w:val="highlight"/>
                            <w:rFonts w:ascii="Cambria Math" w:eastAsiaTheme="majorEastAsia" w:hAnsi="Cambria Math"/>
                            <w:i/>
                          </w:rPr>
                        </m:ctrlPr>
                      </m:sSubPr>
                      <m:e>
                        <m:acc>
                          <m:accPr>
                            <m:ctrlPr>
                              <w:rPr>
                                <w:rStyle w:val="highlight"/>
                                <w:rFonts w:ascii="Cambria Math" w:eastAsiaTheme="majorEastAsia" w:hAnsi="Cambria Math"/>
                                <w:i/>
                              </w:rPr>
                            </m:ctrlPr>
                          </m:accPr>
                          <m:e>
                            <m:r>
                              <w:rPr>
                                <w:rStyle w:val="highlight"/>
                                <w:rFonts w:ascii="Cambria Math" w:hAnsi="Cambria Math"/>
                              </w:rPr>
                              <m:t>y</m:t>
                            </m:r>
                          </m:e>
                        </m:acc>
                      </m:e>
                      <m:sub>
                        <m:r>
                          <w:rPr>
                            <w:rStyle w:val="highlight"/>
                            <w:rFonts w:ascii="Cambria Math" w:hAnsi="Cambria Math"/>
                          </w:rPr>
                          <m:t>i</m:t>
                        </m:r>
                      </m:sub>
                    </m:sSub>
                    <m:r>
                      <w:rPr>
                        <w:rStyle w:val="highlight"/>
                        <w:rFonts w:ascii="Cambria Math" w:hAnsi="Cambria Math"/>
                      </w:rPr>
                      <m:t>)</m:t>
                    </m:r>
                  </m:e>
                  <m:sup>
                    <m:r>
                      <w:rPr>
                        <w:rStyle w:val="highlight"/>
                        <w:rFonts w:ascii="Cambria Math" w:hAnsi="Cambria Math"/>
                      </w:rPr>
                      <m:t>2</m:t>
                    </m:r>
                  </m:sup>
                </m:sSup>
              </m:e>
            </m:nary>
          </m:e>
        </m:rad>
      </m:oMath>
      <w:r>
        <w:rPr>
          <w:rFonts w:eastAsiaTheme="minorEastAsia"/>
        </w:rPr>
        <w:t xml:space="preserve"> </w:t>
      </w:r>
    </w:p>
    <w:p w14:paraId="230B524E" w14:textId="77777777" w:rsidR="002A2D2F" w:rsidRPr="000558D4" w:rsidRDefault="002A2D2F" w:rsidP="002A2D2F">
      <w:pPr>
        <w:rPr>
          <w:rFonts w:eastAsiaTheme="minorEastAsia"/>
        </w:rPr>
      </w:pPr>
      <m:oMathPara>
        <m:oMathParaPr>
          <m:jc m:val="left"/>
        </m:oMathParaPr>
        <m:oMath>
          <m:r>
            <w:rPr>
              <w:rFonts w:ascii="Cambria Math" w:eastAsiaTheme="minorEastAsia" w:hAnsi="Cambria Math"/>
            </w:rPr>
            <w:lastRenderedPageBreak/>
            <m:t xml:space="preserve">mean absolute error </m:t>
          </m:r>
          <m:d>
            <m:dPr>
              <m:ctrlPr>
                <w:rPr>
                  <w:rFonts w:ascii="Cambria Math" w:eastAsiaTheme="minorEastAsia" w:hAnsi="Cambria Math"/>
                  <w:i/>
                </w:rPr>
              </m:ctrlPr>
            </m:dPr>
            <m:e>
              <m:r>
                <w:rPr>
                  <w:rFonts w:ascii="Cambria Math" w:eastAsiaTheme="minorEastAsia" w:hAnsi="Cambria Math"/>
                </w:rPr>
                <m:t>MAE</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begChr m:val="|"/>
                  <m:endChr m:val="|"/>
                  <m:ctrlPr>
                    <w:rPr>
                      <w:rFonts w:ascii="Cambria Math" w:eastAsiaTheme="minorEastAsia" w:hAnsi="Cambria Math"/>
                      <w:i/>
                    </w:rPr>
                  </m:ctrlPr>
                </m:dPr>
                <m:e>
                  <m:sSub>
                    <m:sSubPr>
                      <m:ctrlPr>
                        <w:rPr>
                          <w:rStyle w:val="highlight"/>
                          <w:rFonts w:ascii="Cambria Math" w:eastAsiaTheme="majorEastAsia" w:hAnsi="Cambria Math"/>
                          <w:i/>
                        </w:rPr>
                      </m:ctrlPr>
                    </m:sSubPr>
                    <m:e>
                      <m:r>
                        <w:rPr>
                          <w:rStyle w:val="highlight"/>
                          <w:rFonts w:ascii="Cambria Math" w:hAnsi="Cambria Math"/>
                        </w:rPr>
                        <m:t>y</m:t>
                      </m:r>
                    </m:e>
                    <m:sub>
                      <m:r>
                        <w:rPr>
                          <w:rStyle w:val="highlight"/>
                          <w:rFonts w:ascii="Cambria Math" w:hAnsi="Cambria Math"/>
                        </w:rPr>
                        <m:t>i</m:t>
                      </m:r>
                    </m:sub>
                  </m:sSub>
                  <m:r>
                    <w:rPr>
                      <w:rStyle w:val="highlight"/>
                      <w:rFonts w:ascii="Cambria Math" w:hAnsi="Cambria Math"/>
                    </w:rPr>
                    <m:t>-</m:t>
                  </m:r>
                  <m:sSub>
                    <m:sSubPr>
                      <m:ctrlPr>
                        <w:rPr>
                          <w:rStyle w:val="highlight"/>
                          <w:rFonts w:ascii="Cambria Math" w:eastAsiaTheme="majorEastAsia" w:hAnsi="Cambria Math"/>
                          <w:i/>
                        </w:rPr>
                      </m:ctrlPr>
                    </m:sSubPr>
                    <m:e>
                      <m:acc>
                        <m:accPr>
                          <m:ctrlPr>
                            <w:rPr>
                              <w:rStyle w:val="highlight"/>
                              <w:rFonts w:ascii="Cambria Math" w:eastAsiaTheme="majorEastAsia" w:hAnsi="Cambria Math"/>
                              <w:i/>
                            </w:rPr>
                          </m:ctrlPr>
                        </m:accPr>
                        <m:e>
                          <m:r>
                            <w:rPr>
                              <w:rStyle w:val="highlight"/>
                              <w:rFonts w:ascii="Cambria Math" w:hAnsi="Cambria Math"/>
                            </w:rPr>
                            <m:t>y</m:t>
                          </m:r>
                        </m:e>
                      </m:acc>
                    </m:e>
                    <m:sub>
                      <m:r>
                        <w:rPr>
                          <w:rStyle w:val="highlight"/>
                          <w:rFonts w:ascii="Cambria Math" w:hAnsi="Cambria Math"/>
                        </w:rPr>
                        <m:t>i</m:t>
                      </m:r>
                    </m:sub>
                  </m:sSub>
                </m:e>
              </m:d>
            </m:e>
          </m:nary>
        </m:oMath>
      </m:oMathPara>
    </w:p>
    <w:p w14:paraId="046148B7" w14:textId="77777777" w:rsidR="002A2D2F" w:rsidRDefault="002A2D2F" w:rsidP="002A2D2F">
      <w:r>
        <w:t>R-squared (R</w:t>
      </w:r>
      <w:r>
        <w:rPr>
          <w:vertAlign w:val="superscript"/>
        </w:rPr>
        <w:t>2</w:t>
      </w:r>
      <w:r>
        <w:t>) is the most common metric used for goodness-of-fit,</w:t>
      </w:r>
      <w:r w:rsidRPr="009340E8">
        <w:t xml:space="preserve"> </w:t>
      </w:r>
      <w:r>
        <w:t xml:space="preserve">ranging from no-fit (0) to </w:t>
      </w:r>
      <w:r>
        <w:rPr>
          <w:rStyle w:val="highlight"/>
        </w:rPr>
        <w:t xml:space="preserve">perfect fit (0) that describes the power of the model to explain the variability observed in the data and is equal to  </w:t>
      </w:r>
      <m:oMath>
        <m:sSup>
          <m:sSupPr>
            <m:ctrlPr>
              <w:rPr>
                <w:rStyle w:val="highlight"/>
                <w:rFonts w:ascii="Cambria Math" w:eastAsiaTheme="majorEastAsia" w:hAnsi="Cambria Math"/>
                <w:i/>
              </w:rPr>
            </m:ctrlPr>
          </m:sSupPr>
          <m:e>
            <m:r>
              <w:rPr>
                <w:rStyle w:val="highlight"/>
                <w:rFonts w:ascii="Cambria Math" w:hAnsi="Cambria Math"/>
              </w:rPr>
              <m:t>R</m:t>
            </m:r>
          </m:e>
          <m:sup>
            <m:r>
              <w:rPr>
                <w:rStyle w:val="highlight"/>
                <w:rFonts w:ascii="Cambria Math" w:hAnsi="Cambria Math"/>
              </w:rPr>
              <m:t>2</m:t>
            </m:r>
          </m:sup>
        </m:sSup>
        <m:r>
          <w:rPr>
            <w:rStyle w:val="highlight"/>
            <w:rFonts w:ascii="Cambria Math" w:hAnsi="Cambria Math"/>
          </w:rPr>
          <m:t>=1-</m:t>
        </m:r>
        <m:f>
          <m:fPr>
            <m:ctrlPr>
              <w:rPr>
                <w:rStyle w:val="highlight"/>
                <w:rFonts w:ascii="Cambria Math" w:eastAsiaTheme="majorEastAsia" w:hAnsi="Cambria Math"/>
                <w:i/>
              </w:rPr>
            </m:ctrlPr>
          </m:fPr>
          <m:num>
            <m:r>
              <w:rPr>
                <w:rStyle w:val="highlight"/>
                <w:rFonts w:ascii="Cambria Math" w:hAnsi="Cambria Math"/>
              </w:rPr>
              <m:t>RSS</m:t>
            </m:r>
          </m:num>
          <m:den>
            <m:r>
              <w:rPr>
                <w:rStyle w:val="highlight"/>
                <w:rFonts w:ascii="Cambria Math" w:hAnsi="Cambria Math"/>
              </w:rPr>
              <m:t>TSS</m:t>
            </m:r>
          </m:den>
        </m:f>
      </m:oMath>
      <w:r>
        <w:rPr>
          <w:rStyle w:val="highlight"/>
        </w:rPr>
        <w:t>, in which RSS (</w:t>
      </w:r>
      <w:r w:rsidRPr="00922088">
        <w:rPr>
          <w:rStyle w:val="highlight"/>
        </w:rPr>
        <w:t>Residual Sum of Squares</w:t>
      </w:r>
      <w:r>
        <w:rPr>
          <w:rStyle w:val="highlight"/>
        </w:rPr>
        <w:t>) is equal to</w:t>
      </w:r>
      <w:r>
        <w:rPr>
          <w:rStyle w:val="highlight"/>
        </w:rPr>
        <w:br/>
      </w:r>
      <m:oMath>
        <m:nary>
          <m:naryPr>
            <m:chr m:val="∑"/>
            <m:limLoc m:val="undOvr"/>
            <m:ctrlPr>
              <w:rPr>
                <w:rStyle w:val="highlight"/>
                <w:rFonts w:ascii="Cambria Math" w:eastAsiaTheme="majorEastAsia" w:hAnsi="Cambria Math"/>
                <w:i/>
              </w:rPr>
            </m:ctrlPr>
          </m:naryPr>
          <m:sub>
            <m:r>
              <w:rPr>
                <w:rStyle w:val="highlight"/>
                <w:rFonts w:ascii="Cambria Math" w:hAnsi="Cambria Math"/>
              </w:rPr>
              <m:t>i=1</m:t>
            </m:r>
          </m:sub>
          <m:sup>
            <m:r>
              <w:rPr>
                <w:rStyle w:val="highlight"/>
                <w:rFonts w:ascii="Cambria Math" w:hAnsi="Cambria Math"/>
              </w:rPr>
              <m:t>n</m:t>
            </m:r>
          </m:sup>
          <m:e>
            <m:sSup>
              <m:sSupPr>
                <m:ctrlPr>
                  <w:rPr>
                    <w:rStyle w:val="highlight"/>
                    <w:rFonts w:ascii="Cambria Math" w:eastAsiaTheme="majorEastAsia" w:hAnsi="Cambria Math"/>
                    <w:i/>
                  </w:rPr>
                </m:ctrlPr>
              </m:sSupPr>
              <m:e>
                <m:r>
                  <w:rPr>
                    <w:rStyle w:val="highlight"/>
                    <w:rFonts w:ascii="Cambria Math" w:hAnsi="Cambria Math"/>
                  </w:rPr>
                  <m:t>(</m:t>
                </m:r>
                <m:sSub>
                  <m:sSubPr>
                    <m:ctrlPr>
                      <w:rPr>
                        <w:rStyle w:val="highlight"/>
                        <w:rFonts w:ascii="Cambria Math" w:eastAsiaTheme="majorEastAsia" w:hAnsi="Cambria Math"/>
                        <w:i/>
                      </w:rPr>
                    </m:ctrlPr>
                  </m:sSubPr>
                  <m:e>
                    <m:r>
                      <w:rPr>
                        <w:rStyle w:val="highlight"/>
                        <w:rFonts w:ascii="Cambria Math" w:hAnsi="Cambria Math"/>
                      </w:rPr>
                      <m:t>y</m:t>
                    </m:r>
                  </m:e>
                  <m:sub>
                    <m:r>
                      <w:rPr>
                        <w:rStyle w:val="highlight"/>
                        <w:rFonts w:ascii="Cambria Math" w:hAnsi="Cambria Math"/>
                      </w:rPr>
                      <m:t>i</m:t>
                    </m:r>
                  </m:sub>
                </m:sSub>
                <m:r>
                  <w:rPr>
                    <w:rStyle w:val="highlight"/>
                    <w:rFonts w:ascii="Cambria Math" w:hAnsi="Cambria Math"/>
                  </w:rPr>
                  <m:t>-</m:t>
                </m:r>
                <m:sSub>
                  <m:sSubPr>
                    <m:ctrlPr>
                      <w:rPr>
                        <w:rStyle w:val="highlight"/>
                        <w:rFonts w:ascii="Cambria Math" w:eastAsiaTheme="majorEastAsia" w:hAnsi="Cambria Math"/>
                        <w:i/>
                      </w:rPr>
                    </m:ctrlPr>
                  </m:sSubPr>
                  <m:e>
                    <m:acc>
                      <m:accPr>
                        <m:ctrlPr>
                          <w:rPr>
                            <w:rStyle w:val="highlight"/>
                            <w:rFonts w:ascii="Cambria Math" w:eastAsiaTheme="majorEastAsia" w:hAnsi="Cambria Math"/>
                            <w:i/>
                          </w:rPr>
                        </m:ctrlPr>
                      </m:accPr>
                      <m:e>
                        <m:r>
                          <w:rPr>
                            <w:rStyle w:val="highlight"/>
                            <w:rFonts w:ascii="Cambria Math" w:hAnsi="Cambria Math"/>
                          </w:rPr>
                          <m:t>y</m:t>
                        </m:r>
                      </m:e>
                    </m:acc>
                  </m:e>
                  <m:sub>
                    <m:r>
                      <w:rPr>
                        <w:rStyle w:val="highlight"/>
                        <w:rFonts w:ascii="Cambria Math" w:hAnsi="Cambria Math"/>
                      </w:rPr>
                      <m:t>i</m:t>
                    </m:r>
                  </m:sub>
                </m:sSub>
                <m:r>
                  <w:rPr>
                    <w:rStyle w:val="highlight"/>
                    <w:rFonts w:ascii="Cambria Math" w:hAnsi="Cambria Math"/>
                  </w:rPr>
                  <m:t>)</m:t>
                </m:r>
              </m:e>
              <m:sup>
                <m:r>
                  <w:rPr>
                    <w:rStyle w:val="highlight"/>
                    <w:rFonts w:ascii="Cambria Math" w:hAnsi="Cambria Math"/>
                  </w:rPr>
                  <m:t>2</m:t>
                </m:r>
              </m:sup>
            </m:sSup>
          </m:e>
        </m:nary>
      </m:oMath>
      <w:r>
        <w:rPr>
          <w:rStyle w:val="highlight"/>
        </w:rPr>
        <w:t xml:space="preserve"> and TSS (</w:t>
      </w:r>
      <w:r w:rsidRPr="00922088">
        <w:rPr>
          <w:rStyle w:val="highlight"/>
        </w:rPr>
        <w:t>Total Sum of Squares</w:t>
      </w:r>
      <w:r>
        <w:rPr>
          <w:rStyle w:val="highlight"/>
        </w:rPr>
        <w:t xml:space="preserve">) is </w:t>
      </w:r>
      <w:r w:rsidRPr="00B5423D">
        <w:rPr>
          <w:rStyle w:val="highlight"/>
          <w:u w:val="single"/>
        </w:rPr>
        <w:t xml:space="preserve">equal to </w:t>
      </w:r>
      <m:oMath>
        <m:nary>
          <m:naryPr>
            <m:chr m:val="∑"/>
            <m:limLoc m:val="undOvr"/>
            <m:ctrlPr>
              <w:rPr>
                <w:rStyle w:val="highlight"/>
                <w:rFonts w:ascii="Cambria Math" w:eastAsiaTheme="majorEastAsia" w:hAnsi="Cambria Math"/>
                <w:i/>
                <w:u w:val="single"/>
              </w:rPr>
            </m:ctrlPr>
          </m:naryPr>
          <m:sub>
            <m:r>
              <w:rPr>
                <w:rStyle w:val="highlight"/>
                <w:rFonts w:ascii="Cambria Math" w:hAnsi="Cambria Math"/>
                <w:u w:val="single"/>
              </w:rPr>
              <m:t>i=1</m:t>
            </m:r>
          </m:sub>
          <m:sup>
            <m:r>
              <w:rPr>
                <w:rStyle w:val="highlight"/>
                <w:rFonts w:ascii="Cambria Math" w:hAnsi="Cambria Math"/>
                <w:u w:val="single"/>
              </w:rPr>
              <m:t>n</m:t>
            </m:r>
          </m:sup>
          <m:e>
            <m:sSup>
              <m:sSupPr>
                <m:ctrlPr>
                  <w:rPr>
                    <w:rStyle w:val="highlight"/>
                    <w:rFonts w:ascii="Cambria Math" w:eastAsiaTheme="majorEastAsia" w:hAnsi="Cambria Math"/>
                    <w:i/>
                    <w:u w:val="single"/>
                  </w:rPr>
                </m:ctrlPr>
              </m:sSupPr>
              <m:e>
                <m:r>
                  <w:rPr>
                    <w:rStyle w:val="highlight"/>
                    <w:rFonts w:ascii="Cambria Math" w:hAnsi="Cambria Math"/>
                    <w:u w:val="single"/>
                  </w:rPr>
                  <m:t>(</m:t>
                </m:r>
                <m:sSub>
                  <m:sSubPr>
                    <m:ctrlPr>
                      <w:rPr>
                        <w:rStyle w:val="highlight"/>
                        <w:rFonts w:ascii="Cambria Math" w:eastAsiaTheme="majorEastAsia" w:hAnsi="Cambria Math"/>
                        <w:i/>
                        <w:u w:val="single"/>
                      </w:rPr>
                    </m:ctrlPr>
                  </m:sSubPr>
                  <m:e>
                    <m:r>
                      <w:rPr>
                        <w:rStyle w:val="highlight"/>
                        <w:rFonts w:ascii="Cambria Math" w:hAnsi="Cambria Math"/>
                        <w:u w:val="single"/>
                      </w:rPr>
                      <m:t>y</m:t>
                    </m:r>
                  </m:e>
                  <m:sub>
                    <m:r>
                      <w:rPr>
                        <w:rStyle w:val="highlight"/>
                        <w:rFonts w:ascii="Cambria Math" w:hAnsi="Cambria Math"/>
                        <w:u w:val="single"/>
                      </w:rPr>
                      <m:t>i</m:t>
                    </m:r>
                  </m:sub>
                </m:sSub>
                <m:r>
                  <w:rPr>
                    <w:rStyle w:val="highlight"/>
                    <w:rFonts w:ascii="Cambria Math" w:hAnsi="Cambria Math"/>
                    <w:u w:val="single"/>
                  </w:rPr>
                  <m:t>-</m:t>
                </m:r>
                <m:acc>
                  <m:accPr>
                    <m:chr m:val="̅"/>
                    <m:ctrlPr>
                      <w:rPr>
                        <w:rStyle w:val="highlight"/>
                        <w:rFonts w:ascii="Cambria Math" w:eastAsiaTheme="majorEastAsia" w:hAnsi="Cambria Math"/>
                        <w:i/>
                        <w:u w:val="single"/>
                      </w:rPr>
                    </m:ctrlPr>
                  </m:accPr>
                  <m:e>
                    <m:r>
                      <w:rPr>
                        <w:rStyle w:val="highlight"/>
                        <w:rFonts w:ascii="Cambria Math" w:hAnsi="Cambria Math"/>
                        <w:u w:val="single"/>
                      </w:rPr>
                      <m:t>y</m:t>
                    </m:r>
                  </m:e>
                </m:acc>
                <m:r>
                  <w:rPr>
                    <w:rStyle w:val="highlight"/>
                    <w:rFonts w:ascii="Cambria Math" w:hAnsi="Cambria Math"/>
                    <w:u w:val="single"/>
                  </w:rPr>
                  <m:t>)</m:t>
                </m:r>
              </m:e>
              <m:sup>
                <m:r>
                  <w:rPr>
                    <w:rStyle w:val="highlight"/>
                    <w:rFonts w:ascii="Cambria Math" w:hAnsi="Cambria Math"/>
                    <w:u w:val="single"/>
                  </w:rPr>
                  <m:t>2</m:t>
                </m:r>
              </m:sup>
            </m:sSup>
          </m:e>
        </m:nary>
      </m:oMath>
      <w:r>
        <w:rPr>
          <w:rStyle w:val="highlight"/>
        </w:rPr>
        <w:t xml:space="preserve"> with </w:t>
      </w:r>
      <m:oMath>
        <m:acc>
          <m:accPr>
            <m:chr m:val="̅"/>
            <m:ctrlPr>
              <w:rPr>
                <w:rStyle w:val="highlight"/>
                <w:rFonts w:ascii="Cambria Math" w:eastAsiaTheme="majorEastAsia" w:hAnsi="Cambria Math"/>
                <w:i/>
              </w:rPr>
            </m:ctrlPr>
          </m:accPr>
          <m:e>
            <m:r>
              <w:rPr>
                <w:rStyle w:val="highlight"/>
                <w:rFonts w:ascii="Cambria Math" w:hAnsi="Cambria Math"/>
              </w:rPr>
              <m:t>y</m:t>
            </m:r>
          </m:e>
        </m:acc>
      </m:oMath>
      <w:r>
        <w:rPr>
          <w:rStyle w:val="highlight"/>
        </w:rPr>
        <w:t xml:space="preserve"> being the average of observed values. A major short-coming of </w:t>
      </w:r>
      <w:r>
        <w:t xml:space="preserve">R-squared is sensitivity to the number of predictors, which can be avoided by using </w:t>
      </w:r>
      <m:oMath>
        <m:r>
          <w:rPr>
            <w:rFonts w:ascii="Cambria Math" w:hAnsi="Cambria Math"/>
          </w:rPr>
          <m:t xml:space="preserve">adjusted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)(n-1)</m:t>
            </m:r>
          </m:num>
          <m:den>
            <m:r>
              <w:rPr>
                <w:rFonts w:ascii="Cambria Math" w:hAnsi="Cambria Math"/>
              </w:rPr>
              <m:t>n-k-1</m:t>
            </m:r>
          </m:den>
        </m:f>
      </m:oMath>
      <w:r>
        <w:rPr>
          <w:rFonts w:eastAsiaTheme="minorEastAsia"/>
        </w:rPr>
        <w:t>.</w:t>
      </w:r>
    </w:p>
    <w:p w14:paraId="232F47CF" w14:textId="77777777" w:rsidR="002A2D2F" w:rsidRPr="00902274" w:rsidRDefault="002A2D2F" w:rsidP="002A2D2F">
      <w:r>
        <w:t>For classification problems the model’s performance is measured based on how many cases it was able to label correctly for each class.</w:t>
      </w:r>
      <w:r w:rsidRPr="001A69D5">
        <w:t xml:space="preserve"> </w:t>
      </w:r>
      <w:r>
        <w:t xml:space="preserve">If the model predicted a case correctly belonging to a class, it is called a </w:t>
      </w:r>
      <w:r w:rsidRPr="00B26CFC">
        <w:rPr>
          <w:i/>
          <w:iCs/>
        </w:rPr>
        <w:t>true positive (TP)</w:t>
      </w:r>
      <w:r>
        <w:t xml:space="preserve">. Similarly, if the model predicted a case correctly not belonging to a class, it is called a </w:t>
      </w:r>
      <w:r w:rsidRPr="00B26CFC">
        <w:rPr>
          <w:i/>
          <w:iCs/>
        </w:rPr>
        <w:t>true negative (TN)</w:t>
      </w:r>
      <w:r>
        <w:t xml:space="preserve">. Wrong predictions are named </w:t>
      </w:r>
      <w:r w:rsidRPr="00B26CFC">
        <w:rPr>
          <w:i/>
          <w:iCs/>
        </w:rPr>
        <w:t>false positive (FP</w:t>
      </w:r>
      <w:r>
        <w:rPr>
          <w:i/>
          <w:iCs/>
        </w:rPr>
        <w:t xml:space="preserve">) </w:t>
      </w:r>
      <w:r>
        <w:t xml:space="preserve">or </w:t>
      </w:r>
      <w:r>
        <w:rPr>
          <w:i/>
          <w:iCs/>
        </w:rPr>
        <w:t xml:space="preserve">type I error </w:t>
      </w:r>
      <w:r>
        <w:t xml:space="preserve">and </w:t>
      </w:r>
      <w:r w:rsidRPr="00B26CFC">
        <w:rPr>
          <w:i/>
          <w:iCs/>
        </w:rPr>
        <w:t>false negative (FN)</w:t>
      </w:r>
      <w:r w:rsidRPr="00E55867">
        <w:t xml:space="preserve"> </w:t>
      </w:r>
      <w:r>
        <w:t xml:space="preserve">or </w:t>
      </w:r>
      <w:r>
        <w:rPr>
          <w:i/>
          <w:iCs/>
        </w:rPr>
        <w:t xml:space="preserve">type II error </w:t>
      </w:r>
      <w:r>
        <w:t>if the model predicted them belonging to a class or vice versa.</w:t>
      </w:r>
    </w:p>
    <w:p w14:paraId="3AA76AFB" w14:textId="7B35A22E" w:rsidR="002A2D2F" w:rsidRDefault="002A2D2F" w:rsidP="005357D4">
      <w:r>
        <w:t xml:space="preserve">The predictions for a class are often displayed in a table called a </w:t>
      </w:r>
      <w:r w:rsidRPr="00B26CFC">
        <w:rPr>
          <w:i/>
          <w:iCs/>
        </w:rPr>
        <w:t>contingency table</w:t>
      </w:r>
      <w:r>
        <w:rPr>
          <w:i/>
          <w:iCs/>
        </w:rPr>
        <w:t xml:space="preserve"> </w:t>
      </w:r>
      <w:r>
        <w:t xml:space="preserve">or (when it is </w:t>
      </w:r>
      <m:oMath>
        <m:r>
          <w:rPr>
            <w:rFonts w:ascii="Cambria Math" w:hAnsi="Cambria Math"/>
          </w:rPr>
          <m:t>2×2</m:t>
        </m:r>
      </m:oMath>
      <w:r>
        <w:rPr>
          <w:rFonts w:eastAsiaTheme="minorEastAsia"/>
        </w:rPr>
        <w:t>)</w:t>
      </w:r>
      <w:r>
        <w:t xml:space="preserve"> a </w:t>
      </w:r>
      <w:r w:rsidRPr="00B26CFC">
        <w:rPr>
          <w:i/>
          <w:iCs/>
        </w:rPr>
        <w:t>confusion matrix</w:t>
      </w:r>
      <w:r>
        <w:t xml:space="preserve">, such as </w:t>
      </w:r>
      <w:r w:rsidRPr="0097704A">
        <w:t>table</w:t>
      </w:r>
      <w:r>
        <w:t xml:space="preserve"> below</w:t>
      </w:r>
      <w:r w:rsidR="005357D4">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083"/>
        <w:gridCol w:w="990"/>
        <w:gridCol w:w="1083"/>
      </w:tblGrid>
      <w:tr w:rsidR="002A2D2F" w14:paraId="0A9472A6" w14:textId="77777777" w:rsidTr="0037793A">
        <w:tc>
          <w:tcPr>
            <w:tcW w:w="0" w:type="auto"/>
            <w:gridSpan w:val="2"/>
            <w:vMerge w:val="restart"/>
          </w:tcPr>
          <w:p w14:paraId="43BFF221" w14:textId="77777777" w:rsidR="002A2D2F" w:rsidRPr="00630615" w:rsidRDefault="002A2D2F" w:rsidP="0037793A">
            <w:pPr>
              <w:jc w:val="center"/>
              <w:rPr>
                <w:b/>
                <w:bCs/>
              </w:rPr>
            </w:pPr>
            <w:r w:rsidRPr="00630615">
              <w:rPr>
                <w:b/>
                <w:bCs/>
              </w:rPr>
              <w:t>Table X</w:t>
            </w:r>
          </w:p>
        </w:tc>
        <w:tc>
          <w:tcPr>
            <w:tcW w:w="0" w:type="auto"/>
            <w:gridSpan w:val="2"/>
          </w:tcPr>
          <w:p w14:paraId="35B8B8C0" w14:textId="77777777" w:rsidR="002A2D2F" w:rsidRPr="00630615" w:rsidRDefault="002A2D2F" w:rsidP="0037793A">
            <w:pPr>
              <w:jc w:val="center"/>
            </w:pPr>
            <w:r w:rsidRPr="00630615">
              <w:t>Predicted</w:t>
            </w:r>
          </w:p>
        </w:tc>
      </w:tr>
      <w:tr w:rsidR="002A2D2F" w14:paraId="30930B91" w14:textId="77777777" w:rsidTr="0037793A">
        <w:tc>
          <w:tcPr>
            <w:tcW w:w="0" w:type="auto"/>
            <w:gridSpan w:val="2"/>
            <w:vMerge/>
          </w:tcPr>
          <w:p w14:paraId="7BFEF60F" w14:textId="77777777" w:rsidR="002A2D2F" w:rsidRPr="00630615" w:rsidRDefault="002A2D2F" w:rsidP="0037793A">
            <w:pPr>
              <w:jc w:val="center"/>
            </w:pPr>
          </w:p>
        </w:tc>
        <w:tc>
          <w:tcPr>
            <w:tcW w:w="0" w:type="auto"/>
          </w:tcPr>
          <w:p w14:paraId="7F32A0A5" w14:textId="77777777" w:rsidR="002A2D2F" w:rsidRPr="00630615" w:rsidRDefault="002A2D2F" w:rsidP="0037793A">
            <w:pPr>
              <w:jc w:val="center"/>
            </w:pPr>
            <w:r w:rsidRPr="00630615">
              <w:t>Positive</w:t>
            </w:r>
          </w:p>
        </w:tc>
        <w:tc>
          <w:tcPr>
            <w:tcW w:w="0" w:type="auto"/>
          </w:tcPr>
          <w:p w14:paraId="5449DC3E" w14:textId="77777777" w:rsidR="002A2D2F" w:rsidRPr="00630615" w:rsidRDefault="002A2D2F" w:rsidP="0037793A">
            <w:pPr>
              <w:jc w:val="center"/>
            </w:pPr>
            <w:r w:rsidRPr="00630615">
              <w:t>Negative</w:t>
            </w:r>
          </w:p>
        </w:tc>
      </w:tr>
      <w:tr w:rsidR="002A2D2F" w14:paraId="782BB897" w14:textId="77777777" w:rsidTr="0037793A">
        <w:tc>
          <w:tcPr>
            <w:tcW w:w="0" w:type="auto"/>
            <w:vMerge w:val="restart"/>
          </w:tcPr>
          <w:p w14:paraId="142F99BD" w14:textId="77777777" w:rsidR="002A2D2F" w:rsidRPr="00630615" w:rsidRDefault="002A2D2F" w:rsidP="0037793A">
            <w:pPr>
              <w:jc w:val="center"/>
            </w:pPr>
            <w:r w:rsidRPr="00630615">
              <w:t>Observed</w:t>
            </w:r>
          </w:p>
        </w:tc>
        <w:tc>
          <w:tcPr>
            <w:tcW w:w="0" w:type="auto"/>
          </w:tcPr>
          <w:p w14:paraId="012995E5" w14:textId="77777777" w:rsidR="002A2D2F" w:rsidRPr="00630615" w:rsidRDefault="002A2D2F" w:rsidP="0037793A">
            <w:pPr>
              <w:jc w:val="center"/>
            </w:pPr>
            <w:r w:rsidRPr="00630615">
              <w:t>Positive</w:t>
            </w:r>
          </w:p>
        </w:tc>
        <w:tc>
          <w:tcPr>
            <w:tcW w:w="0" w:type="auto"/>
          </w:tcPr>
          <w:p w14:paraId="33682871" w14:textId="77777777" w:rsidR="002A2D2F" w:rsidRPr="00630615" w:rsidRDefault="002A2D2F" w:rsidP="0037793A">
            <w:pPr>
              <w:jc w:val="center"/>
            </w:pPr>
            <w:r w:rsidRPr="00630615">
              <w:t>TP</w:t>
            </w:r>
          </w:p>
        </w:tc>
        <w:tc>
          <w:tcPr>
            <w:tcW w:w="0" w:type="auto"/>
          </w:tcPr>
          <w:p w14:paraId="3DE43E02" w14:textId="77777777" w:rsidR="002A2D2F" w:rsidRPr="00630615" w:rsidRDefault="002A2D2F" w:rsidP="0037793A">
            <w:pPr>
              <w:jc w:val="center"/>
            </w:pPr>
            <w:r w:rsidRPr="00630615">
              <w:t>FN</w:t>
            </w:r>
          </w:p>
        </w:tc>
      </w:tr>
      <w:tr w:rsidR="002A2D2F" w14:paraId="2CDFBA1E" w14:textId="77777777" w:rsidTr="0037793A">
        <w:tc>
          <w:tcPr>
            <w:tcW w:w="0" w:type="auto"/>
            <w:vMerge/>
          </w:tcPr>
          <w:p w14:paraId="4055638E" w14:textId="77777777" w:rsidR="002A2D2F" w:rsidRPr="00630615" w:rsidRDefault="002A2D2F" w:rsidP="0037793A">
            <w:pPr>
              <w:jc w:val="center"/>
            </w:pPr>
          </w:p>
        </w:tc>
        <w:tc>
          <w:tcPr>
            <w:tcW w:w="0" w:type="auto"/>
          </w:tcPr>
          <w:p w14:paraId="26D90B3D" w14:textId="77777777" w:rsidR="002A2D2F" w:rsidRPr="00630615" w:rsidRDefault="002A2D2F" w:rsidP="0037793A">
            <w:pPr>
              <w:jc w:val="center"/>
            </w:pPr>
            <w:r w:rsidRPr="00630615">
              <w:t>Negative</w:t>
            </w:r>
          </w:p>
        </w:tc>
        <w:tc>
          <w:tcPr>
            <w:tcW w:w="0" w:type="auto"/>
          </w:tcPr>
          <w:p w14:paraId="6F90F607" w14:textId="77777777" w:rsidR="002A2D2F" w:rsidRPr="00630615" w:rsidRDefault="002A2D2F" w:rsidP="0037793A">
            <w:pPr>
              <w:jc w:val="center"/>
            </w:pPr>
            <w:r w:rsidRPr="00630615">
              <w:t>FP</w:t>
            </w:r>
          </w:p>
        </w:tc>
        <w:tc>
          <w:tcPr>
            <w:tcW w:w="0" w:type="auto"/>
          </w:tcPr>
          <w:p w14:paraId="273B66B3" w14:textId="77777777" w:rsidR="002A2D2F" w:rsidRPr="00630615" w:rsidRDefault="002A2D2F" w:rsidP="0037793A">
            <w:pPr>
              <w:jc w:val="center"/>
            </w:pPr>
            <w:r w:rsidRPr="00630615">
              <w:t>TN</w:t>
            </w:r>
          </w:p>
        </w:tc>
      </w:tr>
    </w:tbl>
    <w:p w14:paraId="1DF3E99E" w14:textId="77777777" w:rsidR="002A2D2F" w:rsidRPr="002E2F4E" w:rsidRDefault="002A2D2F" w:rsidP="002A2D2F">
      <w:pPr>
        <w:rPr>
          <w:rFonts w:eastAsiaTheme="minorEastAsia"/>
        </w:rPr>
      </w:pPr>
      <w:r>
        <w:t xml:space="preserve">The ratio of TPs in all observed positives is called </w:t>
      </w:r>
      <w:r>
        <w:rPr>
          <w:i/>
          <w:iCs/>
        </w:rPr>
        <w:t>sensitivity, recall</w:t>
      </w:r>
      <w:r>
        <w:t xml:space="preserve"> or </w:t>
      </w:r>
      <w:r>
        <w:rPr>
          <w:i/>
          <w:iCs/>
        </w:rPr>
        <w:t>True Positive Rate (TPR)</w:t>
      </w:r>
      <w:r>
        <w:rPr>
          <w:lang w:bidi="fa-IR"/>
        </w:rPr>
        <w:t xml:space="preserve"> and is equal to </w:t>
      </w:r>
      <m:oMath>
        <m:f>
          <m:fPr>
            <m:ctrlPr>
              <w:rPr>
                <w:rFonts w:ascii="Cambria Math" w:hAnsi="Cambria Math"/>
                <w:i/>
                <w:iCs/>
              </w:rPr>
            </m:ctrlPr>
          </m:fPr>
          <m:num>
            <m:r>
              <w:rPr>
                <w:rFonts w:ascii="Cambria Math" w:hAnsi="Cambria Math"/>
              </w:rPr>
              <m:t>TP</m:t>
            </m:r>
          </m:num>
          <m:den>
            <m:r>
              <w:rPr>
                <w:rFonts w:ascii="Cambria Math" w:hAnsi="Cambria Math"/>
              </w:rPr>
              <m:t>TP+FN</m:t>
            </m:r>
          </m:den>
        </m:f>
      </m:oMath>
      <w:r>
        <w:rPr>
          <w:i/>
          <w:iCs/>
        </w:rPr>
        <w:t xml:space="preserve">, </w:t>
      </w:r>
      <w:r>
        <w:t xml:space="preserve">while the ratio of TNs in all observed negatives is called </w:t>
      </w:r>
      <w:r>
        <w:rPr>
          <w:i/>
          <w:iCs/>
        </w:rPr>
        <w:t>specificity</w:t>
      </w:r>
      <w:r>
        <w:t xml:space="preserve">, and is equal to </w:t>
      </w:r>
      <m:oMath>
        <m:f>
          <m:fPr>
            <m:ctrlPr>
              <w:rPr>
                <w:rFonts w:ascii="Cambria Math" w:hAnsi="Cambria Math"/>
                <w:i/>
                <w:iCs/>
              </w:rPr>
            </m:ctrlPr>
          </m:fPr>
          <m:num>
            <m:r>
              <w:rPr>
                <w:rFonts w:ascii="Cambria Math" w:hAnsi="Cambria Math"/>
              </w:rPr>
              <m:t>TN</m:t>
            </m:r>
          </m:num>
          <m:den>
            <m:r>
              <w:rPr>
                <w:rFonts w:ascii="Cambria Math" w:hAnsi="Cambria Math"/>
              </w:rPr>
              <m:t>TN+FP</m:t>
            </m:r>
          </m:den>
        </m:f>
      </m:oMath>
      <w:r>
        <w:rPr>
          <w:rFonts w:eastAsiaTheme="minorEastAsia"/>
          <w:i/>
        </w:rPr>
        <w:t xml:space="preserve"> </w:t>
      </w:r>
      <w:r>
        <w:rPr>
          <w:rFonts w:eastAsiaTheme="minorEastAsia"/>
          <w:iCs/>
        </w:rPr>
        <w:t>or</w:t>
      </w:r>
      <w:r>
        <w:rPr>
          <w:rFonts w:eastAsiaTheme="minorEastAsia"/>
          <w:i/>
        </w:rPr>
        <w:t xml:space="preserve"> 1-False Positive Rate (FPR)</w:t>
      </w:r>
      <w:r>
        <w:rPr>
          <w:rFonts w:eastAsiaTheme="minorEastAsia"/>
          <w:i/>
          <w:iCs/>
        </w:rPr>
        <w:t xml:space="preserve">. </w:t>
      </w:r>
      <w:r>
        <w:rPr>
          <w:rFonts w:eastAsiaTheme="minorEastAsia"/>
        </w:rPr>
        <w:t xml:space="preserve">The ratio of TPs in all predicted positives is called </w:t>
      </w:r>
      <w:r>
        <w:rPr>
          <w:rFonts w:eastAsiaTheme="minorEastAsia"/>
          <w:i/>
          <w:iCs/>
        </w:rPr>
        <w:t xml:space="preserve">precision </w:t>
      </w:r>
      <w:r>
        <w:rPr>
          <w:rFonts w:eastAsiaTheme="minorEastAsia"/>
        </w:rPr>
        <w:t xml:space="preserve">or </w:t>
      </w:r>
      <w:r>
        <w:rPr>
          <w:rFonts w:eastAsiaTheme="minorEastAsia"/>
          <w:i/>
          <w:iCs/>
        </w:rPr>
        <w:t xml:space="preserve">Positive Predictive Value (PPV) </w:t>
      </w:r>
      <w:r>
        <w:rPr>
          <w:rFonts w:eastAsiaTheme="minorEastAsia"/>
        </w:rPr>
        <w:t>and is equal to</w:t>
      </w:r>
      <m:oMath>
        <m:r>
          <w:rPr>
            <w:rFonts w:ascii="Cambria Math" w:hAnsi="Cambria Math"/>
          </w:rPr>
          <m:t xml:space="preserve"> </m:t>
        </m:r>
        <m:f>
          <m:fPr>
            <m:ctrlPr>
              <w:rPr>
                <w:rFonts w:ascii="Cambria Math" w:hAnsi="Cambria Math"/>
                <w:i/>
                <w:iCs/>
              </w:rPr>
            </m:ctrlPr>
          </m:fPr>
          <m:num>
            <m:r>
              <w:rPr>
                <w:rFonts w:ascii="Cambria Math" w:hAnsi="Cambria Math"/>
              </w:rPr>
              <m:t>TP</m:t>
            </m:r>
          </m:num>
          <m:den>
            <m:r>
              <w:rPr>
                <w:rFonts w:ascii="Cambria Math" w:hAnsi="Cambria Math"/>
              </w:rPr>
              <m:t>TP+FP</m:t>
            </m:r>
          </m:den>
        </m:f>
        <m:r>
          <w:rPr>
            <w:rFonts w:ascii="Cambria Math" w:hAnsi="Cambria Math"/>
          </w:rPr>
          <m:t xml:space="preserve"> </m:t>
        </m:r>
      </m:oMath>
      <w:r>
        <w:rPr>
          <w:rFonts w:eastAsiaTheme="minorEastAsia"/>
          <w:i/>
          <w:iCs/>
        </w:rPr>
        <w:t xml:space="preserve">, </w:t>
      </w:r>
      <w:r>
        <w:rPr>
          <w:rFonts w:eastAsiaTheme="minorEastAsia"/>
        </w:rPr>
        <w:t xml:space="preserve">while the ratio of TNs in all predicted negatives is called </w:t>
      </w:r>
      <w:r>
        <w:rPr>
          <w:rFonts w:eastAsiaTheme="minorEastAsia"/>
          <w:i/>
          <w:iCs/>
        </w:rPr>
        <w:t>Negative Predictive Value (NPV)</w:t>
      </w:r>
      <w:r>
        <w:rPr>
          <w:rFonts w:eastAsiaTheme="minorEastAsia"/>
        </w:rPr>
        <w:t xml:space="preserve"> and is equal to</w:t>
      </w:r>
      <m:oMath>
        <m:r>
          <w:rPr>
            <w:rFonts w:ascii="Cambria Math" w:hAnsi="Cambria Math"/>
          </w:rPr>
          <m:t xml:space="preserve"> </m:t>
        </m:r>
        <m:f>
          <m:fPr>
            <m:ctrlPr>
              <w:rPr>
                <w:rFonts w:ascii="Cambria Math" w:hAnsi="Cambria Math"/>
                <w:i/>
                <w:iCs/>
              </w:rPr>
            </m:ctrlPr>
          </m:fPr>
          <m:num>
            <m:r>
              <w:rPr>
                <w:rFonts w:ascii="Cambria Math" w:hAnsi="Cambria Math"/>
              </w:rPr>
              <m:t>TN</m:t>
            </m:r>
          </m:num>
          <m:den>
            <m:r>
              <w:rPr>
                <w:rFonts w:ascii="Cambria Math" w:hAnsi="Cambria Math"/>
              </w:rPr>
              <m:t>FN+TN</m:t>
            </m:r>
          </m:den>
        </m:f>
        <m:r>
          <w:rPr>
            <w:rFonts w:ascii="Cambria Math" w:hAnsi="Cambria Math"/>
          </w:rPr>
          <m:t xml:space="preserve"> </m:t>
        </m:r>
      </m:oMath>
      <w:r>
        <w:rPr>
          <w:rFonts w:eastAsiaTheme="minorEastAsia"/>
          <w:i/>
          <w:iCs/>
        </w:rPr>
        <w:t>.</w:t>
      </w:r>
      <w:r>
        <w:rPr>
          <w:rFonts w:eastAsiaTheme="minorEastAsia"/>
        </w:rPr>
        <w:t xml:space="preserve"> The choice of which metric to use depends on the situation. Recall is often used when FNs should be avoided, for example in screening for cancer. Specificity is often used when FPs should be avoided, for example in psychiatric disorders. A plot of true positive rate versus false positive rate (or more commonly, </w:t>
      </w:r>
      <w:r w:rsidRPr="003B117E">
        <w:rPr>
          <w:rFonts w:eastAsiaTheme="minorEastAsia"/>
          <w:i/>
          <w:iCs/>
        </w:rPr>
        <w:t>1-specificity</w:t>
      </w:r>
      <w:r>
        <w:rPr>
          <w:rFonts w:eastAsiaTheme="minorEastAsia"/>
        </w:rPr>
        <w:t xml:space="preserve">) is called a </w:t>
      </w:r>
      <w:r w:rsidRPr="002E2F4E">
        <w:rPr>
          <w:rFonts w:eastAsiaTheme="minorEastAsia"/>
          <w:i/>
          <w:iCs/>
        </w:rPr>
        <w:t>receiver operating characteristic (ROC) curve</w:t>
      </w:r>
      <w:r>
        <w:rPr>
          <w:rFonts w:eastAsiaTheme="minorEastAsia"/>
        </w:rPr>
        <w:t xml:space="preserve">, and the </w:t>
      </w:r>
      <w:r w:rsidRPr="003B117E">
        <w:rPr>
          <w:rFonts w:eastAsiaTheme="minorEastAsia"/>
          <w:i/>
          <w:iCs/>
        </w:rPr>
        <w:t>area under the ROC curve (AUROC)</w:t>
      </w:r>
      <w:r>
        <w:rPr>
          <w:rFonts w:eastAsiaTheme="minorEastAsia"/>
        </w:rPr>
        <w:t xml:space="preserve"> is a widely-used metric for classification tasks. </w:t>
      </w:r>
      <w:bookmarkStart w:id="16" w:name="_Hlk123042415"/>
      <w:r>
        <w:rPr>
          <w:rFonts w:eastAsiaTheme="minorEastAsia"/>
        </w:rPr>
        <w:t xml:space="preserve">A model with AUROC=0.5 </w:t>
      </w:r>
      <w:bookmarkEnd w:id="16"/>
      <w:r>
        <w:rPr>
          <w:rFonts w:eastAsiaTheme="minorEastAsia"/>
        </w:rPr>
        <w:t>has the same predictive ability as random toss of a fair coin, while a</w:t>
      </w:r>
      <w:r w:rsidRPr="002E2F4E">
        <w:rPr>
          <w:rFonts w:eastAsiaTheme="minorEastAsia"/>
        </w:rPr>
        <w:t xml:space="preserve"> model with AUROC=</w:t>
      </w:r>
      <w:r>
        <w:rPr>
          <w:rFonts w:eastAsiaTheme="minorEastAsia"/>
        </w:rPr>
        <w:t>1.0 has perfect fit</w:t>
      </w:r>
      <w:r>
        <w:rPr>
          <w:rFonts w:eastAsiaTheme="minorEastAsia"/>
        </w:rPr>
        <w:footnoteReference w:id="10"/>
      </w:r>
      <w:r>
        <w:rPr>
          <w:rFonts w:eastAsiaTheme="minorEastAsia"/>
        </w:rPr>
        <w:t>.</w:t>
      </w:r>
    </w:p>
    <w:p w14:paraId="66D06CF6" w14:textId="2D2D6BC0" w:rsidR="00591497" w:rsidRPr="005357D4" w:rsidRDefault="002A2D2F" w:rsidP="005357D4">
      <w:pPr>
        <w:rPr>
          <w:rFonts w:eastAsiaTheme="minorEastAsia"/>
        </w:rPr>
      </w:pPr>
      <w:r>
        <w:lastRenderedPageBreak/>
        <w:t xml:space="preserve">Accuracy is </w:t>
      </w:r>
      <w:r>
        <w:rPr>
          <w:rStyle w:val="highlight"/>
        </w:rPr>
        <w:t xml:space="preserve">the ratio of correctly predicted observations to the total number of observations </w:t>
      </w:r>
      <m:oMath>
        <m:f>
          <m:fPr>
            <m:ctrlPr>
              <w:rPr>
                <w:rStyle w:val="highlight"/>
                <w:rFonts w:ascii="Cambria Math" w:hAnsi="Cambria Math"/>
                <w:i/>
              </w:rPr>
            </m:ctrlPr>
          </m:fPr>
          <m:num>
            <m:r>
              <w:rPr>
                <w:rStyle w:val="highlight"/>
                <w:rFonts w:ascii="Cambria Math" w:hAnsi="Cambria Math"/>
              </w:rPr>
              <m:t>TP+TN</m:t>
            </m:r>
          </m:num>
          <m:den>
            <m:r>
              <w:rPr>
                <w:rStyle w:val="highlight"/>
                <w:rFonts w:ascii="Cambria Math" w:hAnsi="Cambria Math"/>
              </w:rPr>
              <m:t>TP+FP+TN+FN</m:t>
            </m:r>
          </m:den>
        </m:f>
        <m:r>
          <w:rPr>
            <w:rStyle w:val="highlight"/>
            <w:rFonts w:ascii="Cambria Math" w:hAnsi="Cambria Math"/>
          </w:rPr>
          <m:t xml:space="preserve"> </m:t>
        </m:r>
      </m:oMath>
      <w:r>
        <w:rPr>
          <w:rStyle w:val="highlight"/>
          <w:rFonts w:eastAsiaTheme="minorEastAsia"/>
        </w:rPr>
        <w:t xml:space="preserve">. </w:t>
      </w:r>
      <w:r>
        <w:rPr>
          <w:rStyle w:val="highlight"/>
        </w:rPr>
        <w:t xml:space="preserve">Another commonly used metric is </w:t>
      </w:r>
      <w:r w:rsidRPr="001F745B">
        <w:rPr>
          <w:rStyle w:val="highlight"/>
          <w:i/>
          <w:iCs/>
        </w:rPr>
        <w:t>F1-score</w:t>
      </w:r>
      <w:r>
        <w:rPr>
          <w:rStyle w:val="highlight"/>
        </w:rPr>
        <w:t xml:space="preserve">, which is the weighted average of Precision and recall: </w:t>
      </w:r>
      <m:oMath>
        <m:f>
          <m:fPr>
            <m:ctrlPr>
              <w:rPr>
                <w:rStyle w:val="highlight"/>
                <w:rFonts w:ascii="Cambria Math" w:eastAsiaTheme="majorEastAsia" w:hAnsi="Cambria Math"/>
                <w:i/>
              </w:rPr>
            </m:ctrlPr>
          </m:fPr>
          <m:num>
            <m:r>
              <w:rPr>
                <w:rStyle w:val="highlight"/>
                <w:rFonts w:ascii="Cambria Math" w:hAnsi="Cambria Math"/>
              </w:rPr>
              <m:t>2×precision×recall</m:t>
            </m:r>
          </m:num>
          <m:den>
            <m:r>
              <w:rPr>
                <w:rStyle w:val="highlight"/>
                <w:rFonts w:ascii="Cambria Math" w:hAnsi="Cambria Math"/>
              </w:rPr>
              <m:t>precision+recall</m:t>
            </m:r>
          </m:den>
        </m:f>
        <m:r>
          <w:rPr>
            <w:rStyle w:val="highlight"/>
            <w:rFonts w:ascii="Cambria Math" w:hAnsi="Cambria Math"/>
          </w:rPr>
          <m:t xml:space="preserve"> </m:t>
        </m:r>
      </m:oMath>
      <w:r>
        <w:rPr>
          <w:rStyle w:val="highlight"/>
        </w:rPr>
        <w:t xml:space="preserve">. </w:t>
      </w:r>
      <w:r>
        <w:rPr>
          <w:rStyle w:val="highlight"/>
          <w:rFonts w:eastAsiaTheme="minorEastAsia"/>
        </w:rPr>
        <w:t xml:space="preserve">Accuracy and F-1 score are sensitive to classes imbalance, therefore in </w:t>
      </w:r>
      <w:r w:rsidRPr="00C51DBD">
        <w:rPr>
          <w:rStyle w:val="highlight"/>
        </w:rPr>
        <w:t>imbalanced dataset</w:t>
      </w:r>
      <w:r>
        <w:rPr>
          <w:rStyle w:val="highlight"/>
        </w:rPr>
        <w:t>s,</w:t>
      </w:r>
      <w:r>
        <w:rPr>
          <w:rStyle w:val="highlight"/>
          <w:rFonts w:eastAsiaTheme="minorEastAsia"/>
        </w:rPr>
        <w:t xml:space="preserve"> </w:t>
      </w:r>
      <w:r w:rsidRPr="001F745B">
        <w:rPr>
          <w:rStyle w:val="highlight"/>
          <w:rFonts w:eastAsiaTheme="minorEastAsia"/>
          <w:i/>
          <w:iCs/>
        </w:rPr>
        <w:t>balanced accuracy</w:t>
      </w:r>
      <w:r>
        <w:rPr>
          <w:rStyle w:val="highlight"/>
          <w:rFonts w:eastAsiaTheme="minorEastAsia"/>
        </w:rPr>
        <w:t xml:space="preserve"> can be used instead:</w:t>
      </w:r>
      <w:r>
        <w:rPr>
          <w:rStyle w:val="highlight"/>
          <w:rFonts w:eastAsiaTheme="minorEastAsia"/>
          <w:i/>
          <w:iCs/>
        </w:rPr>
        <w:t xml:space="preserve"> </w:t>
      </w:r>
      <m:oMath>
        <m:f>
          <m:fPr>
            <m:ctrlPr>
              <w:rPr>
                <w:rStyle w:val="highlight"/>
                <w:rFonts w:ascii="Cambria Math" w:eastAsiaTheme="minorEastAsia" w:hAnsi="Cambria Math"/>
                <w:i/>
                <w:iCs/>
              </w:rPr>
            </m:ctrlPr>
          </m:fPr>
          <m:num>
            <m:r>
              <w:rPr>
                <w:rStyle w:val="highlight"/>
                <w:rFonts w:ascii="Cambria Math" w:eastAsiaTheme="minorEastAsia" w:hAnsi="Cambria Math"/>
              </w:rPr>
              <m:t>1</m:t>
            </m:r>
          </m:num>
          <m:den>
            <m:r>
              <w:rPr>
                <w:rStyle w:val="highlight"/>
                <w:rFonts w:ascii="Cambria Math" w:eastAsiaTheme="minorEastAsia" w:hAnsi="Cambria Math"/>
              </w:rPr>
              <m:t>2</m:t>
            </m:r>
          </m:den>
        </m:f>
        <m:d>
          <m:dPr>
            <m:ctrlPr>
              <w:rPr>
                <w:rStyle w:val="highlight"/>
                <w:rFonts w:ascii="Cambria Math" w:eastAsiaTheme="minorEastAsia" w:hAnsi="Cambria Math"/>
                <w:i/>
              </w:rPr>
            </m:ctrlPr>
          </m:dPr>
          <m:e>
            <m:r>
              <w:rPr>
                <w:rStyle w:val="highlight"/>
                <w:rFonts w:ascii="Cambria Math" w:eastAsiaTheme="minorEastAsia" w:hAnsi="Cambria Math"/>
              </w:rPr>
              <m:t>precision+recall</m:t>
            </m:r>
          </m:e>
        </m:d>
        <m:r>
          <w:rPr>
            <w:rStyle w:val="highlight"/>
            <w:rFonts w:ascii="Cambria Math" w:eastAsiaTheme="minorEastAsia" w:hAnsi="Cambria Math"/>
          </w:rPr>
          <m:t>=</m:t>
        </m:r>
        <m:f>
          <m:fPr>
            <m:ctrlPr>
              <w:rPr>
                <w:rStyle w:val="highlight"/>
                <w:rFonts w:ascii="Cambria Math" w:eastAsiaTheme="minorEastAsia" w:hAnsi="Cambria Math"/>
                <w:i/>
                <w:iCs/>
              </w:rPr>
            </m:ctrlPr>
          </m:fPr>
          <m:num>
            <m:f>
              <m:fPr>
                <m:ctrlPr>
                  <w:rPr>
                    <w:rStyle w:val="highlight"/>
                    <w:rFonts w:ascii="Cambria Math" w:eastAsiaTheme="minorEastAsia" w:hAnsi="Cambria Math"/>
                    <w:i/>
                    <w:iCs/>
                  </w:rPr>
                </m:ctrlPr>
              </m:fPr>
              <m:num>
                <m:r>
                  <w:rPr>
                    <w:rStyle w:val="highlight"/>
                    <w:rFonts w:ascii="Cambria Math" w:eastAsiaTheme="minorEastAsia" w:hAnsi="Cambria Math"/>
                  </w:rPr>
                  <m:t>TP</m:t>
                </m:r>
              </m:num>
              <m:den>
                <m:r>
                  <w:rPr>
                    <w:rStyle w:val="highlight"/>
                    <w:rFonts w:ascii="Cambria Math" w:eastAsiaTheme="minorEastAsia" w:hAnsi="Cambria Math"/>
                  </w:rPr>
                  <m:t>TP+FN</m:t>
                </m:r>
              </m:den>
            </m:f>
            <m:r>
              <w:rPr>
                <w:rStyle w:val="highlight"/>
                <w:rFonts w:ascii="Cambria Math" w:eastAsiaTheme="minorEastAsia" w:hAnsi="Cambria Math"/>
              </w:rPr>
              <m:t>+</m:t>
            </m:r>
            <m:f>
              <m:fPr>
                <m:ctrlPr>
                  <w:rPr>
                    <w:rStyle w:val="highlight"/>
                    <w:rFonts w:ascii="Cambria Math" w:eastAsiaTheme="minorEastAsia" w:hAnsi="Cambria Math"/>
                    <w:i/>
                    <w:iCs/>
                  </w:rPr>
                </m:ctrlPr>
              </m:fPr>
              <m:num>
                <m:r>
                  <w:rPr>
                    <w:rStyle w:val="highlight"/>
                    <w:rFonts w:ascii="Cambria Math" w:eastAsiaTheme="minorEastAsia" w:hAnsi="Cambria Math"/>
                  </w:rPr>
                  <m:t>TN</m:t>
                </m:r>
              </m:num>
              <m:den>
                <m:r>
                  <w:rPr>
                    <w:rStyle w:val="highlight"/>
                    <w:rFonts w:ascii="Cambria Math" w:eastAsiaTheme="minorEastAsia" w:hAnsi="Cambria Math"/>
                  </w:rPr>
                  <m:t>TN+FP</m:t>
                </m:r>
              </m:den>
            </m:f>
          </m:num>
          <m:den>
            <m:r>
              <w:rPr>
                <w:rStyle w:val="highlight"/>
                <w:rFonts w:ascii="Cambria Math" w:eastAsiaTheme="minorEastAsia" w:hAnsi="Cambria Math"/>
              </w:rPr>
              <m:t>2</m:t>
            </m:r>
          </m:den>
        </m:f>
        <m:r>
          <w:rPr>
            <w:rStyle w:val="highlight"/>
            <w:rFonts w:ascii="Cambria Math" w:eastAsiaTheme="minorEastAsia" w:hAnsi="Cambria Math"/>
          </w:rPr>
          <m:t xml:space="preserve"> </m:t>
        </m:r>
      </m:oMath>
      <w:r>
        <w:rPr>
          <w:rStyle w:val="highlight"/>
          <w:rFonts w:eastAsiaTheme="minorEastAsia"/>
          <w:i/>
          <w:iCs/>
        </w:rPr>
        <w:t>.</w:t>
      </w:r>
    </w:p>
    <w:p w14:paraId="2894CC5D" w14:textId="64F6015D" w:rsidR="009575C3" w:rsidRDefault="00E43CF2" w:rsidP="008C5248">
      <w:pPr>
        <w:pStyle w:val="Heading1"/>
      </w:pPr>
      <w:bookmarkStart w:id="17" w:name="_Toc123304705"/>
      <w:bookmarkStart w:id="18" w:name="_Toc123391081"/>
      <w:bookmarkStart w:id="19" w:name="_Toc124023359"/>
      <w:r>
        <w:t>7</w:t>
      </w:r>
      <w:r w:rsidR="00465886">
        <w:t xml:space="preserve">. </w:t>
      </w:r>
      <w:r w:rsidR="009575C3">
        <w:t>Conclusion</w:t>
      </w:r>
      <w:bookmarkEnd w:id="17"/>
      <w:bookmarkEnd w:id="18"/>
      <w:bookmarkEnd w:id="19"/>
    </w:p>
    <w:p w14:paraId="1716B614" w14:textId="55F83009" w:rsidR="00E23A3A" w:rsidRDefault="00E23A3A" w:rsidP="00E23A3A">
      <w:r>
        <w:t>[to be added]</w:t>
      </w:r>
    </w:p>
    <w:p w14:paraId="1A6FFB61" w14:textId="51EF8079" w:rsidR="007A18D6" w:rsidRDefault="00E43CF2" w:rsidP="007A18D6">
      <w:pPr>
        <w:pStyle w:val="Heading1"/>
      </w:pPr>
      <w:bookmarkStart w:id="20" w:name="_Toc123391082"/>
      <w:bookmarkStart w:id="21" w:name="_Toc124023360"/>
      <w:r>
        <w:t>8</w:t>
      </w:r>
      <w:r w:rsidR="00465886">
        <w:t xml:space="preserve">. </w:t>
      </w:r>
      <w:r w:rsidR="007A18D6">
        <w:t>References</w:t>
      </w:r>
      <w:bookmarkEnd w:id="20"/>
      <w:bookmarkEnd w:id="21"/>
    </w:p>
    <w:p w14:paraId="4EE4C860" w14:textId="77777777" w:rsidR="00E43CF2" w:rsidRPr="00E43CF2" w:rsidRDefault="007A18D6" w:rsidP="00E43CF2">
      <w:pPr>
        <w:pStyle w:val="Bibliography"/>
        <w:rPr>
          <w:rFonts w:ascii="Times New Roman" w:hAnsi="Times New Roman"/>
        </w:rPr>
      </w:pPr>
      <w:r>
        <w:fldChar w:fldCharType="begin"/>
      </w:r>
      <w:r w:rsidR="00E43CF2">
        <w:instrText xml:space="preserve"> ADDIN ZOTERO_BIBL {"uncited":[],"omitted":[],"custom":[]} CSL_BIBLIOGRAPHY </w:instrText>
      </w:r>
      <w:r>
        <w:fldChar w:fldCharType="separate"/>
      </w:r>
      <w:r w:rsidR="00E43CF2" w:rsidRPr="00E43CF2">
        <w:rPr>
          <w:rFonts w:ascii="Times New Roman" w:hAnsi="Times New Roman"/>
        </w:rPr>
        <w:t>1.</w:t>
      </w:r>
      <w:r w:rsidR="00E43CF2" w:rsidRPr="00E43CF2">
        <w:rPr>
          <w:rFonts w:ascii="Times New Roman" w:hAnsi="Times New Roman"/>
        </w:rPr>
        <w:tab/>
        <w:t xml:space="preserve">Bellinger, G., Castro, D. &amp; Mills, A. </w:t>
      </w:r>
      <w:r w:rsidR="00E43CF2" w:rsidRPr="00E43CF2">
        <w:rPr>
          <w:rFonts w:ascii="Times New Roman" w:hAnsi="Times New Roman"/>
          <w:i/>
          <w:iCs/>
        </w:rPr>
        <w:t>Data, information, knowledge, and wisdom</w:t>
      </w:r>
      <w:r w:rsidR="00E43CF2" w:rsidRPr="00E43CF2">
        <w:rPr>
          <w:rFonts w:ascii="Times New Roman" w:hAnsi="Times New Roman"/>
        </w:rPr>
        <w:t>. (2004).</w:t>
      </w:r>
    </w:p>
    <w:p w14:paraId="39E7FBCB" w14:textId="77777777" w:rsidR="00E43CF2" w:rsidRPr="00E43CF2" w:rsidRDefault="00E43CF2" w:rsidP="00E43CF2">
      <w:pPr>
        <w:pStyle w:val="Bibliography"/>
        <w:rPr>
          <w:rFonts w:ascii="Times New Roman" w:hAnsi="Times New Roman"/>
        </w:rPr>
      </w:pPr>
      <w:r w:rsidRPr="00E43CF2">
        <w:rPr>
          <w:rFonts w:ascii="Times New Roman" w:hAnsi="Times New Roman"/>
        </w:rPr>
        <w:t>2.</w:t>
      </w:r>
      <w:r w:rsidRPr="00E43CF2">
        <w:rPr>
          <w:rFonts w:ascii="Times New Roman" w:hAnsi="Times New Roman"/>
        </w:rPr>
        <w:tab/>
        <w:t xml:space="preserve">Gururajan, A., Clarke, G., Dinan, T. G. &amp; Cryan, J. F. Molecular biomarkers of depression. </w:t>
      </w:r>
      <w:r w:rsidRPr="00E43CF2">
        <w:rPr>
          <w:rFonts w:ascii="Times New Roman" w:hAnsi="Times New Roman"/>
          <w:i/>
          <w:iCs/>
        </w:rPr>
        <w:t>Neurosci. Biobehav. Rev.</w:t>
      </w:r>
      <w:r w:rsidRPr="00E43CF2">
        <w:rPr>
          <w:rFonts w:ascii="Times New Roman" w:hAnsi="Times New Roman"/>
        </w:rPr>
        <w:t xml:space="preserve"> </w:t>
      </w:r>
      <w:r w:rsidRPr="00E43CF2">
        <w:rPr>
          <w:rFonts w:ascii="Times New Roman" w:hAnsi="Times New Roman"/>
          <w:b/>
          <w:bCs/>
        </w:rPr>
        <w:t>64</w:t>
      </w:r>
      <w:r w:rsidRPr="00E43CF2">
        <w:rPr>
          <w:rFonts w:ascii="Times New Roman" w:hAnsi="Times New Roman"/>
        </w:rPr>
        <w:t>, 101–133 (2016).</w:t>
      </w:r>
    </w:p>
    <w:p w14:paraId="13B36A53" w14:textId="77777777" w:rsidR="00E43CF2" w:rsidRPr="00E43CF2" w:rsidRDefault="00E43CF2" w:rsidP="00E43CF2">
      <w:pPr>
        <w:pStyle w:val="Bibliography"/>
        <w:rPr>
          <w:rFonts w:ascii="Times New Roman" w:hAnsi="Times New Roman"/>
        </w:rPr>
      </w:pPr>
      <w:r w:rsidRPr="00E43CF2">
        <w:rPr>
          <w:rFonts w:ascii="Times New Roman" w:hAnsi="Times New Roman"/>
        </w:rPr>
        <w:t>3.</w:t>
      </w:r>
      <w:r w:rsidRPr="00E43CF2">
        <w:rPr>
          <w:rFonts w:ascii="Times New Roman" w:hAnsi="Times New Roman"/>
        </w:rPr>
        <w:tab/>
        <w:t xml:space="preserve">Rashid, B. &amp; Calhoun, V. Towards a brain‐based predictome of mental illness. </w:t>
      </w:r>
      <w:r w:rsidRPr="00E43CF2">
        <w:rPr>
          <w:rFonts w:ascii="Times New Roman" w:hAnsi="Times New Roman"/>
          <w:i/>
          <w:iCs/>
        </w:rPr>
        <w:t>Hum. Brain Mapp.</w:t>
      </w:r>
      <w:r w:rsidRPr="00E43CF2">
        <w:rPr>
          <w:rFonts w:ascii="Times New Roman" w:hAnsi="Times New Roman"/>
        </w:rPr>
        <w:t xml:space="preserve"> </w:t>
      </w:r>
      <w:r w:rsidRPr="00E43CF2">
        <w:rPr>
          <w:rFonts w:ascii="Times New Roman" w:hAnsi="Times New Roman"/>
          <w:b/>
          <w:bCs/>
        </w:rPr>
        <w:t>41</w:t>
      </w:r>
      <w:r w:rsidRPr="00E43CF2">
        <w:rPr>
          <w:rFonts w:ascii="Times New Roman" w:hAnsi="Times New Roman"/>
        </w:rPr>
        <w:t>, 3468 (2020).</w:t>
      </w:r>
    </w:p>
    <w:p w14:paraId="6502A1E1" w14:textId="77777777" w:rsidR="00E43CF2" w:rsidRPr="00E43CF2" w:rsidRDefault="00E43CF2" w:rsidP="00E43CF2">
      <w:pPr>
        <w:pStyle w:val="Bibliography"/>
        <w:rPr>
          <w:rFonts w:ascii="Times New Roman" w:hAnsi="Times New Roman"/>
        </w:rPr>
      </w:pPr>
      <w:r w:rsidRPr="00E43CF2">
        <w:rPr>
          <w:rFonts w:ascii="Times New Roman" w:hAnsi="Times New Roman"/>
        </w:rPr>
        <w:t>4.</w:t>
      </w:r>
      <w:r w:rsidRPr="00E43CF2">
        <w:rPr>
          <w:rFonts w:ascii="Times New Roman" w:hAnsi="Times New Roman"/>
        </w:rPr>
        <w:tab/>
        <w:t xml:space="preserve">Miranda, L., Paul, R., Pütz, B., Koutsouleris, N. &amp; Müller-Myhsok, B. Systematic Review of Functional MRI Applications for Psychiatric Disease Subtyping. </w:t>
      </w:r>
      <w:r w:rsidRPr="00E43CF2">
        <w:rPr>
          <w:rFonts w:ascii="Times New Roman" w:hAnsi="Times New Roman"/>
          <w:i/>
          <w:iCs/>
        </w:rPr>
        <w:t>Front. Psychiatry</w:t>
      </w:r>
      <w:r w:rsidRPr="00E43CF2">
        <w:rPr>
          <w:rFonts w:ascii="Times New Roman" w:hAnsi="Times New Roman"/>
        </w:rPr>
        <w:t xml:space="preserve"> </w:t>
      </w:r>
      <w:r w:rsidRPr="00E43CF2">
        <w:rPr>
          <w:rFonts w:ascii="Times New Roman" w:hAnsi="Times New Roman"/>
          <w:b/>
          <w:bCs/>
        </w:rPr>
        <w:t>12</w:t>
      </w:r>
      <w:r w:rsidRPr="00E43CF2">
        <w:rPr>
          <w:rFonts w:ascii="Times New Roman" w:hAnsi="Times New Roman"/>
        </w:rPr>
        <w:t>, (2021).</w:t>
      </w:r>
    </w:p>
    <w:p w14:paraId="310929A1" w14:textId="77777777" w:rsidR="00E43CF2" w:rsidRPr="00E43CF2" w:rsidRDefault="00E43CF2" w:rsidP="00E43CF2">
      <w:pPr>
        <w:pStyle w:val="Bibliography"/>
        <w:rPr>
          <w:rFonts w:ascii="Times New Roman" w:hAnsi="Times New Roman"/>
        </w:rPr>
      </w:pPr>
      <w:r w:rsidRPr="00E43CF2">
        <w:rPr>
          <w:rFonts w:ascii="Times New Roman" w:hAnsi="Times New Roman"/>
        </w:rPr>
        <w:t>5.</w:t>
      </w:r>
      <w:r w:rsidRPr="00E43CF2">
        <w:rPr>
          <w:rFonts w:ascii="Times New Roman" w:hAnsi="Times New Roman"/>
        </w:rPr>
        <w:tab/>
        <w:t xml:space="preserve">Ćosić, K., Popović, S., Šarlija, M., Kesedžić, I. &amp; Jovanovic, T. Artificial intelligence in prediction of mental health disorders induced by the COVID-19 pandemic among health care workers. </w:t>
      </w:r>
      <w:r w:rsidRPr="00E43CF2">
        <w:rPr>
          <w:rFonts w:ascii="Times New Roman" w:hAnsi="Times New Roman"/>
          <w:i/>
          <w:iCs/>
        </w:rPr>
        <w:t>Croat. Med. J.</w:t>
      </w:r>
      <w:r w:rsidRPr="00E43CF2">
        <w:rPr>
          <w:rFonts w:ascii="Times New Roman" w:hAnsi="Times New Roman"/>
        </w:rPr>
        <w:t xml:space="preserve"> </w:t>
      </w:r>
      <w:r w:rsidRPr="00E43CF2">
        <w:rPr>
          <w:rFonts w:ascii="Times New Roman" w:hAnsi="Times New Roman"/>
          <w:b/>
          <w:bCs/>
        </w:rPr>
        <w:t>61</w:t>
      </w:r>
      <w:r w:rsidRPr="00E43CF2">
        <w:rPr>
          <w:rFonts w:ascii="Times New Roman" w:hAnsi="Times New Roman"/>
        </w:rPr>
        <w:t>, 279–288 (2020).</w:t>
      </w:r>
    </w:p>
    <w:p w14:paraId="478EC6C0" w14:textId="77777777" w:rsidR="00E43CF2" w:rsidRPr="00E43CF2" w:rsidRDefault="00E43CF2" w:rsidP="00E43CF2">
      <w:pPr>
        <w:pStyle w:val="Bibliography"/>
        <w:rPr>
          <w:rFonts w:ascii="Times New Roman" w:hAnsi="Times New Roman"/>
        </w:rPr>
      </w:pPr>
      <w:r w:rsidRPr="00E43CF2">
        <w:rPr>
          <w:rFonts w:ascii="Times New Roman" w:hAnsi="Times New Roman"/>
        </w:rPr>
        <w:t>6.</w:t>
      </w:r>
      <w:r w:rsidRPr="00E43CF2">
        <w:rPr>
          <w:rFonts w:ascii="Times New Roman" w:hAnsi="Times New Roman"/>
        </w:rPr>
        <w:tab/>
        <w:t xml:space="preserve">Ćosić, K. </w:t>
      </w:r>
      <w:r w:rsidRPr="00E43CF2">
        <w:rPr>
          <w:rFonts w:ascii="Times New Roman" w:hAnsi="Times New Roman"/>
          <w:i/>
          <w:iCs/>
        </w:rPr>
        <w:t>et al.</w:t>
      </w:r>
      <w:r w:rsidRPr="00E43CF2">
        <w:rPr>
          <w:rFonts w:ascii="Times New Roman" w:hAnsi="Times New Roman"/>
        </w:rPr>
        <w:t xml:space="preserve"> AI-Based Prediction and Prevention of Psychological and Behavioral Changes in Ex-COVID-19 Patients. </w:t>
      </w:r>
      <w:r w:rsidRPr="00E43CF2">
        <w:rPr>
          <w:rFonts w:ascii="Times New Roman" w:hAnsi="Times New Roman"/>
          <w:i/>
          <w:iCs/>
        </w:rPr>
        <w:t>Front. Psychol.</w:t>
      </w:r>
      <w:r w:rsidRPr="00E43CF2">
        <w:rPr>
          <w:rFonts w:ascii="Times New Roman" w:hAnsi="Times New Roman"/>
        </w:rPr>
        <w:t xml:space="preserve"> </w:t>
      </w:r>
      <w:r w:rsidRPr="00E43CF2">
        <w:rPr>
          <w:rFonts w:ascii="Times New Roman" w:hAnsi="Times New Roman"/>
          <w:b/>
          <w:bCs/>
        </w:rPr>
        <w:t>12</w:t>
      </w:r>
      <w:r w:rsidRPr="00E43CF2">
        <w:rPr>
          <w:rFonts w:ascii="Times New Roman" w:hAnsi="Times New Roman"/>
        </w:rPr>
        <w:t>, (2021).</w:t>
      </w:r>
    </w:p>
    <w:p w14:paraId="4B6B959B" w14:textId="77777777" w:rsidR="00E43CF2" w:rsidRPr="00E43CF2" w:rsidRDefault="00E43CF2" w:rsidP="00E43CF2">
      <w:pPr>
        <w:pStyle w:val="Bibliography"/>
        <w:rPr>
          <w:rFonts w:ascii="Times New Roman" w:hAnsi="Times New Roman"/>
        </w:rPr>
      </w:pPr>
      <w:r w:rsidRPr="00E43CF2">
        <w:rPr>
          <w:rFonts w:ascii="Times New Roman" w:hAnsi="Times New Roman"/>
        </w:rPr>
        <w:t>7.</w:t>
      </w:r>
      <w:r w:rsidRPr="00E43CF2">
        <w:rPr>
          <w:rFonts w:ascii="Times New Roman" w:hAnsi="Times New Roman"/>
        </w:rPr>
        <w:tab/>
        <w:t xml:space="preserve">Machine Learning Glossary. </w:t>
      </w:r>
      <w:r w:rsidRPr="00E43CF2">
        <w:rPr>
          <w:rFonts w:ascii="Times New Roman" w:hAnsi="Times New Roman"/>
          <w:i/>
          <w:iCs/>
        </w:rPr>
        <w:t>Google Developers</w:t>
      </w:r>
      <w:r w:rsidRPr="00E43CF2">
        <w:rPr>
          <w:rFonts w:ascii="Times New Roman" w:hAnsi="Times New Roman"/>
        </w:rPr>
        <w:t xml:space="preserve"> https://developers.google.com/machine-learning/glossary (2022).</w:t>
      </w:r>
    </w:p>
    <w:p w14:paraId="79573DB0" w14:textId="77777777" w:rsidR="00E43CF2" w:rsidRPr="00E43CF2" w:rsidRDefault="00E43CF2" w:rsidP="00E43CF2">
      <w:pPr>
        <w:pStyle w:val="Bibliography"/>
        <w:rPr>
          <w:rFonts w:ascii="Times New Roman" w:hAnsi="Times New Roman"/>
        </w:rPr>
      </w:pPr>
      <w:r w:rsidRPr="00E43CF2">
        <w:rPr>
          <w:rFonts w:ascii="Times New Roman" w:hAnsi="Times New Roman"/>
        </w:rPr>
        <w:t>8.</w:t>
      </w:r>
      <w:r w:rsidRPr="00E43CF2">
        <w:rPr>
          <w:rFonts w:ascii="Times New Roman" w:hAnsi="Times New Roman"/>
        </w:rPr>
        <w:tab/>
        <w:t xml:space="preserve">Biswas, S., Wardat, M. &amp; Rajan, H. The art and practice of data science pipelines: A comprehensive study of data science pipelines in theory, in-the-small, and in-the-large. in </w:t>
      </w:r>
      <w:r w:rsidRPr="00E43CF2">
        <w:rPr>
          <w:rFonts w:ascii="Times New Roman" w:hAnsi="Times New Roman"/>
          <w:i/>
          <w:iCs/>
        </w:rPr>
        <w:lastRenderedPageBreak/>
        <w:t>Proceedings of the 44th International Conference on Software Engineering</w:t>
      </w:r>
      <w:r w:rsidRPr="00E43CF2">
        <w:rPr>
          <w:rFonts w:ascii="Times New Roman" w:hAnsi="Times New Roman"/>
        </w:rPr>
        <w:t xml:space="preserve"> 2091–2103 (Association for Computing Machinery, 2022). doi:10.1145/3510003.3510057.</w:t>
      </w:r>
    </w:p>
    <w:p w14:paraId="22E675BC" w14:textId="77777777" w:rsidR="00E43CF2" w:rsidRPr="00E43CF2" w:rsidRDefault="00E43CF2" w:rsidP="00E43CF2">
      <w:pPr>
        <w:pStyle w:val="Bibliography"/>
        <w:rPr>
          <w:rFonts w:ascii="Times New Roman" w:hAnsi="Times New Roman"/>
        </w:rPr>
      </w:pPr>
      <w:r w:rsidRPr="00E43CF2">
        <w:rPr>
          <w:rFonts w:ascii="Times New Roman" w:hAnsi="Times New Roman"/>
        </w:rPr>
        <w:t>9.</w:t>
      </w:r>
      <w:r w:rsidRPr="00E43CF2">
        <w:rPr>
          <w:rFonts w:ascii="Times New Roman" w:hAnsi="Times New Roman"/>
        </w:rPr>
        <w:tab/>
        <w:t xml:space="preserve">Wang, X. </w:t>
      </w:r>
      <w:r w:rsidRPr="00E43CF2">
        <w:rPr>
          <w:rFonts w:ascii="Times New Roman" w:hAnsi="Times New Roman"/>
          <w:i/>
          <w:iCs/>
        </w:rPr>
        <w:t>et al.</w:t>
      </w:r>
      <w:r w:rsidRPr="00E43CF2">
        <w:rPr>
          <w:rFonts w:ascii="Times New Roman" w:hAnsi="Times New Roman"/>
        </w:rPr>
        <w:t xml:space="preserve"> Prediction of Mental Health in Medical Workers During COVID-19 Based on Machine Learning. </w:t>
      </w:r>
      <w:r w:rsidRPr="00E43CF2">
        <w:rPr>
          <w:rFonts w:ascii="Times New Roman" w:hAnsi="Times New Roman"/>
          <w:i/>
          <w:iCs/>
        </w:rPr>
        <w:t>Front. Public Health</w:t>
      </w:r>
      <w:r w:rsidRPr="00E43CF2">
        <w:rPr>
          <w:rFonts w:ascii="Times New Roman" w:hAnsi="Times New Roman"/>
        </w:rPr>
        <w:t xml:space="preserve"> </w:t>
      </w:r>
      <w:r w:rsidRPr="00E43CF2">
        <w:rPr>
          <w:rFonts w:ascii="Times New Roman" w:hAnsi="Times New Roman"/>
          <w:b/>
          <w:bCs/>
        </w:rPr>
        <w:t>9</w:t>
      </w:r>
      <w:r w:rsidRPr="00E43CF2">
        <w:rPr>
          <w:rFonts w:ascii="Times New Roman" w:hAnsi="Times New Roman"/>
        </w:rPr>
        <w:t>, 697850 (2021).</w:t>
      </w:r>
    </w:p>
    <w:p w14:paraId="7E3F7D3E" w14:textId="77777777" w:rsidR="00E43CF2" w:rsidRPr="00E43CF2" w:rsidRDefault="00E43CF2" w:rsidP="00E43CF2">
      <w:pPr>
        <w:pStyle w:val="Bibliography"/>
        <w:rPr>
          <w:rFonts w:ascii="Times New Roman" w:hAnsi="Times New Roman"/>
        </w:rPr>
      </w:pPr>
      <w:r w:rsidRPr="00E43CF2">
        <w:rPr>
          <w:rFonts w:ascii="Times New Roman" w:hAnsi="Times New Roman"/>
        </w:rPr>
        <w:t>10.</w:t>
      </w:r>
      <w:r w:rsidRPr="00E43CF2">
        <w:rPr>
          <w:rFonts w:ascii="Times New Roman" w:hAnsi="Times New Roman"/>
        </w:rPr>
        <w:tab/>
        <w:t xml:space="preserve">Hirschtritt, M. E. &amp; Insel, T. R. Digital Technologies in Psychiatry: Present and Future. </w:t>
      </w:r>
      <w:r w:rsidRPr="00E43CF2">
        <w:rPr>
          <w:rFonts w:ascii="Times New Roman" w:hAnsi="Times New Roman"/>
          <w:i/>
          <w:iCs/>
        </w:rPr>
        <w:t>Focus Am. Psychiatr. Publ.</w:t>
      </w:r>
      <w:r w:rsidRPr="00E43CF2">
        <w:rPr>
          <w:rFonts w:ascii="Times New Roman" w:hAnsi="Times New Roman"/>
        </w:rPr>
        <w:t xml:space="preserve"> </w:t>
      </w:r>
      <w:r w:rsidRPr="00E43CF2">
        <w:rPr>
          <w:rFonts w:ascii="Times New Roman" w:hAnsi="Times New Roman"/>
          <w:b/>
          <w:bCs/>
        </w:rPr>
        <w:t>16</w:t>
      </w:r>
      <w:r w:rsidRPr="00E43CF2">
        <w:rPr>
          <w:rFonts w:ascii="Times New Roman" w:hAnsi="Times New Roman"/>
        </w:rPr>
        <w:t>, 251–258 (2018).</w:t>
      </w:r>
    </w:p>
    <w:p w14:paraId="64B4AC75" w14:textId="77777777" w:rsidR="00E43CF2" w:rsidRPr="00E43CF2" w:rsidRDefault="00E43CF2" w:rsidP="00E43CF2">
      <w:pPr>
        <w:pStyle w:val="Bibliography"/>
        <w:rPr>
          <w:rFonts w:ascii="Times New Roman" w:hAnsi="Times New Roman"/>
        </w:rPr>
      </w:pPr>
      <w:r w:rsidRPr="00E43CF2">
        <w:rPr>
          <w:rFonts w:ascii="Times New Roman" w:hAnsi="Times New Roman"/>
        </w:rPr>
        <w:t>11.</w:t>
      </w:r>
      <w:r w:rsidRPr="00E43CF2">
        <w:rPr>
          <w:rFonts w:ascii="Times New Roman" w:hAnsi="Times New Roman"/>
        </w:rPr>
        <w:tab/>
        <w:t xml:space="preserve">Chan, S., Godwin, H., Gonzalez, A., Yellowlees, P. M. &amp; Hilty, D. M. Review of Use and Integration of Mobile Apps Into Psychiatric Treatments. </w:t>
      </w:r>
      <w:r w:rsidRPr="00E43CF2">
        <w:rPr>
          <w:rFonts w:ascii="Times New Roman" w:hAnsi="Times New Roman"/>
          <w:i/>
          <w:iCs/>
        </w:rPr>
        <w:t>Curr. Psychiatry Rep.</w:t>
      </w:r>
      <w:r w:rsidRPr="00E43CF2">
        <w:rPr>
          <w:rFonts w:ascii="Times New Roman" w:hAnsi="Times New Roman"/>
        </w:rPr>
        <w:t xml:space="preserve"> </w:t>
      </w:r>
      <w:r w:rsidRPr="00E43CF2">
        <w:rPr>
          <w:rFonts w:ascii="Times New Roman" w:hAnsi="Times New Roman"/>
          <w:b/>
          <w:bCs/>
        </w:rPr>
        <w:t>19</w:t>
      </w:r>
      <w:r w:rsidRPr="00E43CF2">
        <w:rPr>
          <w:rFonts w:ascii="Times New Roman" w:hAnsi="Times New Roman"/>
        </w:rPr>
        <w:t>, 96 (2017).</w:t>
      </w:r>
    </w:p>
    <w:p w14:paraId="0248E4F1" w14:textId="77777777" w:rsidR="00E43CF2" w:rsidRPr="00E43CF2" w:rsidRDefault="00E43CF2" w:rsidP="00E43CF2">
      <w:pPr>
        <w:pStyle w:val="Bibliography"/>
        <w:rPr>
          <w:rFonts w:ascii="Times New Roman" w:hAnsi="Times New Roman"/>
        </w:rPr>
      </w:pPr>
      <w:r w:rsidRPr="00E43CF2">
        <w:rPr>
          <w:rFonts w:ascii="Times New Roman" w:hAnsi="Times New Roman"/>
        </w:rPr>
        <w:t>12.</w:t>
      </w:r>
      <w:r w:rsidRPr="00E43CF2">
        <w:rPr>
          <w:rFonts w:ascii="Times New Roman" w:hAnsi="Times New Roman"/>
        </w:rPr>
        <w:tab/>
        <w:t xml:space="preserve">Bakker, D., Kazantzis, N., Rickwood, D. &amp; Rickard, N. Mental Health Smartphone Apps: Review and Evidence-Based Recommendations for Future Developments. </w:t>
      </w:r>
      <w:r w:rsidRPr="00E43CF2">
        <w:rPr>
          <w:rFonts w:ascii="Times New Roman" w:hAnsi="Times New Roman"/>
          <w:i/>
          <w:iCs/>
        </w:rPr>
        <w:t>JMIR Ment. Health</w:t>
      </w:r>
      <w:r w:rsidRPr="00E43CF2">
        <w:rPr>
          <w:rFonts w:ascii="Times New Roman" w:hAnsi="Times New Roman"/>
        </w:rPr>
        <w:t xml:space="preserve"> </w:t>
      </w:r>
      <w:r w:rsidRPr="00E43CF2">
        <w:rPr>
          <w:rFonts w:ascii="Times New Roman" w:hAnsi="Times New Roman"/>
          <w:b/>
          <w:bCs/>
        </w:rPr>
        <w:t>3</w:t>
      </w:r>
      <w:r w:rsidRPr="00E43CF2">
        <w:rPr>
          <w:rFonts w:ascii="Times New Roman" w:hAnsi="Times New Roman"/>
        </w:rPr>
        <w:t>, e7 (2016).</w:t>
      </w:r>
    </w:p>
    <w:p w14:paraId="41839C43" w14:textId="77777777" w:rsidR="00E43CF2" w:rsidRPr="00E43CF2" w:rsidRDefault="00E43CF2" w:rsidP="00E43CF2">
      <w:pPr>
        <w:pStyle w:val="Bibliography"/>
        <w:rPr>
          <w:rFonts w:ascii="Times New Roman" w:hAnsi="Times New Roman"/>
        </w:rPr>
      </w:pPr>
      <w:r w:rsidRPr="00E43CF2">
        <w:rPr>
          <w:rFonts w:ascii="Times New Roman" w:hAnsi="Times New Roman"/>
        </w:rPr>
        <w:t>13.</w:t>
      </w:r>
      <w:r w:rsidRPr="00E43CF2">
        <w:rPr>
          <w:rFonts w:ascii="Times New Roman" w:hAnsi="Times New Roman"/>
        </w:rPr>
        <w:tab/>
        <w:t xml:space="preserve">Smoller, J. W. The use of electronic health records for psychiatric phenotyping and genomics. </w:t>
      </w:r>
      <w:r w:rsidRPr="00E43CF2">
        <w:rPr>
          <w:rFonts w:ascii="Times New Roman" w:hAnsi="Times New Roman"/>
          <w:i/>
          <w:iCs/>
        </w:rPr>
        <w:t>Am. J. Med. Genet. Part B Neuropsychiatr. Genet. Off. Publ. Int. Soc. Psychiatr. Genet.</w:t>
      </w:r>
      <w:r w:rsidRPr="00E43CF2">
        <w:rPr>
          <w:rFonts w:ascii="Times New Roman" w:hAnsi="Times New Roman"/>
        </w:rPr>
        <w:t xml:space="preserve"> </w:t>
      </w:r>
      <w:r w:rsidRPr="00E43CF2">
        <w:rPr>
          <w:rFonts w:ascii="Times New Roman" w:hAnsi="Times New Roman"/>
          <w:b/>
          <w:bCs/>
        </w:rPr>
        <w:t>177</w:t>
      </w:r>
      <w:r w:rsidRPr="00E43CF2">
        <w:rPr>
          <w:rFonts w:ascii="Times New Roman" w:hAnsi="Times New Roman"/>
        </w:rPr>
        <w:t>, 601–612 (2018).</w:t>
      </w:r>
    </w:p>
    <w:p w14:paraId="710E7E58" w14:textId="77777777" w:rsidR="00E43CF2" w:rsidRPr="00E43CF2" w:rsidRDefault="00E43CF2" w:rsidP="00E43CF2">
      <w:pPr>
        <w:pStyle w:val="Bibliography"/>
        <w:rPr>
          <w:rFonts w:ascii="Times New Roman" w:hAnsi="Times New Roman"/>
        </w:rPr>
      </w:pPr>
      <w:r w:rsidRPr="00E43CF2">
        <w:rPr>
          <w:rFonts w:ascii="Times New Roman" w:hAnsi="Times New Roman"/>
        </w:rPr>
        <w:t>14.</w:t>
      </w:r>
      <w:r w:rsidRPr="00E43CF2">
        <w:rPr>
          <w:rFonts w:ascii="Times New Roman" w:hAnsi="Times New Roman"/>
        </w:rPr>
        <w:tab/>
        <w:t xml:space="preserve">Huckvale, K., Venkatesh, S. &amp; Christensen, H. Toward clinical digital phenotyping: a timely opportunity to consider purpose, quality, and safety. </w:t>
      </w:r>
      <w:r w:rsidRPr="00E43CF2">
        <w:rPr>
          <w:rFonts w:ascii="Times New Roman" w:hAnsi="Times New Roman"/>
          <w:i/>
          <w:iCs/>
        </w:rPr>
        <w:t>Npj Digit. Med.</w:t>
      </w:r>
      <w:r w:rsidRPr="00E43CF2">
        <w:rPr>
          <w:rFonts w:ascii="Times New Roman" w:hAnsi="Times New Roman"/>
        </w:rPr>
        <w:t xml:space="preserve"> </w:t>
      </w:r>
      <w:r w:rsidRPr="00E43CF2">
        <w:rPr>
          <w:rFonts w:ascii="Times New Roman" w:hAnsi="Times New Roman"/>
          <w:b/>
          <w:bCs/>
        </w:rPr>
        <w:t>2</w:t>
      </w:r>
      <w:r w:rsidRPr="00E43CF2">
        <w:rPr>
          <w:rFonts w:ascii="Times New Roman" w:hAnsi="Times New Roman"/>
        </w:rPr>
        <w:t>, 1–11 (2019).</w:t>
      </w:r>
    </w:p>
    <w:p w14:paraId="5411FC2A" w14:textId="77777777" w:rsidR="00E43CF2" w:rsidRPr="00E43CF2" w:rsidRDefault="00E43CF2" w:rsidP="00E43CF2">
      <w:pPr>
        <w:pStyle w:val="Bibliography"/>
        <w:rPr>
          <w:rFonts w:ascii="Times New Roman" w:hAnsi="Times New Roman"/>
        </w:rPr>
      </w:pPr>
      <w:r w:rsidRPr="00E43CF2">
        <w:rPr>
          <w:rFonts w:ascii="Times New Roman" w:hAnsi="Times New Roman"/>
        </w:rPr>
        <w:t>15.</w:t>
      </w:r>
      <w:r w:rsidRPr="00E43CF2">
        <w:rPr>
          <w:rFonts w:ascii="Times New Roman" w:hAnsi="Times New Roman"/>
        </w:rPr>
        <w:tab/>
        <w:t xml:space="preserve">Califf, R. M. Biomarker definitions and their applications. </w:t>
      </w:r>
      <w:r w:rsidRPr="00E43CF2">
        <w:rPr>
          <w:rFonts w:ascii="Times New Roman" w:hAnsi="Times New Roman"/>
          <w:i/>
          <w:iCs/>
        </w:rPr>
        <w:t>Exp. Biol. Med.</w:t>
      </w:r>
      <w:r w:rsidRPr="00E43CF2">
        <w:rPr>
          <w:rFonts w:ascii="Times New Roman" w:hAnsi="Times New Roman"/>
        </w:rPr>
        <w:t xml:space="preserve"> </w:t>
      </w:r>
      <w:r w:rsidRPr="00E43CF2">
        <w:rPr>
          <w:rFonts w:ascii="Times New Roman" w:hAnsi="Times New Roman"/>
          <w:b/>
          <w:bCs/>
        </w:rPr>
        <w:t>243</w:t>
      </w:r>
      <w:r w:rsidRPr="00E43CF2">
        <w:rPr>
          <w:rFonts w:ascii="Times New Roman" w:hAnsi="Times New Roman"/>
        </w:rPr>
        <w:t>, 213–221 (2018).</w:t>
      </w:r>
    </w:p>
    <w:p w14:paraId="5103BD62" w14:textId="77777777" w:rsidR="00E43CF2" w:rsidRPr="00E43CF2" w:rsidRDefault="00E43CF2" w:rsidP="00E43CF2">
      <w:pPr>
        <w:pStyle w:val="Bibliography"/>
        <w:rPr>
          <w:rFonts w:ascii="Times New Roman" w:hAnsi="Times New Roman"/>
        </w:rPr>
      </w:pPr>
      <w:r w:rsidRPr="00E43CF2">
        <w:rPr>
          <w:rFonts w:ascii="Times New Roman" w:hAnsi="Times New Roman"/>
        </w:rPr>
        <w:t>16.</w:t>
      </w:r>
      <w:r w:rsidRPr="00E43CF2">
        <w:rPr>
          <w:rFonts w:ascii="Times New Roman" w:hAnsi="Times New Roman"/>
        </w:rPr>
        <w:tab/>
        <w:t xml:space="preserve">Dunn, J., Runge, R. &amp; Snyder, M. Wearables and the medical revolution. </w:t>
      </w:r>
      <w:r w:rsidRPr="00E43CF2">
        <w:rPr>
          <w:rFonts w:ascii="Times New Roman" w:hAnsi="Times New Roman"/>
          <w:i/>
          <w:iCs/>
        </w:rPr>
        <w:t>Pers. Med.</w:t>
      </w:r>
      <w:r w:rsidRPr="00E43CF2">
        <w:rPr>
          <w:rFonts w:ascii="Times New Roman" w:hAnsi="Times New Roman"/>
        </w:rPr>
        <w:t xml:space="preserve"> </w:t>
      </w:r>
      <w:r w:rsidRPr="00E43CF2">
        <w:rPr>
          <w:rFonts w:ascii="Times New Roman" w:hAnsi="Times New Roman"/>
          <w:b/>
          <w:bCs/>
        </w:rPr>
        <w:t>15</w:t>
      </w:r>
      <w:r w:rsidRPr="00E43CF2">
        <w:rPr>
          <w:rFonts w:ascii="Times New Roman" w:hAnsi="Times New Roman"/>
        </w:rPr>
        <w:t>, 429–448 (2018).</w:t>
      </w:r>
    </w:p>
    <w:p w14:paraId="1785488C" w14:textId="77777777" w:rsidR="00E43CF2" w:rsidRPr="00E43CF2" w:rsidRDefault="00E43CF2" w:rsidP="00E43CF2">
      <w:pPr>
        <w:pStyle w:val="Bibliography"/>
        <w:rPr>
          <w:rFonts w:ascii="Times New Roman" w:hAnsi="Times New Roman"/>
        </w:rPr>
      </w:pPr>
      <w:r w:rsidRPr="00E43CF2">
        <w:rPr>
          <w:rFonts w:ascii="Times New Roman" w:hAnsi="Times New Roman"/>
        </w:rPr>
        <w:t>17.</w:t>
      </w:r>
      <w:r w:rsidRPr="00E43CF2">
        <w:rPr>
          <w:rFonts w:ascii="Times New Roman" w:hAnsi="Times New Roman"/>
        </w:rPr>
        <w:tab/>
        <w:t xml:space="preserve">Torous, J. Digital psychiatry. </w:t>
      </w:r>
      <w:r w:rsidRPr="00E43CF2">
        <w:rPr>
          <w:rFonts w:ascii="Times New Roman" w:hAnsi="Times New Roman"/>
          <w:i/>
          <w:iCs/>
        </w:rPr>
        <w:t>IEEE Spectr.</w:t>
      </w:r>
      <w:r w:rsidRPr="00E43CF2">
        <w:rPr>
          <w:rFonts w:ascii="Times New Roman" w:hAnsi="Times New Roman"/>
        </w:rPr>
        <w:t xml:space="preserve"> </w:t>
      </w:r>
      <w:r w:rsidRPr="00E43CF2">
        <w:rPr>
          <w:rFonts w:ascii="Times New Roman" w:hAnsi="Times New Roman"/>
          <w:b/>
          <w:bCs/>
        </w:rPr>
        <w:t>54</w:t>
      </w:r>
      <w:r w:rsidRPr="00E43CF2">
        <w:rPr>
          <w:rFonts w:ascii="Times New Roman" w:hAnsi="Times New Roman"/>
        </w:rPr>
        <w:t>, 45–50 (2017).</w:t>
      </w:r>
    </w:p>
    <w:p w14:paraId="6F3CE492" w14:textId="77777777" w:rsidR="00E43CF2" w:rsidRPr="00E43CF2" w:rsidRDefault="00E43CF2" w:rsidP="00E43CF2">
      <w:pPr>
        <w:pStyle w:val="Bibliography"/>
        <w:rPr>
          <w:rFonts w:ascii="Times New Roman" w:hAnsi="Times New Roman"/>
        </w:rPr>
      </w:pPr>
      <w:r w:rsidRPr="00E43CF2">
        <w:rPr>
          <w:rFonts w:ascii="Times New Roman" w:hAnsi="Times New Roman"/>
        </w:rPr>
        <w:lastRenderedPageBreak/>
        <w:t>18.</w:t>
      </w:r>
      <w:r w:rsidRPr="00E43CF2">
        <w:rPr>
          <w:rFonts w:ascii="Times New Roman" w:hAnsi="Times New Roman"/>
        </w:rPr>
        <w:tab/>
        <w:t xml:space="preserve">Kotsiantis, S. B. Supervised Machine Learning: A Review of Classification Techniques. </w:t>
      </w:r>
      <w:r w:rsidRPr="00E43CF2">
        <w:rPr>
          <w:rFonts w:ascii="Times New Roman" w:hAnsi="Times New Roman"/>
          <w:i/>
          <w:iCs/>
        </w:rPr>
        <w:t>Informatica</w:t>
      </w:r>
      <w:r w:rsidRPr="00E43CF2">
        <w:rPr>
          <w:rFonts w:ascii="Times New Roman" w:hAnsi="Times New Roman"/>
        </w:rPr>
        <w:t xml:space="preserve"> </w:t>
      </w:r>
      <w:r w:rsidRPr="00E43CF2">
        <w:rPr>
          <w:rFonts w:ascii="Times New Roman" w:hAnsi="Times New Roman"/>
          <w:b/>
          <w:bCs/>
        </w:rPr>
        <w:t>31</w:t>
      </w:r>
      <w:r w:rsidRPr="00E43CF2">
        <w:rPr>
          <w:rFonts w:ascii="Times New Roman" w:hAnsi="Times New Roman"/>
        </w:rPr>
        <w:t>, (2007).</w:t>
      </w:r>
    </w:p>
    <w:p w14:paraId="0E199A58" w14:textId="77777777" w:rsidR="00E43CF2" w:rsidRPr="00E43CF2" w:rsidRDefault="00E43CF2" w:rsidP="00E43CF2">
      <w:pPr>
        <w:pStyle w:val="Bibliography"/>
        <w:rPr>
          <w:rFonts w:ascii="Times New Roman" w:hAnsi="Times New Roman"/>
        </w:rPr>
      </w:pPr>
      <w:r w:rsidRPr="00E43CF2">
        <w:rPr>
          <w:rFonts w:ascii="Times New Roman" w:hAnsi="Times New Roman"/>
        </w:rPr>
        <w:t>19.</w:t>
      </w:r>
      <w:r w:rsidRPr="00E43CF2">
        <w:rPr>
          <w:rFonts w:ascii="Times New Roman" w:hAnsi="Times New Roman"/>
        </w:rPr>
        <w:tab/>
        <w:t xml:space="preserve">Koutrouli, M., Karatzas, E., Paez-Espino, D. &amp; Pavlopoulos, G. A. A Guide to Conquer the Biological Network Era Using Graph Theory. </w:t>
      </w:r>
      <w:r w:rsidRPr="00E43CF2">
        <w:rPr>
          <w:rFonts w:ascii="Times New Roman" w:hAnsi="Times New Roman"/>
          <w:i/>
          <w:iCs/>
        </w:rPr>
        <w:t>Front. Bioeng. Biotechnol.</w:t>
      </w:r>
      <w:r w:rsidRPr="00E43CF2">
        <w:rPr>
          <w:rFonts w:ascii="Times New Roman" w:hAnsi="Times New Roman"/>
        </w:rPr>
        <w:t xml:space="preserve"> </w:t>
      </w:r>
      <w:r w:rsidRPr="00E43CF2">
        <w:rPr>
          <w:rFonts w:ascii="Times New Roman" w:hAnsi="Times New Roman"/>
          <w:b/>
          <w:bCs/>
        </w:rPr>
        <w:t>8</w:t>
      </w:r>
      <w:r w:rsidRPr="00E43CF2">
        <w:rPr>
          <w:rFonts w:ascii="Times New Roman" w:hAnsi="Times New Roman"/>
        </w:rPr>
        <w:t>, 34 (2020).</w:t>
      </w:r>
    </w:p>
    <w:p w14:paraId="0742EBA1" w14:textId="77777777" w:rsidR="00E43CF2" w:rsidRPr="00E43CF2" w:rsidRDefault="00E43CF2" w:rsidP="00E43CF2">
      <w:pPr>
        <w:pStyle w:val="Bibliography"/>
        <w:rPr>
          <w:rFonts w:ascii="Times New Roman" w:hAnsi="Times New Roman"/>
        </w:rPr>
      </w:pPr>
      <w:r w:rsidRPr="00E43CF2">
        <w:rPr>
          <w:rFonts w:ascii="Times New Roman" w:hAnsi="Times New Roman"/>
        </w:rPr>
        <w:t>20.</w:t>
      </w:r>
      <w:r w:rsidRPr="00E43CF2">
        <w:rPr>
          <w:rFonts w:ascii="Times New Roman" w:hAnsi="Times New Roman"/>
        </w:rPr>
        <w:tab/>
        <w:t>Cui, W. &amp; Qu, H. A Survey on Graph Visualization. (2008).</w:t>
      </w:r>
    </w:p>
    <w:p w14:paraId="2D5621CF" w14:textId="77777777" w:rsidR="00E43CF2" w:rsidRPr="00E43CF2" w:rsidRDefault="00E43CF2" w:rsidP="00E43CF2">
      <w:pPr>
        <w:pStyle w:val="Bibliography"/>
        <w:rPr>
          <w:rFonts w:ascii="Times New Roman" w:hAnsi="Times New Roman"/>
        </w:rPr>
      </w:pPr>
      <w:r w:rsidRPr="00E43CF2">
        <w:rPr>
          <w:rFonts w:ascii="Times New Roman" w:hAnsi="Times New Roman"/>
        </w:rPr>
        <w:t>21.</w:t>
      </w:r>
      <w:r w:rsidRPr="00E43CF2">
        <w:rPr>
          <w:rFonts w:ascii="Times New Roman" w:hAnsi="Times New Roman"/>
        </w:rPr>
        <w:tab/>
        <w:t xml:space="preserve">Chen, Y., Guan, Z., Zhang, R., Du, X. &amp; Wang, Y. A survey on visualization approaches for exploring association relationships in graph data. </w:t>
      </w:r>
      <w:r w:rsidRPr="00E43CF2">
        <w:rPr>
          <w:rFonts w:ascii="Times New Roman" w:hAnsi="Times New Roman"/>
          <w:i/>
          <w:iCs/>
        </w:rPr>
        <w:t>J. Vis.</w:t>
      </w:r>
      <w:r w:rsidRPr="00E43CF2">
        <w:rPr>
          <w:rFonts w:ascii="Times New Roman" w:hAnsi="Times New Roman"/>
        </w:rPr>
        <w:t xml:space="preserve"> </w:t>
      </w:r>
      <w:r w:rsidRPr="00E43CF2">
        <w:rPr>
          <w:rFonts w:ascii="Times New Roman" w:hAnsi="Times New Roman"/>
          <w:b/>
          <w:bCs/>
        </w:rPr>
        <w:t>22</w:t>
      </w:r>
      <w:r w:rsidRPr="00E43CF2">
        <w:rPr>
          <w:rFonts w:ascii="Times New Roman" w:hAnsi="Times New Roman"/>
        </w:rPr>
        <w:t>, 625–639 (2019).</w:t>
      </w:r>
    </w:p>
    <w:p w14:paraId="5C5BBD04" w14:textId="77777777" w:rsidR="00E43CF2" w:rsidRPr="00E43CF2" w:rsidRDefault="00E43CF2" w:rsidP="00E43CF2">
      <w:pPr>
        <w:pStyle w:val="Bibliography"/>
        <w:rPr>
          <w:rFonts w:ascii="Times New Roman" w:hAnsi="Times New Roman"/>
        </w:rPr>
      </w:pPr>
      <w:r w:rsidRPr="00E43CF2">
        <w:rPr>
          <w:rFonts w:ascii="Times New Roman" w:hAnsi="Times New Roman"/>
        </w:rPr>
        <w:t>22.</w:t>
      </w:r>
      <w:r w:rsidRPr="00E43CF2">
        <w:rPr>
          <w:rFonts w:ascii="Times New Roman" w:hAnsi="Times New Roman"/>
        </w:rPr>
        <w:tab/>
        <w:t xml:space="preserve">Landesberger, T. V. </w:t>
      </w:r>
      <w:r w:rsidRPr="00E43CF2">
        <w:rPr>
          <w:rFonts w:ascii="Times New Roman" w:hAnsi="Times New Roman"/>
          <w:i/>
          <w:iCs/>
        </w:rPr>
        <w:t>et al.</w:t>
      </w:r>
      <w:r w:rsidRPr="00E43CF2">
        <w:rPr>
          <w:rFonts w:ascii="Times New Roman" w:hAnsi="Times New Roman"/>
        </w:rPr>
        <w:t xml:space="preserve"> Visual Analysis of Large Graphs. in </w:t>
      </w:r>
      <w:r w:rsidRPr="00E43CF2">
        <w:rPr>
          <w:rFonts w:ascii="Times New Roman" w:hAnsi="Times New Roman"/>
          <w:i/>
          <w:iCs/>
        </w:rPr>
        <w:t>Eurographics</w:t>
      </w:r>
      <w:r w:rsidRPr="00E43CF2">
        <w:rPr>
          <w:rFonts w:ascii="Times New Roman" w:hAnsi="Times New Roman"/>
        </w:rPr>
        <w:t xml:space="preserve"> (2010). doi:10/gp3kvz.</w:t>
      </w:r>
    </w:p>
    <w:p w14:paraId="466F32D8" w14:textId="77777777" w:rsidR="00E43CF2" w:rsidRPr="00E43CF2" w:rsidRDefault="00E43CF2" w:rsidP="00E43CF2">
      <w:pPr>
        <w:pStyle w:val="Bibliography"/>
        <w:rPr>
          <w:rFonts w:ascii="Times New Roman" w:hAnsi="Times New Roman"/>
        </w:rPr>
      </w:pPr>
      <w:r w:rsidRPr="00E43CF2">
        <w:rPr>
          <w:rFonts w:ascii="Times New Roman" w:hAnsi="Times New Roman"/>
        </w:rPr>
        <w:t>23.</w:t>
      </w:r>
      <w:r w:rsidRPr="00E43CF2">
        <w:rPr>
          <w:rFonts w:ascii="Times New Roman" w:hAnsi="Times New Roman"/>
        </w:rPr>
        <w:tab/>
        <w:t xml:space="preserve">Pavlopoulos, G. A. </w:t>
      </w:r>
      <w:r w:rsidRPr="00E43CF2">
        <w:rPr>
          <w:rFonts w:ascii="Times New Roman" w:hAnsi="Times New Roman"/>
          <w:i/>
          <w:iCs/>
        </w:rPr>
        <w:t>et al.</w:t>
      </w:r>
      <w:r w:rsidRPr="00E43CF2">
        <w:rPr>
          <w:rFonts w:ascii="Times New Roman" w:hAnsi="Times New Roman"/>
        </w:rPr>
        <w:t xml:space="preserve"> Using graph theory to analyze biological networks. </w:t>
      </w:r>
      <w:r w:rsidRPr="00E43CF2">
        <w:rPr>
          <w:rFonts w:ascii="Times New Roman" w:hAnsi="Times New Roman"/>
          <w:i/>
          <w:iCs/>
        </w:rPr>
        <w:t>BioData Min.</w:t>
      </w:r>
      <w:r w:rsidRPr="00E43CF2">
        <w:rPr>
          <w:rFonts w:ascii="Times New Roman" w:hAnsi="Times New Roman"/>
        </w:rPr>
        <w:t xml:space="preserve"> </w:t>
      </w:r>
      <w:r w:rsidRPr="00E43CF2">
        <w:rPr>
          <w:rFonts w:ascii="Times New Roman" w:hAnsi="Times New Roman"/>
          <w:b/>
          <w:bCs/>
        </w:rPr>
        <w:t>4</w:t>
      </w:r>
      <w:r w:rsidRPr="00E43CF2">
        <w:rPr>
          <w:rFonts w:ascii="Times New Roman" w:hAnsi="Times New Roman"/>
        </w:rPr>
        <w:t>, 10 (2011).</w:t>
      </w:r>
    </w:p>
    <w:p w14:paraId="32FE73FE" w14:textId="77777777" w:rsidR="00E43CF2" w:rsidRPr="00E43CF2" w:rsidRDefault="00E43CF2" w:rsidP="00E43CF2">
      <w:pPr>
        <w:pStyle w:val="Bibliography"/>
        <w:rPr>
          <w:rFonts w:ascii="Times New Roman" w:hAnsi="Times New Roman"/>
        </w:rPr>
      </w:pPr>
      <w:r w:rsidRPr="00E43CF2">
        <w:rPr>
          <w:rFonts w:ascii="Times New Roman" w:hAnsi="Times New Roman"/>
        </w:rPr>
        <w:t>24.</w:t>
      </w:r>
      <w:r w:rsidRPr="00E43CF2">
        <w:rPr>
          <w:rFonts w:ascii="Times New Roman" w:hAnsi="Times New Roman"/>
        </w:rPr>
        <w:tab/>
        <w:t xml:space="preserve">Bruha, I. From machine learning to knowledge discovery: Survey of preprocessing and postprocessing. </w:t>
      </w:r>
      <w:r w:rsidRPr="00E43CF2">
        <w:rPr>
          <w:rFonts w:ascii="Times New Roman" w:hAnsi="Times New Roman"/>
          <w:i/>
          <w:iCs/>
        </w:rPr>
        <w:t>Intell. Data Anal.</w:t>
      </w:r>
      <w:r w:rsidRPr="00E43CF2">
        <w:rPr>
          <w:rFonts w:ascii="Times New Roman" w:hAnsi="Times New Roman"/>
        </w:rPr>
        <w:t xml:space="preserve"> </w:t>
      </w:r>
      <w:r w:rsidRPr="00E43CF2">
        <w:rPr>
          <w:rFonts w:ascii="Times New Roman" w:hAnsi="Times New Roman"/>
          <w:b/>
          <w:bCs/>
        </w:rPr>
        <w:t>4</w:t>
      </w:r>
      <w:r w:rsidRPr="00E43CF2">
        <w:rPr>
          <w:rFonts w:ascii="Times New Roman" w:hAnsi="Times New Roman"/>
        </w:rPr>
        <w:t>, 363–374 (2000).</w:t>
      </w:r>
    </w:p>
    <w:p w14:paraId="66B4A3D9" w14:textId="77777777" w:rsidR="00E43CF2" w:rsidRPr="00E43CF2" w:rsidRDefault="00E43CF2" w:rsidP="00E43CF2">
      <w:pPr>
        <w:pStyle w:val="Bibliography"/>
        <w:rPr>
          <w:rFonts w:ascii="Times New Roman" w:hAnsi="Times New Roman"/>
        </w:rPr>
      </w:pPr>
      <w:r w:rsidRPr="00E43CF2">
        <w:rPr>
          <w:rFonts w:ascii="Times New Roman" w:hAnsi="Times New Roman"/>
        </w:rPr>
        <w:t>25.</w:t>
      </w:r>
      <w:r w:rsidRPr="00E43CF2">
        <w:rPr>
          <w:rFonts w:ascii="Times New Roman" w:hAnsi="Times New Roman"/>
        </w:rPr>
        <w:tab/>
        <w:t xml:space="preserve">Rao, S., Poojary, P., Somaiya, J. &amp; Mahajan, P. A Comparative Study Between Various Preprocessing Techniques for Machine Learning. </w:t>
      </w:r>
      <w:r w:rsidRPr="00E43CF2">
        <w:rPr>
          <w:rFonts w:ascii="Times New Roman" w:hAnsi="Times New Roman"/>
          <w:i/>
          <w:iCs/>
        </w:rPr>
        <w:t>Int. J. Eng. Appl. Sci. Technol.</w:t>
      </w:r>
      <w:r w:rsidRPr="00E43CF2">
        <w:rPr>
          <w:rFonts w:ascii="Times New Roman" w:hAnsi="Times New Roman"/>
        </w:rPr>
        <w:t xml:space="preserve"> </w:t>
      </w:r>
      <w:r w:rsidRPr="00E43CF2">
        <w:rPr>
          <w:rFonts w:ascii="Times New Roman" w:hAnsi="Times New Roman"/>
          <w:b/>
          <w:bCs/>
        </w:rPr>
        <w:t>5</w:t>
      </w:r>
      <w:r w:rsidRPr="00E43CF2">
        <w:rPr>
          <w:rFonts w:ascii="Times New Roman" w:hAnsi="Times New Roman"/>
        </w:rPr>
        <w:t>, 431–438 (2020).</w:t>
      </w:r>
    </w:p>
    <w:p w14:paraId="3AFEAE19" w14:textId="77777777" w:rsidR="00E43CF2" w:rsidRPr="00E43CF2" w:rsidRDefault="00E43CF2" w:rsidP="00E43CF2">
      <w:pPr>
        <w:pStyle w:val="Bibliography"/>
        <w:rPr>
          <w:rFonts w:ascii="Times New Roman" w:hAnsi="Times New Roman"/>
        </w:rPr>
      </w:pPr>
      <w:r w:rsidRPr="00E43CF2">
        <w:rPr>
          <w:rFonts w:ascii="Times New Roman" w:hAnsi="Times New Roman"/>
        </w:rPr>
        <w:t>26.</w:t>
      </w:r>
      <w:r w:rsidRPr="00E43CF2">
        <w:rPr>
          <w:rFonts w:ascii="Times New Roman" w:hAnsi="Times New Roman"/>
        </w:rPr>
        <w:tab/>
        <w:t xml:space="preserve">Famili, A., Shen, W.-M., Weber, R. &amp; Simoudis, E. Data Preprocessing and Intelligent Data Analysis. </w:t>
      </w:r>
      <w:r w:rsidRPr="00E43CF2">
        <w:rPr>
          <w:rFonts w:ascii="Times New Roman" w:hAnsi="Times New Roman"/>
          <w:i/>
          <w:iCs/>
        </w:rPr>
        <w:t>Intell. Data Anal.</w:t>
      </w:r>
      <w:r w:rsidRPr="00E43CF2">
        <w:rPr>
          <w:rFonts w:ascii="Times New Roman" w:hAnsi="Times New Roman"/>
        </w:rPr>
        <w:t xml:space="preserve"> </w:t>
      </w:r>
      <w:r w:rsidRPr="00E43CF2">
        <w:rPr>
          <w:rFonts w:ascii="Times New Roman" w:hAnsi="Times New Roman"/>
          <w:b/>
          <w:bCs/>
        </w:rPr>
        <w:t>1</w:t>
      </w:r>
      <w:r w:rsidRPr="00E43CF2">
        <w:rPr>
          <w:rFonts w:ascii="Times New Roman" w:hAnsi="Times New Roman"/>
        </w:rPr>
        <w:t>, 3–23 (1997).</w:t>
      </w:r>
    </w:p>
    <w:p w14:paraId="5769CEFF" w14:textId="77777777" w:rsidR="00E43CF2" w:rsidRPr="00E43CF2" w:rsidRDefault="00E43CF2" w:rsidP="00E43CF2">
      <w:pPr>
        <w:pStyle w:val="Bibliography"/>
        <w:rPr>
          <w:rFonts w:ascii="Times New Roman" w:hAnsi="Times New Roman"/>
        </w:rPr>
      </w:pPr>
      <w:r w:rsidRPr="00E43CF2">
        <w:rPr>
          <w:rFonts w:ascii="Times New Roman" w:hAnsi="Times New Roman"/>
        </w:rPr>
        <w:t>27.</w:t>
      </w:r>
      <w:r w:rsidRPr="00E43CF2">
        <w:rPr>
          <w:rFonts w:ascii="Times New Roman" w:hAnsi="Times New Roman"/>
        </w:rPr>
        <w:tab/>
        <w:t xml:space="preserve">Kohane Is </w:t>
      </w:r>
      <w:r w:rsidRPr="00E43CF2">
        <w:rPr>
          <w:rFonts w:ascii="Times New Roman" w:hAnsi="Times New Roman"/>
          <w:i/>
          <w:iCs/>
        </w:rPr>
        <w:t>et al.</w:t>
      </w:r>
      <w:r w:rsidRPr="00E43CF2">
        <w:rPr>
          <w:rFonts w:ascii="Times New Roman" w:hAnsi="Times New Roman"/>
        </w:rPr>
        <w:t xml:space="preserve"> What Every Reader Should Know About Studies Using Electronic Health Record Data but May Be Afraid to Ask. </w:t>
      </w:r>
      <w:r w:rsidRPr="00E43CF2">
        <w:rPr>
          <w:rFonts w:ascii="Times New Roman" w:hAnsi="Times New Roman"/>
          <w:i/>
          <w:iCs/>
        </w:rPr>
        <w:t>J. Med. Internet Res.</w:t>
      </w:r>
      <w:r w:rsidRPr="00E43CF2">
        <w:rPr>
          <w:rFonts w:ascii="Times New Roman" w:hAnsi="Times New Roman"/>
        </w:rPr>
        <w:t xml:space="preserve"> </w:t>
      </w:r>
      <w:r w:rsidRPr="00E43CF2">
        <w:rPr>
          <w:rFonts w:ascii="Times New Roman" w:hAnsi="Times New Roman"/>
          <w:b/>
          <w:bCs/>
        </w:rPr>
        <w:t>23</w:t>
      </w:r>
      <w:r w:rsidRPr="00E43CF2">
        <w:rPr>
          <w:rFonts w:ascii="Times New Roman" w:hAnsi="Times New Roman"/>
        </w:rPr>
        <w:t>, (2021).</w:t>
      </w:r>
    </w:p>
    <w:p w14:paraId="1136E548" w14:textId="77777777" w:rsidR="00E43CF2" w:rsidRPr="00E43CF2" w:rsidRDefault="00E43CF2" w:rsidP="00E43CF2">
      <w:pPr>
        <w:pStyle w:val="Bibliography"/>
        <w:rPr>
          <w:rFonts w:ascii="Times New Roman" w:hAnsi="Times New Roman"/>
        </w:rPr>
      </w:pPr>
      <w:r w:rsidRPr="00E43CF2">
        <w:rPr>
          <w:rFonts w:ascii="Times New Roman" w:hAnsi="Times New Roman"/>
        </w:rPr>
        <w:t>28.</w:t>
      </w:r>
      <w:r w:rsidRPr="00E43CF2">
        <w:rPr>
          <w:rFonts w:ascii="Times New Roman" w:hAnsi="Times New Roman"/>
        </w:rPr>
        <w:tab/>
        <w:t xml:space="preserve">Salgado, C. M., Azevedo, C., Proença, H. &amp; Vieira, S. M. Noise Versus Outliers. in </w:t>
      </w:r>
      <w:r w:rsidRPr="00E43CF2">
        <w:rPr>
          <w:rFonts w:ascii="Times New Roman" w:hAnsi="Times New Roman"/>
          <w:i/>
          <w:iCs/>
        </w:rPr>
        <w:t>Secondary Analysis of Electronic Health Records</w:t>
      </w:r>
      <w:r w:rsidRPr="00E43CF2">
        <w:rPr>
          <w:rFonts w:ascii="Times New Roman" w:hAnsi="Times New Roman"/>
        </w:rPr>
        <w:t xml:space="preserve"> (ed. MIT Critical Data) 163–183 (Springer International Publishing, 2016). doi:10.1007/978-3-319-43742-2_14.</w:t>
      </w:r>
    </w:p>
    <w:p w14:paraId="0206AA11" w14:textId="77777777" w:rsidR="00E43CF2" w:rsidRPr="00E43CF2" w:rsidRDefault="00E43CF2" w:rsidP="00E43CF2">
      <w:pPr>
        <w:pStyle w:val="Bibliography"/>
        <w:rPr>
          <w:rFonts w:ascii="Times New Roman" w:hAnsi="Times New Roman"/>
        </w:rPr>
      </w:pPr>
      <w:r w:rsidRPr="00E43CF2">
        <w:rPr>
          <w:rFonts w:ascii="Times New Roman" w:hAnsi="Times New Roman"/>
        </w:rPr>
        <w:lastRenderedPageBreak/>
        <w:t>29.</w:t>
      </w:r>
      <w:r w:rsidRPr="00E43CF2">
        <w:rPr>
          <w:rFonts w:ascii="Times New Roman" w:hAnsi="Times New Roman"/>
        </w:rPr>
        <w:tab/>
        <w:t xml:space="preserve">Berisha, V. </w:t>
      </w:r>
      <w:r w:rsidRPr="00E43CF2">
        <w:rPr>
          <w:rFonts w:ascii="Times New Roman" w:hAnsi="Times New Roman"/>
          <w:i/>
          <w:iCs/>
        </w:rPr>
        <w:t>et al.</w:t>
      </w:r>
      <w:r w:rsidRPr="00E43CF2">
        <w:rPr>
          <w:rFonts w:ascii="Times New Roman" w:hAnsi="Times New Roman"/>
        </w:rPr>
        <w:t xml:space="preserve"> Digital medicine and the curse of dimensionality. </w:t>
      </w:r>
      <w:r w:rsidRPr="00E43CF2">
        <w:rPr>
          <w:rFonts w:ascii="Times New Roman" w:hAnsi="Times New Roman"/>
          <w:i/>
          <w:iCs/>
        </w:rPr>
        <w:t>Npj Digit. Med.</w:t>
      </w:r>
      <w:r w:rsidRPr="00E43CF2">
        <w:rPr>
          <w:rFonts w:ascii="Times New Roman" w:hAnsi="Times New Roman"/>
        </w:rPr>
        <w:t xml:space="preserve"> </w:t>
      </w:r>
      <w:r w:rsidRPr="00E43CF2">
        <w:rPr>
          <w:rFonts w:ascii="Times New Roman" w:hAnsi="Times New Roman"/>
          <w:b/>
          <w:bCs/>
        </w:rPr>
        <w:t>4</w:t>
      </w:r>
      <w:r w:rsidRPr="00E43CF2">
        <w:rPr>
          <w:rFonts w:ascii="Times New Roman" w:hAnsi="Times New Roman"/>
        </w:rPr>
        <w:t>, 1–8 (2021).</w:t>
      </w:r>
    </w:p>
    <w:p w14:paraId="54B6F669" w14:textId="77777777" w:rsidR="00E43CF2" w:rsidRPr="00E43CF2" w:rsidRDefault="00E43CF2" w:rsidP="00E43CF2">
      <w:pPr>
        <w:pStyle w:val="Bibliography"/>
        <w:rPr>
          <w:rFonts w:ascii="Times New Roman" w:hAnsi="Times New Roman"/>
        </w:rPr>
      </w:pPr>
      <w:r w:rsidRPr="00E43CF2">
        <w:rPr>
          <w:rFonts w:ascii="Times New Roman" w:hAnsi="Times New Roman"/>
        </w:rPr>
        <w:t>30.</w:t>
      </w:r>
      <w:r w:rsidRPr="00E43CF2">
        <w:rPr>
          <w:rFonts w:ascii="Times New Roman" w:hAnsi="Times New Roman"/>
        </w:rPr>
        <w:tab/>
        <w:t xml:space="preserve">Zhu, X. &amp; Goldberg, A. B. Introduction to Semi-Supervised Learning. </w:t>
      </w:r>
      <w:r w:rsidRPr="00E43CF2">
        <w:rPr>
          <w:rFonts w:ascii="Times New Roman" w:hAnsi="Times New Roman"/>
          <w:i/>
          <w:iCs/>
        </w:rPr>
        <w:t>Synth. Lect. Artif. Intell. Mach. Learn.</w:t>
      </w:r>
      <w:r w:rsidRPr="00E43CF2">
        <w:rPr>
          <w:rFonts w:ascii="Times New Roman" w:hAnsi="Times New Roman"/>
        </w:rPr>
        <w:t xml:space="preserve"> </w:t>
      </w:r>
      <w:r w:rsidRPr="00E43CF2">
        <w:rPr>
          <w:rFonts w:ascii="Times New Roman" w:hAnsi="Times New Roman"/>
          <w:b/>
          <w:bCs/>
        </w:rPr>
        <w:t>3</w:t>
      </w:r>
      <w:r w:rsidRPr="00E43CF2">
        <w:rPr>
          <w:rFonts w:ascii="Times New Roman" w:hAnsi="Times New Roman"/>
        </w:rPr>
        <w:t>, 1–130 (2009).</w:t>
      </w:r>
    </w:p>
    <w:p w14:paraId="0A1808BF" w14:textId="77777777" w:rsidR="00E43CF2" w:rsidRPr="00E43CF2" w:rsidRDefault="00E43CF2" w:rsidP="00E43CF2">
      <w:pPr>
        <w:pStyle w:val="Bibliography"/>
        <w:rPr>
          <w:rFonts w:ascii="Times New Roman" w:hAnsi="Times New Roman"/>
        </w:rPr>
      </w:pPr>
      <w:r w:rsidRPr="00E43CF2">
        <w:rPr>
          <w:rFonts w:ascii="Times New Roman" w:hAnsi="Times New Roman"/>
        </w:rPr>
        <w:t>31.</w:t>
      </w:r>
      <w:r w:rsidRPr="00E43CF2">
        <w:rPr>
          <w:rFonts w:ascii="Times New Roman" w:hAnsi="Times New Roman"/>
        </w:rPr>
        <w:tab/>
        <w:t xml:space="preserve">Szepesvári, C. Algorithms for Reinforcement Learning. </w:t>
      </w:r>
      <w:r w:rsidRPr="00E43CF2">
        <w:rPr>
          <w:rFonts w:ascii="Times New Roman" w:hAnsi="Times New Roman"/>
          <w:i/>
          <w:iCs/>
        </w:rPr>
        <w:t>Synth. Lect. Artif. Intell. Mach. Learn.</w:t>
      </w:r>
      <w:r w:rsidRPr="00E43CF2">
        <w:rPr>
          <w:rFonts w:ascii="Times New Roman" w:hAnsi="Times New Roman"/>
        </w:rPr>
        <w:t xml:space="preserve"> </w:t>
      </w:r>
      <w:r w:rsidRPr="00E43CF2">
        <w:rPr>
          <w:rFonts w:ascii="Times New Roman" w:hAnsi="Times New Roman"/>
          <w:b/>
          <w:bCs/>
        </w:rPr>
        <w:t>4</w:t>
      </w:r>
      <w:r w:rsidRPr="00E43CF2">
        <w:rPr>
          <w:rFonts w:ascii="Times New Roman" w:hAnsi="Times New Roman"/>
        </w:rPr>
        <w:t>, 1–103 (2010).</w:t>
      </w:r>
    </w:p>
    <w:p w14:paraId="57142F66" w14:textId="77777777" w:rsidR="00E43CF2" w:rsidRPr="00E43CF2" w:rsidRDefault="00E43CF2" w:rsidP="00E43CF2">
      <w:pPr>
        <w:pStyle w:val="Bibliography"/>
        <w:rPr>
          <w:rFonts w:ascii="Times New Roman" w:hAnsi="Times New Roman"/>
        </w:rPr>
      </w:pPr>
      <w:r w:rsidRPr="00E43CF2">
        <w:rPr>
          <w:rFonts w:ascii="Times New Roman" w:hAnsi="Times New Roman"/>
        </w:rPr>
        <w:t>32.</w:t>
      </w:r>
      <w:r w:rsidRPr="00E43CF2">
        <w:rPr>
          <w:rFonts w:ascii="Times New Roman" w:hAnsi="Times New Roman"/>
        </w:rPr>
        <w:tab/>
        <w:t xml:space="preserve">Vapnik, V. Principles of Risk Minimization for Learning Theory. in </w:t>
      </w:r>
      <w:r w:rsidRPr="00E43CF2">
        <w:rPr>
          <w:rFonts w:ascii="Times New Roman" w:hAnsi="Times New Roman"/>
          <w:i/>
          <w:iCs/>
        </w:rPr>
        <w:t>Advances in Neural Information Processing Systems</w:t>
      </w:r>
      <w:r w:rsidRPr="00E43CF2">
        <w:rPr>
          <w:rFonts w:ascii="Times New Roman" w:hAnsi="Times New Roman"/>
        </w:rPr>
        <w:t xml:space="preserve"> vol. 4 (Morgan-Kaufmann, 1991).</w:t>
      </w:r>
    </w:p>
    <w:p w14:paraId="3C6B35BF" w14:textId="77777777" w:rsidR="00E43CF2" w:rsidRPr="00E43CF2" w:rsidRDefault="00E43CF2" w:rsidP="00E43CF2">
      <w:pPr>
        <w:pStyle w:val="Bibliography"/>
        <w:rPr>
          <w:rFonts w:ascii="Times New Roman" w:hAnsi="Times New Roman"/>
        </w:rPr>
      </w:pPr>
      <w:r w:rsidRPr="00E43CF2">
        <w:rPr>
          <w:rFonts w:ascii="Times New Roman" w:hAnsi="Times New Roman"/>
        </w:rPr>
        <w:t>33.</w:t>
      </w:r>
      <w:r w:rsidRPr="00E43CF2">
        <w:rPr>
          <w:rFonts w:ascii="Times New Roman" w:hAnsi="Times New Roman"/>
        </w:rPr>
        <w:tab/>
        <w:t xml:space="preserve">Wolpert, D. H. &amp; Macready, W. G. No free lunch theorems for optimization. </w:t>
      </w:r>
      <w:r w:rsidRPr="00E43CF2">
        <w:rPr>
          <w:rFonts w:ascii="Times New Roman" w:hAnsi="Times New Roman"/>
          <w:i/>
          <w:iCs/>
        </w:rPr>
        <w:t>IEEE Trans. Evol. Comput.</w:t>
      </w:r>
      <w:r w:rsidRPr="00E43CF2">
        <w:rPr>
          <w:rFonts w:ascii="Times New Roman" w:hAnsi="Times New Roman"/>
        </w:rPr>
        <w:t xml:space="preserve"> </w:t>
      </w:r>
      <w:r w:rsidRPr="00E43CF2">
        <w:rPr>
          <w:rFonts w:ascii="Times New Roman" w:hAnsi="Times New Roman"/>
          <w:b/>
          <w:bCs/>
        </w:rPr>
        <w:t>1</w:t>
      </w:r>
      <w:r w:rsidRPr="00E43CF2">
        <w:rPr>
          <w:rFonts w:ascii="Times New Roman" w:hAnsi="Times New Roman"/>
        </w:rPr>
        <w:t>, 67–82 (1997).</w:t>
      </w:r>
    </w:p>
    <w:p w14:paraId="77F9A41E" w14:textId="77777777" w:rsidR="00E43CF2" w:rsidRPr="00E43CF2" w:rsidRDefault="00E43CF2" w:rsidP="00E43CF2">
      <w:pPr>
        <w:pStyle w:val="Bibliography"/>
        <w:rPr>
          <w:rFonts w:ascii="Times New Roman" w:hAnsi="Times New Roman"/>
        </w:rPr>
      </w:pPr>
      <w:r w:rsidRPr="00E43CF2">
        <w:rPr>
          <w:rFonts w:ascii="Times New Roman" w:hAnsi="Times New Roman"/>
        </w:rPr>
        <w:t>34.</w:t>
      </w:r>
      <w:r w:rsidRPr="00E43CF2">
        <w:rPr>
          <w:rFonts w:ascii="Times New Roman" w:hAnsi="Times New Roman"/>
        </w:rPr>
        <w:tab/>
        <w:t xml:space="preserve">Bickel, P. J. </w:t>
      </w:r>
      <w:r w:rsidRPr="00E43CF2">
        <w:rPr>
          <w:rFonts w:ascii="Times New Roman" w:hAnsi="Times New Roman"/>
          <w:i/>
          <w:iCs/>
        </w:rPr>
        <w:t>et al.</w:t>
      </w:r>
      <w:r w:rsidRPr="00E43CF2">
        <w:rPr>
          <w:rFonts w:ascii="Times New Roman" w:hAnsi="Times New Roman"/>
        </w:rPr>
        <w:t xml:space="preserve"> Regularization in statistics. </w:t>
      </w:r>
      <w:r w:rsidRPr="00E43CF2">
        <w:rPr>
          <w:rFonts w:ascii="Times New Roman" w:hAnsi="Times New Roman"/>
          <w:i/>
          <w:iCs/>
        </w:rPr>
        <w:t>Test</w:t>
      </w:r>
      <w:r w:rsidRPr="00E43CF2">
        <w:rPr>
          <w:rFonts w:ascii="Times New Roman" w:hAnsi="Times New Roman"/>
        </w:rPr>
        <w:t xml:space="preserve"> </w:t>
      </w:r>
      <w:r w:rsidRPr="00E43CF2">
        <w:rPr>
          <w:rFonts w:ascii="Times New Roman" w:hAnsi="Times New Roman"/>
          <w:b/>
          <w:bCs/>
        </w:rPr>
        <w:t>15</w:t>
      </w:r>
      <w:r w:rsidRPr="00E43CF2">
        <w:rPr>
          <w:rFonts w:ascii="Times New Roman" w:hAnsi="Times New Roman"/>
        </w:rPr>
        <w:t>, 271–344 (2006).</w:t>
      </w:r>
    </w:p>
    <w:p w14:paraId="3F1A1AE5" w14:textId="77777777" w:rsidR="00E43CF2" w:rsidRPr="00E43CF2" w:rsidRDefault="00E43CF2" w:rsidP="00E43CF2">
      <w:pPr>
        <w:pStyle w:val="Bibliography"/>
        <w:rPr>
          <w:rFonts w:ascii="Times New Roman" w:hAnsi="Times New Roman"/>
        </w:rPr>
      </w:pPr>
      <w:r w:rsidRPr="00E43CF2">
        <w:rPr>
          <w:rFonts w:ascii="Times New Roman" w:hAnsi="Times New Roman"/>
        </w:rPr>
        <w:t>35.</w:t>
      </w:r>
      <w:r w:rsidRPr="00E43CF2">
        <w:rPr>
          <w:rFonts w:ascii="Times New Roman" w:hAnsi="Times New Roman"/>
        </w:rPr>
        <w:tab/>
        <w:t xml:space="preserve">Zou, H. &amp; Hastie, T. Regularization and variable selection via the elastic net. </w:t>
      </w:r>
      <w:r w:rsidRPr="00E43CF2">
        <w:rPr>
          <w:rFonts w:ascii="Times New Roman" w:hAnsi="Times New Roman"/>
          <w:i/>
          <w:iCs/>
        </w:rPr>
        <w:t>J. R. Stat. Soc. Ser. B Stat. Methodol.</w:t>
      </w:r>
      <w:r w:rsidRPr="00E43CF2">
        <w:rPr>
          <w:rFonts w:ascii="Times New Roman" w:hAnsi="Times New Roman"/>
        </w:rPr>
        <w:t xml:space="preserve"> </w:t>
      </w:r>
      <w:r w:rsidRPr="00E43CF2">
        <w:rPr>
          <w:rFonts w:ascii="Times New Roman" w:hAnsi="Times New Roman"/>
          <w:b/>
          <w:bCs/>
        </w:rPr>
        <w:t>67</w:t>
      </w:r>
      <w:r w:rsidRPr="00E43CF2">
        <w:rPr>
          <w:rFonts w:ascii="Times New Roman" w:hAnsi="Times New Roman"/>
        </w:rPr>
        <w:t>, 301–320 (2005).</w:t>
      </w:r>
    </w:p>
    <w:p w14:paraId="678690BD" w14:textId="77777777" w:rsidR="00E43CF2" w:rsidRPr="00E43CF2" w:rsidRDefault="00E43CF2" w:rsidP="00E43CF2">
      <w:pPr>
        <w:pStyle w:val="Bibliography"/>
        <w:rPr>
          <w:rFonts w:ascii="Times New Roman" w:hAnsi="Times New Roman"/>
        </w:rPr>
      </w:pPr>
      <w:r w:rsidRPr="00E43CF2">
        <w:rPr>
          <w:rFonts w:ascii="Times New Roman" w:hAnsi="Times New Roman"/>
        </w:rPr>
        <w:t>36.</w:t>
      </w:r>
      <w:r w:rsidRPr="00E43CF2">
        <w:rPr>
          <w:rFonts w:ascii="Times New Roman" w:hAnsi="Times New Roman"/>
        </w:rPr>
        <w:tab/>
        <w:t xml:space="preserve">Brunner, C., Fischer, A., Luig, K. &amp; Thies, T. Pairwise Support Vector Machines and their Application to Large Scale Problems. </w:t>
      </w:r>
      <w:r w:rsidRPr="00E43CF2">
        <w:rPr>
          <w:rFonts w:ascii="Times New Roman" w:hAnsi="Times New Roman"/>
          <w:i/>
          <w:iCs/>
        </w:rPr>
        <w:t>J. Mach. Learn. Res.</w:t>
      </w:r>
      <w:r w:rsidRPr="00E43CF2">
        <w:rPr>
          <w:rFonts w:ascii="Times New Roman" w:hAnsi="Times New Roman"/>
        </w:rPr>
        <w:t xml:space="preserve"> </w:t>
      </w:r>
      <w:r w:rsidRPr="00E43CF2">
        <w:rPr>
          <w:rFonts w:ascii="Times New Roman" w:hAnsi="Times New Roman"/>
          <w:b/>
          <w:bCs/>
        </w:rPr>
        <w:t>13</w:t>
      </w:r>
      <w:r w:rsidRPr="00E43CF2">
        <w:rPr>
          <w:rFonts w:ascii="Times New Roman" w:hAnsi="Times New Roman"/>
        </w:rPr>
        <w:t>, 2279–2292 (2012).</w:t>
      </w:r>
    </w:p>
    <w:p w14:paraId="29681100" w14:textId="2C50EA16" w:rsidR="007A18D6" w:rsidRPr="007A18D6" w:rsidRDefault="007A18D6" w:rsidP="007A18D6">
      <w:r>
        <w:fldChar w:fldCharType="end"/>
      </w:r>
    </w:p>
    <w:sectPr w:rsidR="007A18D6" w:rsidRPr="007A18D6">
      <w:footnotePr>
        <w:numFmt w:val="chicago"/>
        <w:numRestart w:val="eachSec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8042D" w14:textId="77777777" w:rsidR="003F0DBA" w:rsidRDefault="003F0DBA" w:rsidP="007A18D6">
      <w:pPr>
        <w:spacing w:after="0" w:line="240" w:lineRule="auto"/>
      </w:pPr>
      <w:r>
        <w:separator/>
      </w:r>
    </w:p>
  </w:endnote>
  <w:endnote w:type="continuationSeparator" w:id="0">
    <w:p w14:paraId="0DFF1694" w14:textId="77777777" w:rsidR="003F0DBA" w:rsidRDefault="003F0DBA" w:rsidP="007A1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AE931" w14:textId="77777777" w:rsidR="003F0DBA" w:rsidRDefault="003F0DBA" w:rsidP="007A18D6">
      <w:pPr>
        <w:spacing w:after="0" w:line="240" w:lineRule="auto"/>
      </w:pPr>
      <w:r>
        <w:separator/>
      </w:r>
    </w:p>
  </w:footnote>
  <w:footnote w:type="continuationSeparator" w:id="0">
    <w:p w14:paraId="1D517E78" w14:textId="77777777" w:rsidR="003F0DBA" w:rsidRDefault="003F0DBA" w:rsidP="007A18D6">
      <w:pPr>
        <w:spacing w:after="0" w:line="240" w:lineRule="auto"/>
      </w:pPr>
      <w:r>
        <w:continuationSeparator/>
      </w:r>
    </w:p>
  </w:footnote>
  <w:footnote w:id="1">
    <w:p w14:paraId="0FC4C1FC" w14:textId="77777777" w:rsidR="00DD1A00" w:rsidRDefault="00DD1A00" w:rsidP="00DD1A00">
      <w:r>
        <w:footnoteRef/>
      </w:r>
      <w:r>
        <w:t xml:space="preserve"> A good example of such model is a </w:t>
      </w:r>
      <w:r w:rsidRPr="00E27653">
        <w:t xml:space="preserve">Generative </w:t>
      </w:r>
      <w:r>
        <w:t>A</w:t>
      </w:r>
      <w:r w:rsidRPr="00E27653">
        <w:t xml:space="preserve">dversarial </w:t>
      </w:r>
      <w:r>
        <w:t>N</w:t>
      </w:r>
      <w:r w:rsidRPr="00E27653">
        <w:t>etwork</w:t>
      </w:r>
      <w:r>
        <w:t xml:space="preserve"> (GAN), which is widely used for automated image generation.</w:t>
      </w:r>
    </w:p>
  </w:footnote>
  <w:footnote w:id="2">
    <w:p w14:paraId="04F4610F" w14:textId="77777777" w:rsidR="008257EA" w:rsidRDefault="008257EA" w:rsidP="008257EA">
      <w:r>
        <w:footnoteRef/>
      </w:r>
      <w:r>
        <w:t xml:space="preserve"> It might be sensible to use such coding scheme when such order does exist, for example in a </w:t>
      </w:r>
      <w:r w:rsidRPr="002B3A6C">
        <w:t>Likert scale</w:t>
      </w:r>
      <w:r>
        <w:t>.</w:t>
      </w:r>
    </w:p>
  </w:footnote>
  <w:footnote w:id="3">
    <w:p w14:paraId="2E3C298F" w14:textId="4C988D0E" w:rsidR="008257EA" w:rsidRDefault="008257EA" w:rsidP="008257EA">
      <w:pPr>
        <w:pStyle w:val="NormalWeb"/>
      </w:pPr>
      <w:r>
        <w:footnoteRef/>
      </w:r>
      <w:r>
        <w:t xml:space="preserve"> While most sources take dummy coding and one-hot encoding as synonym, some treat them as different.</w:t>
      </w:r>
    </w:p>
  </w:footnote>
  <w:footnote w:id="4">
    <w:p w14:paraId="4C882FE8" w14:textId="77777777" w:rsidR="002A2D2F" w:rsidRDefault="002A2D2F" w:rsidP="002A2D2F">
      <w:pPr>
        <w:pStyle w:val="FootnoteText"/>
      </w:pPr>
      <w:r>
        <w:rPr>
          <w:rStyle w:val="FootnoteReference"/>
        </w:rPr>
        <w:footnoteRef/>
      </w:r>
      <w:r>
        <w:t xml:space="preserve"> Considering the elements as real numbers is a simplification, as feature vector dimensions can be any object such as matrices, etc.</w:t>
      </w:r>
    </w:p>
  </w:footnote>
  <w:footnote w:id="5">
    <w:p w14:paraId="1FA2C641" w14:textId="77777777" w:rsidR="002A2D2F" w:rsidRDefault="002A2D2F" w:rsidP="002A2D2F">
      <w:r>
        <w:footnoteRef/>
      </w:r>
      <w:r>
        <w:t xml:space="preserve"> While in theory </w:t>
      </w:r>
      <m:oMath>
        <m:acc>
          <m:accPr>
            <m:chr m:val="́"/>
            <m:ctrlPr>
              <w:rPr>
                <w:rFonts w:ascii="Cambria Math" w:hAnsi="Cambria Math"/>
                <w:i/>
              </w:rPr>
            </m:ctrlPr>
          </m:accPr>
          <m:e>
            <m:r>
              <w:rPr>
                <w:rFonts w:ascii="Cambria Math" w:hAnsi="Cambria Math"/>
              </w:rPr>
              <m:t>x</m:t>
            </m:r>
          </m:e>
        </m:acc>
      </m:oMath>
      <w:r>
        <w:rPr>
          <w:rFonts w:eastAsiaTheme="minorEastAsia"/>
        </w:rPr>
        <w:t xml:space="preserve"> should </w:t>
      </w:r>
      <w:r>
        <w:rPr>
          <w:rFonts w:cstheme="majorBidi"/>
        </w:rPr>
        <w:t xml:space="preserve">come from the exact same statistical distribution as </w:t>
      </w:r>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∈X</m:t>
        </m:r>
      </m:oMath>
      <w:r>
        <w:rPr>
          <w:rFonts w:cstheme="majorBidi"/>
        </w:rPr>
        <w:t>, in practice however, this is not strictly enforced.</w:t>
      </w:r>
    </w:p>
  </w:footnote>
  <w:footnote w:id="6">
    <w:p w14:paraId="429C5F77" w14:textId="77777777" w:rsidR="002A2D2F" w:rsidRDefault="002A2D2F" w:rsidP="002A2D2F">
      <w:r>
        <w:footnoteRef/>
      </w:r>
      <w:r>
        <w:t xml:space="preserve"> </w:t>
      </w:r>
      <w:r w:rsidRPr="00272DA8">
        <w:t>In practice however, the function</w:t>
      </w:r>
      <w:r>
        <w:t>s</w:t>
      </w:r>
      <w:r w:rsidRPr="00272DA8">
        <w:t xml:space="preserve"> </w:t>
      </w:r>
      <w:r>
        <w:t>are</w:t>
      </w:r>
      <w:r w:rsidRPr="00272DA8">
        <w:t xml:space="preserve"> </w:t>
      </w:r>
      <w:r>
        <w:t>usually</w:t>
      </w:r>
      <w:r w:rsidRPr="00272DA8">
        <w:t xml:space="preserve"> chosen</w:t>
      </w:r>
      <w:r>
        <w:t xml:space="preserve"> from those that are commonly used for that task,</w:t>
      </w:r>
      <w:r w:rsidRPr="00272DA8">
        <w:t xml:space="preserve"> </w:t>
      </w:r>
      <w:r>
        <w:t xml:space="preserve">since constructing them from scratch, </w:t>
      </w:r>
      <w:r w:rsidRPr="005B1605">
        <w:t>known colloquially as</w:t>
      </w:r>
      <w:r>
        <w:t xml:space="preserve"> “reinventing the wheel”, is often neither feasible nor beneficial. The same thing can be said about the loss function.</w:t>
      </w:r>
    </w:p>
  </w:footnote>
  <w:footnote w:id="7">
    <w:p w14:paraId="04072662" w14:textId="77777777" w:rsidR="002A2D2F" w:rsidRDefault="002A2D2F" w:rsidP="002A2D2F">
      <w:r>
        <w:footnoteRef/>
      </w:r>
      <w:r>
        <w:t xml:space="preserve"> In a more technical sense, non-parametric is a misnomer because these models can also be described using a set of parameters. However, the number of parameters for a non-parametric model grows as the sample size grows; </w:t>
      </w:r>
      <w:r>
        <w:t>thus they can be characterized using an infinite set of parameters.</w:t>
      </w:r>
    </w:p>
  </w:footnote>
  <w:footnote w:id="8">
    <w:p w14:paraId="21584263" w14:textId="77777777" w:rsidR="002A2D2F" w:rsidRDefault="002A2D2F" w:rsidP="002A2D2F">
      <w:r>
        <w:footnoteRef/>
      </w:r>
      <w:r>
        <w:t xml:space="preserve"> Non-parametric forms of ma</w:t>
      </w:r>
      <w:r w:rsidRPr="00C716DC">
        <w:t>ximum likelihood estimator</w:t>
      </w:r>
      <w:r>
        <w:t>s also exist, which are outside the scope of this article.</w:t>
      </w:r>
    </w:p>
  </w:footnote>
  <w:footnote w:id="9">
    <w:p w14:paraId="4762C3E4" w14:textId="77777777" w:rsidR="00E01B69" w:rsidRDefault="00E01B69" w:rsidP="00E01B69">
      <w:pPr>
        <w:pStyle w:val="FootnoteText"/>
      </w:pPr>
      <w:r>
        <w:rPr>
          <w:rStyle w:val="FootnoteReference"/>
        </w:rPr>
        <w:footnoteRef/>
      </w:r>
      <w:r>
        <w:t xml:space="preserve"> Not to be confused with regression problems; regression models </w:t>
      </w:r>
      <w:r w:rsidRPr="00926BAA">
        <w:t>can be used for both classification and regression problems</w:t>
      </w:r>
    </w:p>
  </w:footnote>
  <w:footnote w:id="10">
    <w:p w14:paraId="51F7A010" w14:textId="77777777" w:rsidR="002A2D2F" w:rsidRDefault="002A2D2F" w:rsidP="002A2D2F">
      <w:r>
        <w:footnoteRef/>
      </w:r>
      <w:r>
        <w:t xml:space="preserve"> In practice however, observing this value is more likely due to overfitting.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4618"/>
    <w:multiLevelType w:val="hybridMultilevel"/>
    <w:tmpl w:val="B99E5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829F9"/>
    <w:multiLevelType w:val="hybridMultilevel"/>
    <w:tmpl w:val="D56E8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302D6"/>
    <w:multiLevelType w:val="hybridMultilevel"/>
    <w:tmpl w:val="F97C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8570D"/>
    <w:multiLevelType w:val="hybridMultilevel"/>
    <w:tmpl w:val="9BCEA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3E7570"/>
    <w:multiLevelType w:val="hybridMultilevel"/>
    <w:tmpl w:val="2250AF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B574DA"/>
    <w:multiLevelType w:val="hybridMultilevel"/>
    <w:tmpl w:val="49F6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987568"/>
    <w:multiLevelType w:val="hybridMultilevel"/>
    <w:tmpl w:val="C860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036324"/>
    <w:multiLevelType w:val="hybridMultilevel"/>
    <w:tmpl w:val="6276D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2215212">
    <w:abstractNumId w:val="1"/>
  </w:num>
  <w:num w:numId="2" w16cid:durableId="1531453390">
    <w:abstractNumId w:val="4"/>
  </w:num>
  <w:num w:numId="3" w16cid:durableId="932126413">
    <w:abstractNumId w:val="0"/>
  </w:num>
  <w:num w:numId="4" w16cid:durableId="506870421">
    <w:abstractNumId w:val="2"/>
  </w:num>
  <w:num w:numId="5" w16cid:durableId="556092936">
    <w:abstractNumId w:val="5"/>
  </w:num>
  <w:num w:numId="6" w16cid:durableId="6836845">
    <w:abstractNumId w:val="7"/>
  </w:num>
  <w:num w:numId="7" w16cid:durableId="42948419">
    <w:abstractNumId w:val="3"/>
  </w:num>
  <w:num w:numId="8" w16cid:durableId="10430235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numFmt w:val="chicago"/>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81B"/>
    <w:rsid w:val="000534E8"/>
    <w:rsid w:val="00066495"/>
    <w:rsid w:val="000677FE"/>
    <w:rsid w:val="000825D1"/>
    <w:rsid w:val="000831E7"/>
    <w:rsid w:val="00095BB5"/>
    <w:rsid w:val="000A09CE"/>
    <w:rsid w:val="000B300F"/>
    <w:rsid w:val="000C1B6C"/>
    <w:rsid w:val="000D2AD9"/>
    <w:rsid w:val="000E16F6"/>
    <w:rsid w:val="000E3B3C"/>
    <w:rsid w:val="000F278B"/>
    <w:rsid w:val="000F7253"/>
    <w:rsid w:val="0010422E"/>
    <w:rsid w:val="0010657B"/>
    <w:rsid w:val="001210A9"/>
    <w:rsid w:val="00125BA7"/>
    <w:rsid w:val="00133190"/>
    <w:rsid w:val="001344BF"/>
    <w:rsid w:val="00143DFD"/>
    <w:rsid w:val="001466DD"/>
    <w:rsid w:val="00146CF6"/>
    <w:rsid w:val="00147FC8"/>
    <w:rsid w:val="00150F1D"/>
    <w:rsid w:val="00154C2F"/>
    <w:rsid w:val="001637D5"/>
    <w:rsid w:val="00167721"/>
    <w:rsid w:val="00170944"/>
    <w:rsid w:val="00171A4F"/>
    <w:rsid w:val="0017223B"/>
    <w:rsid w:val="001A1BF0"/>
    <w:rsid w:val="001A78C0"/>
    <w:rsid w:val="001B0D4C"/>
    <w:rsid w:val="001B388A"/>
    <w:rsid w:val="001B47D2"/>
    <w:rsid w:val="001C29F4"/>
    <w:rsid w:val="001C3AEB"/>
    <w:rsid w:val="001D030F"/>
    <w:rsid w:val="001D278C"/>
    <w:rsid w:val="001D3B36"/>
    <w:rsid w:val="001E4E12"/>
    <w:rsid w:val="001E525A"/>
    <w:rsid w:val="001E72C6"/>
    <w:rsid w:val="001F13B7"/>
    <w:rsid w:val="00207CF5"/>
    <w:rsid w:val="00216E50"/>
    <w:rsid w:val="0022589E"/>
    <w:rsid w:val="00226486"/>
    <w:rsid w:val="00232F8A"/>
    <w:rsid w:val="00251E0E"/>
    <w:rsid w:val="00253C15"/>
    <w:rsid w:val="0027573C"/>
    <w:rsid w:val="00281251"/>
    <w:rsid w:val="00294473"/>
    <w:rsid w:val="00296FC5"/>
    <w:rsid w:val="002A2D2F"/>
    <w:rsid w:val="002B1EFA"/>
    <w:rsid w:val="002D0296"/>
    <w:rsid w:val="002D325C"/>
    <w:rsid w:val="00306741"/>
    <w:rsid w:val="00320A68"/>
    <w:rsid w:val="00321063"/>
    <w:rsid w:val="003350E7"/>
    <w:rsid w:val="0034493E"/>
    <w:rsid w:val="00375048"/>
    <w:rsid w:val="00385F76"/>
    <w:rsid w:val="00391D0E"/>
    <w:rsid w:val="003C61B7"/>
    <w:rsid w:val="003D4837"/>
    <w:rsid w:val="003D4FAF"/>
    <w:rsid w:val="003D5760"/>
    <w:rsid w:val="003D6D89"/>
    <w:rsid w:val="003E3CF1"/>
    <w:rsid w:val="003E6712"/>
    <w:rsid w:val="003F05D8"/>
    <w:rsid w:val="003F0DBA"/>
    <w:rsid w:val="00400F29"/>
    <w:rsid w:val="00404A95"/>
    <w:rsid w:val="00405890"/>
    <w:rsid w:val="00427C8C"/>
    <w:rsid w:val="00434B0F"/>
    <w:rsid w:val="004353DC"/>
    <w:rsid w:val="004459EC"/>
    <w:rsid w:val="004624CE"/>
    <w:rsid w:val="00465886"/>
    <w:rsid w:val="004670E9"/>
    <w:rsid w:val="00480D3D"/>
    <w:rsid w:val="0048169B"/>
    <w:rsid w:val="00485BF2"/>
    <w:rsid w:val="0049337B"/>
    <w:rsid w:val="004E5B32"/>
    <w:rsid w:val="00514ADC"/>
    <w:rsid w:val="00517713"/>
    <w:rsid w:val="00526B12"/>
    <w:rsid w:val="005357D4"/>
    <w:rsid w:val="00554C92"/>
    <w:rsid w:val="00572420"/>
    <w:rsid w:val="00591497"/>
    <w:rsid w:val="005938EE"/>
    <w:rsid w:val="005A189B"/>
    <w:rsid w:val="005A3CA5"/>
    <w:rsid w:val="005B6B4D"/>
    <w:rsid w:val="005C4EB7"/>
    <w:rsid w:val="005C6758"/>
    <w:rsid w:val="005D05FC"/>
    <w:rsid w:val="005D63AB"/>
    <w:rsid w:val="005D7712"/>
    <w:rsid w:val="005D778E"/>
    <w:rsid w:val="005F2B46"/>
    <w:rsid w:val="006120BE"/>
    <w:rsid w:val="0061251D"/>
    <w:rsid w:val="006163E1"/>
    <w:rsid w:val="006338AC"/>
    <w:rsid w:val="00643B1C"/>
    <w:rsid w:val="0064481F"/>
    <w:rsid w:val="00644EFE"/>
    <w:rsid w:val="00654A0D"/>
    <w:rsid w:val="00657235"/>
    <w:rsid w:val="00661C8F"/>
    <w:rsid w:val="00667433"/>
    <w:rsid w:val="00682599"/>
    <w:rsid w:val="0068260E"/>
    <w:rsid w:val="00690690"/>
    <w:rsid w:val="00695723"/>
    <w:rsid w:val="006977DE"/>
    <w:rsid w:val="006B5590"/>
    <w:rsid w:val="006B6DD1"/>
    <w:rsid w:val="006B72AD"/>
    <w:rsid w:val="006E7387"/>
    <w:rsid w:val="006F3FFF"/>
    <w:rsid w:val="006F6A40"/>
    <w:rsid w:val="007052EC"/>
    <w:rsid w:val="007127E1"/>
    <w:rsid w:val="00716CE1"/>
    <w:rsid w:val="00720CED"/>
    <w:rsid w:val="00723614"/>
    <w:rsid w:val="007316D6"/>
    <w:rsid w:val="007324E2"/>
    <w:rsid w:val="00734451"/>
    <w:rsid w:val="00743642"/>
    <w:rsid w:val="00745D99"/>
    <w:rsid w:val="007463CC"/>
    <w:rsid w:val="007528B9"/>
    <w:rsid w:val="00756666"/>
    <w:rsid w:val="007624AB"/>
    <w:rsid w:val="00773CE5"/>
    <w:rsid w:val="007778F9"/>
    <w:rsid w:val="0078503D"/>
    <w:rsid w:val="00785A25"/>
    <w:rsid w:val="00785E4F"/>
    <w:rsid w:val="007A1315"/>
    <w:rsid w:val="007A18D6"/>
    <w:rsid w:val="007A2F1A"/>
    <w:rsid w:val="007A334D"/>
    <w:rsid w:val="007B4862"/>
    <w:rsid w:val="007C1113"/>
    <w:rsid w:val="007D61AA"/>
    <w:rsid w:val="007D7F4E"/>
    <w:rsid w:val="007E0089"/>
    <w:rsid w:val="007E6BD3"/>
    <w:rsid w:val="007F3EE8"/>
    <w:rsid w:val="007F667F"/>
    <w:rsid w:val="0080310D"/>
    <w:rsid w:val="0080618C"/>
    <w:rsid w:val="00814D5F"/>
    <w:rsid w:val="008257EA"/>
    <w:rsid w:val="00827120"/>
    <w:rsid w:val="0083108E"/>
    <w:rsid w:val="00831AFB"/>
    <w:rsid w:val="00852BA2"/>
    <w:rsid w:val="00857BF2"/>
    <w:rsid w:val="00874840"/>
    <w:rsid w:val="008771A0"/>
    <w:rsid w:val="00897CE0"/>
    <w:rsid w:val="008A18A8"/>
    <w:rsid w:val="008B25BD"/>
    <w:rsid w:val="008B70FA"/>
    <w:rsid w:val="008B7F01"/>
    <w:rsid w:val="008C0F2E"/>
    <w:rsid w:val="008C5248"/>
    <w:rsid w:val="008D41D0"/>
    <w:rsid w:val="008D5BEF"/>
    <w:rsid w:val="008E33C2"/>
    <w:rsid w:val="008E3CFC"/>
    <w:rsid w:val="0091441A"/>
    <w:rsid w:val="009236BF"/>
    <w:rsid w:val="00926BAA"/>
    <w:rsid w:val="009309DE"/>
    <w:rsid w:val="009313A9"/>
    <w:rsid w:val="0093377E"/>
    <w:rsid w:val="00946CC1"/>
    <w:rsid w:val="009575C3"/>
    <w:rsid w:val="00975B1D"/>
    <w:rsid w:val="0098449D"/>
    <w:rsid w:val="00991967"/>
    <w:rsid w:val="00995743"/>
    <w:rsid w:val="009B347E"/>
    <w:rsid w:val="009C4070"/>
    <w:rsid w:val="009C7877"/>
    <w:rsid w:val="009D5DCD"/>
    <w:rsid w:val="009D76FE"/>
    <w:rsid w:val="009E6498"/>
    <w:rsid w:val="009F1470"/>
    <w:rsid w:val="009F217C"/>
    <w:rsid w:val="00A42A64"/>
    <w:rsid w:val="00A47FC4"/>
    <w:rsid w:val="00A70268"/>
    <w:rsid w:val="00A759C7"/>
    <w:rsid w:val="00A820BF"/>
    <w:rsid w:val="00A8678E"/>
    <w:rsid w:val="00AC081B"/>
    <w:rsid w:val="00AD0BBA"/>
    <w:rsid w:val="00AF17E8"/>
    <w:rsid w:val="00B5493B"/>
    <w:rsid w:val="00B76BB5"/>
    <w:rsid w:val="00B825FD"/>
    <w:rsid w:val="00B9167D"/>
    <w:rsid w:val="00B931EF"/>
    <w:rsid w:val="00BA42EA"/>
    <w:rsid w:val="00BA4354"/>
    <w:rsid w:val="00BB720A"/>
    <w:rsid w:val="00BC2E22"/>
    <w:rsid w:val="00BD742D"/>
    <w:rsid w:val="00BF0FD1"/>
    <w:rsid w:val="00BF1F09"/>
    <w:rsid w:val="00BF388D"/>
    <w:rsid w:val="00BF69B7"/>
    <w:rsid w:val="00C00782"/>
    <w:rsid w:val="00C04304"/>
    <w:rsid w:val="00C04592"/>
    <w:rsid w:val="00C171D7"/>
    <w:rsid w:val="00C42DB4"/>
    <w:rsid w:val="00C473C3"/>
    <w:rsid w:val="00C61866"/>
    <w:rsid w:val="00C63E75"/>
    <w:rsid w:val="00C65DF4"/>
    <w:rsid w:val="00C7033F"/>
    <w:rsid w:val="00C72B90"/>
    <w:rsid w:val="00C76DE7"/>
    <w:rsid w:val="00C8145D"/>
    <w:rsid w:val="00C82A65"/>
    <w:rsid w:val="00CA039F"/>
    <w:rsid w:val="00CB4DDC"/>
    <w:rsid w:val="00CC0F47"/>
    <w:rsid w:val="00CC19EE"/>
    <w:rsid w:val="00CC62D5"/>
    <w:rsid w:val="00CD744C"/>
    <w:rsid w:val="00CE7ED4"/>
    <w:rsid w:val="00CF290D"/>
    <w:rsid w:val="00D0274E"/>
    <w:rsid w:val="00D04885"/>
    <w:rsid w:val="00D0779D"/>
    <w:rsid w:val="00D07CA2"/>
    <w:rsid w:val="00D10CDA"/>
    <w:rsid w:val="00D1504D"/>
    <w:rsid w:val="00D365B0"/>
    <w:rsid w:val="00D41B1E"/>
    <w:rsid w:val="00D60FFC"/>
    <w:rsid w:val="00D70A17"/>
    <w:rsid w:val="00D84013"/>
    <w:rsid w:val="00D9156C"/>
    <w:rsid w:val="00D96481"/>
    <w:rsid w:val="00DA009A"/>
    <w:rsid w:val="00DB3706"/>
    <w:rsid w:val="00DC0795"/>
    <w:rsid w:val="00DD1A00"/>
    <w:rsid w:val="00DE63A2"/>
    <w:rsid w:val="00DE6472"/>
    <w:rsid w:val="00E01B69"/>
    <w:rsid w:val="00E04C3C"/>
    <w:rsid w:val="00E23A3A"/>
    <w:rsid w:val="00E3787F"/>
    <w:rsid w:val="00E43CF2"/>
    <w:rsid w:val="00E61BCA"/>
    <w:rsid w:val="00E73B1F"/>
    <w:rsid w:val="00E77AFE"/>
    <w:rsid w:val="00E85938"/>
    <w:rsid w:val="00E87CCA"/>
    <w:rsid w:val="00E9584B"/>
    <w:rsid w:val="00E97E1B"/>
    <w:rsid w:val="00EA4D18"/>
    <w:rsid w:val="00EA4E52"/>
    <w:rsid w:val="00EA679E"/>
    <w:rsid w:val="00EA6E93"/>
    <w:rsid w:val="00EB68F8"/>
    <w:rsid w:val="00EC131B"/>
    <w:rsid w:val="00EC6701"/>
    <w:rsid w:val="00ED6BFA"/>
    <w:rsid w:val="00EE1F27"/>
    <w:rsid w:val="00EE266D"/>
    <w:rsid w:val="00EF2652"/>
    <w:rsid w:val="00F0693E"/>
    <w:rsid w:val="00F24300"/>
    <w:rsid w:val="00F41833"/>
    <w:rsid w:val="00F67392"/>
    <w:rsid w:val="00F739DD"/>
    <w:rsid w:val="00F8285F"/>
    <w:rsid w:val="00F86513"/>
    <w:rsid w:val="00F95928"/>
    <w:rsid w:val="00FA7D7C"/>
    <w:rsid w:val="00FC0C79"/>
    <w:rsid w:val="00FF07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75973"/>
  <w15:chartTrackingRefBased/>
  <w15:docId w15:val="{0F2BDA73-5AC6-46EC-8CF3-4F8528A90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HAnsi" w:hAnsiTheme="majorBidi"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5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575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A18D6"/>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A18D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46C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C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575C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575C3"/>
    <w:pPr>
      <w:outlineLvl w:val="9"/>
    </w:pPr>
  </w:style>
  <w:style w:type="paragraph" w:styleId="TOC1">
    <w:name w:val="toc 1"/>
    <w:basedOn w:val="Normal"/>
    <w:next w:val="Normal"/>
    <w:autoRedefine/>
    <w:uiPriority w:val="39"/>
    <w:unhideWhenUsed/>
    <w:rsid w:val="009575C3"/>
    <w:pPr>
      <w:spacing w:before="120" w:after="120"/>
    </w:pPr>
    <w:rPr>
      <w:rFonts w:asciiTheme="minorHAnsi" w:hAnsiTheme="minorHAnsi" w:cstheme="minorHAnsi"/>
      <w:b/>
      <w:bCs/>
      <w:caps/>
      <w:sz w:val="20"/>
    </w:rPr>
  </w:style>
  <w:style w:type="character" w:styleId="Hyperlink">
    <w:name w:val="Hyperlink"/>
    <w:basedOn w:val="DefaultParagraphFont"/>
    <w:uiPriority w:val="99"/>
    <w:unhideWhenUsed/>
    <w:rsid w:val="009575C3"/>
    <w:rPr>
      <w:color w:val="0563C1" w:themeColor="hyperlink"/>
      <w:u w:val="single"/>
    </w:rPr>
  </w:style>
  <w:style w:type="paragraph" w:styleId="TOC2">
    <w:name w:val="toc 2"/>
    <w:basedOn w:val="Normal"/>
    <w:next w:val="Normal"/>
    <w:autoRedefine/>
    <w:uiPriority w:val="39"/>
    <w:unhideWhenUsed/>
    <w:rsid w:val="009575C3"/>
    <w:pPr>
      <w:spacing w:after="0"/>
      <w:ind w:left="240"/>
    </w:pPr>
    <w:rPr>
      <w:rFonts w:asciiTheme="minorHAnsi" w:hAnsiTheme="minorHAnsi" w:cstheme="minorHAnsi"/>
      <w:smallCaps/>
      <w:sz w:val="20"/>
    </w:rPr>
  </w:style>
  <w:style w:type="character" w:customStyle="1" w:styleId="highlight">
    <w:name w:val="highlight"/>
    <w:basedOn w:val="DefaultParagraphFont"/>
    <w:rsid w:val="007A18D6"/>
  </w:style>
  <w:style w:type="paragraph" w:styleId="Bibliography">
    <w:name w:val="Bibliography"/>
    <w:basedOn w:val="Normal"/>
    <w:next w:val="Normal"/>
    <w:uiPriority w:val="37"/>
    <w:unhideWhenUsed/>
    <w:rsid w:val="007A18D6"/>
    <w:pPr>
      <w:tabs>
        <w:tab w:val="left" w:pos="384"/>
      </w:tabs>
      <w:spacing w:after="0" w:line="480" w:lineRule="auto"/>
      <w:ind w:left="384" w:hanging="384"/>
    </w:pPr>
  </w:style>
  <w:style w:type="character" w:customStyle="1" w:styleId="Heading3Char">
    <w:name w:val="Heading 3 Char"/>
    <w:basedOn w:val="DefaultParagraphFont"/>
    <w:link w:val="Heading3"/>
    <w:uiPriority w:val="9"/>
    <w:rsid w:val="007A18D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7A18D6"/>
    <w:rPr>
      <w:rFonts w:asciiTheme="majorHAnsi" w:eastAsiaTheme="majorEastAsia" w:hAnsiTheme="majorHAnsi" w:cstheme="majorBidi"/>
      <w:i/>
      <w:iCs/>
      <w:color w:val="2F5496" w:themeColor="accent1" w:themeShade="BF"/>
    </w:rPr>
  </w:style>
  <w:style w:type="character" w:customStyle="1" w:styleId="TitleChar">
    <w:name w:val="Title Char"/>
    <w:basedOn w:val="DefaultParagraphFont"/>
    <w:link w:val="Title"/>
    <w:uiPriority w:val="10"/>
    <w:rsid w:val="007A18D6"/>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7A18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ommentTextChar">
    <w:name w:val="Comment Text Char"/>
    <w:basedOn w:val="DefaultParagraphFont"/>
    <w:link w:val="CommentText"/>
    <w:uiPriority w:val="99"/>
    <w:rsid w:val="007A18D6"/>
    <w:rPr>
      <w:sz w:val="20"/>
      <w:szCs w:val="20"/>
    </w:rPr>
  </w:style>
  <w:style w:type="paragraph" w:styleId="CommentText">
    <w:name w:val="annotation text"/>
    <w:basedOn w:val="Normal"/>
    <w:link w:val="CommentTextChar"/>
    <w:uiPriority w:val="99"/>
    <w:unhideWhenUsed/>
    <w:rsid w:val="007A18D6"/>
    <w:pPr>
      <w:spacing w:line="240" w:lineRule="auto"/>
    </w:pPr>
    <w:rPr>
      <w:sz w:val="20"/>
      <w:szCs w:val="20"/>
    </w:rPr>
  </w:style>
  <w:style w:type="character" w:customStyle="1" w:styleId="FootnoteTextChar">
    <w:name w:val="Footnote Text Char"/>
    <w:basedOn w:val="DefaultParagraphFont"/>
    <w:link w:val="FootnoteText"/>
    <w:uiPriority w:val="99"/>
    <w:rsid w:val="007A18D6"/>
    <w:rPr>
      <w:sz w:val="20"/>
      <w:szCs w:val="20"/>
    </w:rPr>
  </w:style>
  <w:style w:type="paragraph" w:styleId="FootnoteText">
    <w:name w:val="footnote text"/>
    <w:basedOn w:val="Normal"/>
    <w:link w:val="FootnoteTextChar"/>
    <w:uiPriority w:val="99"/>
    <w:unhideWhenUsed/>
    <w:rsid w:val="007A18D6"/>
    <w:pPr>
      <w:spacing w:after="0" w:line="240" w:lineRule="auto"/>
    </w:pPr>
    <w:rPr>
      <w:sz w:val="20"/>
      <w:szCs w:val="20"/>
    </w:rPr>
  </w:style>
  <w:style w:type="character" w:customStyle="1" w:styleId="CommentSubjectChar">
    <w:name w:val="Comment Subject Char"/>
    <w:basedOn w:val="CommentTextChar"/>
    <w:link w:val="CommentSubject"/>
    <w:uiPriority w:val="99"/>
    <w:semiHidden/>
    <w:rsid w:val="007A18D6"/>
    <w:rPr>
      <w:b/>
      <w:bCs/>
      <w:sz w:val="20"/>
      <w:szCs w:val="20"/>
    </w:rPr>
  </w:style>
  <w:style w:type="paragraph" w:styleId="CommentSubject">
    <w:name w:val="annotation subject"/>
    <w:basedOn w:val="CommentText"/>
    <w:next w:val="CommentText"/>
    <w:link w:val="CommentSubjectChar"/>
    <w:uiPriority w:val="99"/>
    <w:semiHidden/>
    <w:unhideWhenUsed/>
    <w:rsid w:val="007A18D6"/>
    <w:rPr>
      <w:b/>
      <w:bCs/>
    </w:rPr>
  </w:style>
  <w:style w:type="character" w:styleId="FootnoteReference">
    <w:name w:val="footnote reference"/>
    <w:basedOn w:val="DefaultParagraphFont"/>
    <w:uiPriority w:val="99"/>
    <w:semiHidden/>
    <w:unhideWhenUsed/>
    <w:rsid w:val="007A18D6"/>
    <w:rPr>
      <w:vertAlign w:val="superscript"/>
    </w:rPr>
  </w:style>
  <w:style w:type="character" w:styleId="CommentReference">
    <w:name w:val="annotation reference"/>
    <w:basedOn w:val="DefaultParagraphFont"/>
    <w:uiPriority w:val="99"/>
    <w:semiHidden/>
    <w:unhideWhenUsed/>
    <w:rsid w:val="007A18D6"/>
    <w:rPr>
      <w:sz w:val="16"/>
      <w:szCs w:val="16"/>
    </w:rPr>
  </w:style>
  <w:style w:type="paragraph" w:styleId="NormalWeb">
    <w:name w:val="Normal (Web)"/>
    <w:basedOn w:val="Normal"/>
    <w:uiPriority w:val="99"/>
    <w:unhideWhenUsed/>
    <w:rsid w:val="00C8145D"/>
    <w:pPr>
      <w:spacing w:before="100" w:beforeAutospacing="1" w:after="100" w:afterAutospacing="1" w:line="240" w:lineRule="auto"/>
    </w:pPr>
    <w:rPr>
      <w:rFonts w:ascii="Times New Roman" w:eastAsia="Times New Roman" w:hAnsi="Times New Roman"/>
    </w:rPr>
  </w:style>
  <w:style w:type="paragraph" w:styleId="ListParagraph">
    <w:name w:val="List Paragraph"/>
    <w:basedOn w:val="Normal"/>
    <w:uiPriority w:val="34"/>
    <w:qFormat/>
    <w:rsid w:val="00C8145D"/>
    <w:pPr>
      <w:ind w:left="720"/>
      <w:contextualSpacing/>
    </w:pPr>
  </w:style>
  <w:style w:type="character" w:customStyle="1" w:styleId="fontstyle01">
    <w:name w:val="fontstyle01"/>
    <w:basedOn w:val="DefaultParagraphFont"/>
    <w:rsid w:val="00C8145D"/>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C8145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C8145D"/>
    <w:rPr>
      <w:rFonts w:ascii="TimesNewRomanPS-BoldMT" w:hAnsi="TimesNewRomanPS-BoldMT" w:hint="default"/>
      <w:b/>
      <w:bCs/>
      <w:i w:val="0"/>
      <w:iCs w:val="0"/>
      <w:color w:val="000000"/>
      <w:sz w:val="18"/>
      <w:szCs w:val="18"/>
    </w:rPr>
  </w:style>
  <w:style w:type="character" w:customStyle="1" w:styleId="citation">
    <w:name w:val="citation"/>
    <w:basedOn w:val="DefaultParagraphFont"/>
    <w:rsid w:val="00C8145D"/>
  </w:style>
  <w:style w:type="table" w:styleId="TableGrid">
    <w:name w:val="Table Grid"/>
    <w:basedOn w:val="TableNormal"/>
    <w:uiPriority w:val="39"/>
    <w:rsid w:val="00C81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8145D"/>
    <w:rPr>
      <w:color w:val="808080"/>
    </w:rPr>
  </w:style>
  <w:style w:type="character" w:customStyle="1" w:styleId="citation-item">
    <w:name w:val="citation-item"/>
    <w:basedOn w:val="DefaultParagraphFont"/>
    <w:rsid w:val="00C8145D"/>
  </w:style>
  <w:style w:type="character" w:styleId="Strong">
    <w:name w:val="Strong"/>
    <w:basedOn w:val="DefaultParagraphFont"/>
    <w:uiPriority w:val="22"/>
    <w:qFormat/>
    <w:rsid w:val="00C8145D"/>
    <w:rPr>
      <w:b/>
      <w:bCs/>
    </w:rPr>
  </w:style>
  <w:style w:type="character" w:styleId="EndnoteReference">
    <w:name w:val="endnote reference"/>
    <w:basedOn w:val="DefaultParagraphFont"/>
    <w:uiPriority w:val="99"/>
    <w:semiHidden/>
    <w:unhideWhenUsed/>
    <w:rsid w:val="00C8145D"/>
    <w:rPr>
      <w:vertAlign w:val="superscript"/>
    </w:rPr>
  </w:style>
  <w:style w:type="paragraph" w:styleId="TOC3">
    <w:name w:val="toc 3"/>
    <w:basedOn w:val="Normal"/>
    <w:next w:val="Normal"/>
    <w:autoRedefine/>
    <w:uiPriority w:val="39"/>
    <w:unhideWhenUsed/>
    <w:rsid w:val="00CB4DDC"/>
    <w:pPr>
      <w:spacing w:after="0"/>
      <w:ind w:left="480"/>
    </w:pPr>
    <w:rPr>
      <w:rFonts w:asciiTheme="minorHAnsi" w:hAnsiTheme="minorHAnsi" w:cstheme="minorHAnsi"/>
      <w:i/>
      <w:iCs/>
      <w:sz w:val="20"/>
    </w:rPr>
  </w:style>
  <w:style w:type="paragraph" w:styleId="TOC4">
    <w:name w:val="toc 4"/>
    <w:basedOn w:val="Normal"/>
    <w:next w:val="Normal"/>
    <w:autoRedefine/>
    <w:uiPriority w:val="39"/>
    <w:unhideWhenUsed/>
    <w:rsid w:val="00CB4DDC"/>
    <w:pPr>
      <w:spacing w:after="0"/>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CB4DDC"/>
    <w:pPr>
      <w:spacing w:after="0"/>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CB4DDC"/>
    <w:pPr>
      <w:spacing w:after="0"/>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CB4DDC"/>
    <w:pPr>
      <w:spacing w:after="0"/>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CB4DDC"/>
    <w:pPr>
      <w:spacing w:after="0"/>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CB4DDC"/>
    <w:pPr>
      <w:spacing w:after="0"/>
      <w:ind w:left="1920"/>
    </w:pPr>
    <w:rPr>
      <w:rFonts w:asciiTheme="minorHAnsi" w:hAnsiTheme="minorHAnsi" w:cstheme="minorHAnsi"/>
      <w:sz w:val="18"/>
      <w:szCs w:val="21"/>
    </w:rPr>
  </w:style>
  <w:style w:type="character" w:customStyle="1" w:styleId="Heading5Char">
    <w:name w:val="Heading 5 Char"/>
    <w:basedOn w:val="DefaultParagraphFont"/>
    <w:link w:val="Heading5"/>
    <w:uiPriority w:val="9"/>
    <w:rsid w:val="00146CF6"/>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1830">
      <w:bodyDiv w:val="1"/>
      <w:marLeft w:val="0"/>
      <w:marRight w:val="0"/>
      <w:marTop w:val="0"/>
      <w:marBottom w:val="0"/>
      <w:divBdr>
        <w:top w:val="none" w:sz="0" w:space="0" w:color="auto"/>
        <w:left w:val="none" w:sz="0" w:space="0" w:color="auto"/>
        <w:bottom w:val="none" w:sz="0" w:space="0" w:color="auto"/>
        <w:right w:val="none" w:sz="0" w:space="0" w:color="auto"/>
      </w:divBdr>
    </w:div>
    <w:div w:id="239759883">
      <w:bodyDiv w:val="1"/>
      <w:marLeft w:val="0"/>
      <w:marRight w:val="0"/>
      <w:marTop w:val="0"/>
      <w:marBottom w:val="0"/>
      <w:divBdr>
        <w:top w:val="none" w:sz="0" w:space="0" w:color="auto"/>
        <w:left w:val="none" w:sz="0" w:space="0" w:color="auto"/>
        <w:bottom w:val="none" w:sz="0" w:space="0" w:color="auto"/>
        <w:right w:val="none" w:sz="0" w:space="0" w:color="auto"/>
      </w:divBdr>
    </w:div>
    <w:div w:id="325015116">
      <w:bodyDiv w:val="1"/>
      <w:marLeft w:val="0"/>
      <w:marRight w:val="0"/>
      <w:marTop w:val="0"/>
      <w:marBottom w:val="0"/>
      <w:divBdr>
        <w:top w:val="none" w:sz="0" w:space="0" w:color="auto"/>
        <w:left w:val="none" w:sz="0" w:space="0" w:color="auto"/>
        <w:bottom w:val="none" w:sz="0" w:space="0" w:color="auto"/>
        <w:right w:val="none" w:sz="0" w:space="0" w:color="auto"/>
      </w:divBdr>
    </w:div>
    <w:div w:id="358816069">
      <w:bodyDiv w:val="1"/>
      <w:marLeft w:val="0"/>
      <w:marRight w:val="0"/>
      <w:marTop w:val="0"/>
      <w:marBottom w:val="0"/>
      <w:divBdr>
        <w:top w:val="none" w:sz="0" w:space="0" w:color="auto"/>
        <w:left w:val="none" w:sz="0" w:space="0" w:color="auto"/>
        <w:bottom w:val="none" w:sz="0" w:space="0" w:color="auto"/>
        <w:right w:val="none" w:sz="0" w:space="0" w:color="auto"/>
      </w:divBdr>
    </w:div>
    <w:div w:id="466120710">
      <w:bodyDiv w:val="1"/>
      <w:marLeft w:val="0"/>
      <w:marRight w:val="0"/>
      <w:marTop w:val="0"/>
      <w:marBottom w:val="0"/>
      <w:divBdr>
        <w:top w:val="none" w:sz="0" w:space="0" w:color="auto"/>
        <w:left w:val="none" w:sz="0" w:space="0" w:color="auto"/>
        <w:bottom w:val="none" w:sz="0" w:space="0" w:color="auto"/>
        <w:right w:val="none" w:sz="0" w:space="0" w:color="auto"/>
      </w:divBdr>
    </w:div>
    <w:div w:id="508957598">
      <w:bodyDiv w:val="1"/>
      <w:marLeft w:val="0"/>
      <w:marRight w:val="0"/>
      <w:marTop w:val="0"/>
      <w:marBottom w:val="0"/>
      <w:divBdr>
        <w:top w:val="none" w:sz="0" w:space="0" w:color="auto"/>
        <w:left w:val="none" w:sz="0" w:space="0" w:color="auto"/>
        <w:bottom w:val="none" w:sz="0" w:space="0" w:color="auto"/>
        <w:right w:val="none" w:sz="0" w:space="0" w:color="auto"/>
      </w:divBdr>
    </w:div>
    <w:div w:id="509027671">
      <w:bodyDiv w:val="1"/>
      <w:marLeft w:val="0"/>
      <w:marRight w:val="0"/>
      <w:marTop w:val="0"/>
      <w:marBottom w:val="0"/>
      <w:divBdr>
        <w:top w:val="none" w:sz="0" w:space="0" w:color="auto"/>
        <w:left w:val="none" w:sz="0" w:space="0" w:color="auto"/>
        <w:bottom w:val="none" w:sz="0" w:space="0" w:color="auto"/>
        <w:right w:val="none" w:sz="0" w:space="0" w:color="auto"/>
      </w:divBdr>
    </w:div>
    <w:div w:id="614410423">
      <w:bodyDiv w:val="1"/>
      <w:marLeft w:val="0"/>
      <w:marRight w:val="0"/>
      <w:marTop w:val="0"/>
      <w:marBottom w:val="0"/>
      <w:divBdr>
        <w:top w:val="none" w:sz="0" w:space="0" w:color="auto"/>
        <w:left w:val="none" w:sz="0" w:space="0" w:color="auto"/>
        <w:bottom w:val="none" w:sz="0" w:space="0" w:color="auto"/>
        <w:right w:val="none" w:sz="0" w:space="0" w:color="auto"/>
      </w:divBdr>
    </w:div>
    <w:div w:id="720860907">
      <w:bodyDiv w:val="1"/>
      <w:marLeft w:val="0"/>
      <w:marRight w:val="0"/>
      <w:marTop w:val="0"/>
      <w:marBottom w:val="0"/>
      <w:divBdr>
        <w:top w:val="none" w:sz="0" w:space="0" w:color="auto"/>
        <w:left w:val="none" w:sz="0" w:space="0" w:color="auto"/>
        <w:bottom w:val="none" w:sz="0" w:space="0" w:color="auto"/>
        <w:right w:val="none" w:sz="0" w:space="0" w:color="auto"/>
      </w:divBdr>
    </w:div>
    <w:div w:id="794253633">
      <w:bodyDiv w:val="1"/>
      <w:marLeft w:val="0"/>
      <w:marRight w:val="0"/>
      <w:marTop w:val="0"/>
      <w:marBottom w:val="0"/>
      <w:divBdr>
        <w:top w:val="none" w:sz="0" w:space="0" w:color="auto"/>
        <w:left w:val="none" w:sz="0" w:space="0" w:color="auto"/>
        <w:bottom w:val="none" w:sz="0" w:space="0" w:color="auto"/>
        <w:right w:val="none" w:sz="0" w:space="0" w:color="auto"/>
      </w:divBdr>
    </w:div>
    <w:div w:id="852304250">
      <w:bodyDiv w:val="1"/>
      <w:marLeft w:val="0"/>
      <w:marRight w:val="0"/>
      <w:marTop w:val="0"/>
      <w:marBottom w:val="0"/>
      <w:divBdr>
        <w:top w:val="none" w:sz="0" w:space="0" w:color="auto"/>
        <w:left w:val="none" w:sz="0" w:space="0" w:color="auto"/>
        <w:bottom w:val="none" w:sz="0" w:space="0" w:color="auto"/>
        <w:right w:val="none" w:sz="0" w:space="0" w:color="auto"/>
      </w:divBdr>
    </w:div>
    <w:div w:id="969747906">
      <w:bodyDiv w:val="1"/>
      <w:marLeft w:val="0"/>
      <w:marRight w:val="0"/>
      <w:marTop w:val="0"/>
      <w:marBottom w:val="0"/>
      <w:divBdr>
        <w:top w:val="none" w:sz="0" w:space="0" w:color="auto"/>
        <w:left w:val="none" w:sz="0" w:space="0" w:color="auto"/>
        <w:bottom w:val="none" w:sz="0" w:space="0" w:color="auto"/>
        <w:right w:val="none" w:sz="0" w:space="0" w:color="auto"/>
      </w:divBdr>
    </w:div>
    <w:div w:id="1157041035">
      <w:bodyDiv w:val="1"/>
      <w:marLeft w:val="0"/>
      <w:marRight w:val="0"/>
      <w:marTop w:val="0"/>
      <w:marBottom w:val="0"/>
      <w:divBdr>
        <w:top w:val="none" w:sz="0" w:space="0" w:color="auto"/>
        <w:left w:val="none" w:sz="0" w:space="0" w:color="auto"/>
        <w:bottom w:val="none" w:sz="0" w:space="0" w:color="auto"/>
        <w:right w:val="none" w:sz="0" w:space="0" w:color="auto"/>
      </w:divBdr>
    </w:div>
    <w:div w:id="1220046223">
      <w:bodyDiv w:val="1"/>
      <w:marLeft w:val="0"/>
      <w:marRight w:val="0"/>
      <w:marTop w:val="0"/>
      <w:marBottom w:val="0"/>
      <w:divBdr>
        <w:top w:val="none" w:sz="0" w:space="0" w:color="auto"/>
        <w:left w:val="none" w:sz="0" w:space="0" w:color="auto"/>
        <w:bottom w:val="none" w:sz="0" w:space="0" w:color="auto"/>
        <w:right w:val="none" w:sz="0" w:space="0" w:color="auto"/>
      </w:divBdr>
    </w:div>
    <w:div w:id="1276792226">
      <w:bodyDiv w:val="1"/>
      <w:marLeft w:val="0"/>
      <w:marRight w:val="0"/>
      <w:marTop w:val="0"/>
      <w:marBottom w:val="0"/>
      <w:divBdr>
        <w:top w:val="none" w:sz="0" w:space="0" w:color="auto"/>
        <w:left w:val="none" w:sz="0" w:space="0" w:color="auto"/>
        <w:bottom w:val="none" w:sz="0" w:space="0" w:color="auto"/>
        <w:right w:val="none" w:sz="0" w:space="0" w:color="auto"/>
      </w:divBdr>
    </w:div>
    <w:div w:id="1396928006">
      <w:bodyDiv w:val="1"/>
      <w:marLeft w:val="0"/>
      <w:marRight w:val="0"/>
      <w:marTop w:val="0"/>
      <w:marBottom w:val="0"/>
      <w:divBdr>
        <w:top w:val="none" w:sz="0" w:space="0" w:color="auto"/>
        <w:left w:val="none" w:sz="0" w:space="0" w:color="auto"/>
        <w:bottom w:val="none" w:sz="0" w:space="0" w:color="auto"/>
        <w:right w:val="none" w:sz="0" w:space="0" w:color="auto"/>
      </w:divBdr>
    </w:div>
    <w:div w:id="1444694468">
      <w:bodyDiv w:val="1"/>
      <w:marLeft w:val="0"/>
      <w:marRight w:val="0"/>
      <w:marTop w:val="0"/>
      <w:marBottom w:val="0"/>
      <w:divBdr>
        <w:top w:val="none" w:sz="0" w:space="0" w:color="auto"/>
        <w:left w:val="none" w:sz="0" w:space="0" w:color="auto"/>
        <w:bottom w:val="none" w:sz="0" w:space="0" w:color="auto"/>
        <w:right w:val="none" w:sz="0" w:space="0" w:color="auto"/>
      </w:divBdr>
    </w:div>
    <w:div w:id="1463695159">
      <w:bodyDiv w:val="1"/>
      <w:marLeft w:val="0"/>
      <w:marRight w:val="0"/>
      <w:marTop w:val="0"/>
      <w:marBottom w:val="0"/>
      <w:divBdr>
        <w:top w:val="none" w:sz="0" w:space="0" w:color="auto"/>
        <w:left w:val="none" w:sz="0" w:space="0" w:color="auto"/>
        <w:bottom w:val="none" w:sz="0" w:space="0" w:color="auto"/>
        <w:right w:val="none" w:sz="0" w:space="0" w:color="auto"/>
      </w:divBdr>
    </w:div>
    <w:div w:id="1513059500">
      <w:bodyDiv w:val="1"/>
      <w:marLeft w:val="0"/>
      <w:marRight w:val="0"/>
      <w:marTop w:val="0"/>
      <w:marBottom w:val="0"/>
      <w:divBdr>
        <w:top w:val="none" w:sz="0" w:space="0" w:color="auto"/>
        <w:left w:val="none" w:sz="0" w:space="0" w:color="auto"/>
        <w:bottom w:val="none" w:sz="0" w:space="0" w:color="auto"/>
        <w:right w:val="none" w:sz="0" w:space="0" w:color="auto"/>
      </w:divBdr>
    </w:div>
    <w:div w:id="1588343586">
      <w:bodyDiv w:val="1"/>
      <w:marLeft w:val="0"/>
      <w:marRight w:val="0"/>
      <w:marTop w:val="0"/>
      <w:marBottom w:val="0"/>
      <w:divBdr>
        <w:top w:val="none" w:sz="0" w:space="0" w:color="auto"/>
        <w:left w:val="none" w:sz="0" w:space="0" w:color="auto"/>
        <w:bottom w:val="none" w:sz="0" w:space="0" w:color="auto"/>
        <w:right w:val="none" w:sz="0" w:space="0" w:color="auto"/>
      </w:divBdr>
    </w:div>
    <w:div w:id="1596089478">
      <w:bodyDiv w:val="1"/>
      <w:marLeft w:val="0"/>
      <w:marRight w:val="0"/>
      <w:marTop w:val="0"/>
      <w:marBottom w:val="0"/>
      <w:divBdr>
        <w:top w:val="none" w:sz="0" w:space="0" w:color="auto"/>
        <w:left w:val="none" w:sz="0" w:space="0" w:color="auto"/>
        <w:bottom w:val="none" w:sz="0" w:space="0" w:color="auto"/>
        <w:right w:val="none" w:sz="0" w:space="0" w:color="auto"/>
      </w:divBdr>
    </w:div>
    <w:div w:id="1624117315">
      <w:bodyDiv w:val="1"/>
      <w:marLeft w:val="0"/>
      <w:marRight w:val="0"/>
      <w:marTop w:val="0"/>
      <w:marBottom w:val="0"/>
      <w:divBdr>
        <w:top w:val="none" w:sz="0" w:space="0" w:color="auto"/>
        <w:left w:val="none" w:sz="0" w:space="0" w:color="auto"/>
        <w:bottom w:val="none" w:sz="0" w:space="0" w:color="auto"/>
        <w:right w:val="none" w:sz="0" w:space="0" w:color="auto"/>
      </w:divBdr>
    </w:div>
    <w:div w:id="1657756461">
      <w:bodyDiv w:val="1"/>
      <w:marLeft w:val="0"/>
      <w:marRight w:val="0"/>
      <w:marTop w:val="0"/>
      <w:marBottom w:val="0"/>
      <w:divBdr>
        <w:top w:val="none" w:sz="0" w:space="0" w:color="auto"/>
        <w:left w:val="none" w:sz="0" w:space="0" w:color="auto"/>
        <w:bottom w:val="none" w:sz="0" w:space="0" w:color="auto"/>
        <w:right w:val="none" w:sz="0" w:space="0" w:color="auto"/>
      </w:divBdr>
    </w:div>
    <w:div w:id="1848129431">
      <w:bodyDiv w:val="1"/>
      <w:marLeft w:val="0"/>
      <w:marRight w:val="0"/>
      <w:marTop w:val="0"/>
      <w:marBottom w:val="0"/>
      <w:divBdr>
        <w:top w:val="none" w:sz="0" w:space="0" w:color="auto"/>
        <w:left w:val="none" w:sz="0" w:space="0" w:color="auto"/>
        <w:bottom w:val="none" w:sz="0" w:space="0" w:color="auto"/>
        <w:right w:val="none" w:sz="0" w:space="0" w:color="auto"/>
      </w:divBdr>
    </w:div>
    <w:div w:id="2001618156">
      <w:bodyDiv w:val="1"/>
      <w:marLeft w:val="0"/>
      <w:marRight w:val="0"/>
      <w:marTop w:val="0"/>
      <w:marBottom w:val="0"/>
      <w:divBdr>
        <w:top w:val="none" w:sz="0" w:space="0" w:color="auto"/>
        <w:left w:val="none" w:sz="0" w:space="0" w:color="auto"/>
        <w:bottom w:val="none" w:sz="0" w:space="0" w:color="auto"/>
        <w:right w:val="none" w:sz="0" w:space="0" w:color="auto"/>
      </w:divBdr>
    </w:div>
    <w:div w:id="2035761820">
      <w:bodyDiv w:val="1"/>
      <w:marLeft w:val="0"/>
      <w:marRight w:val="0"/>
      <w:marTop w:val="0"/>
      <w:marBottom w:val="0"/>
      <w:divBdr>
        <w:top w:val="none" w:sz="0" w:space="0" w:color="auto"/>
        <w:left w:val="none" w:sz="0" w:space="0" w:color="auto"/>
        <w:bottom w:val="none" w:sz="0" w:space="0" w:color="auto"/>
        <w:right w:val="none" w:sz="0" w:space="0" w:color="auto"/>
      </w:divBdr>
    </w:div>
    <w:div w:id="212815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172EC-7254-4C0A-AB30-D917B4C48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5502</TotalTime>
  <Pages>18</Pages>
  <Words>30707</Words>
  <Characters>175035</Characters>
  <Application>Microsoft Office Word</Application>
  <DocSecurity>0</DocSecurity>
  <Lines>1458</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Soroush Dianaty</dc:creator>
  <cp:keywords/>
  <dc:description/>
  <cp:lastModifiedBy>Soroush Dianaty (Student)</cp:lastModifiedBy>
  <cp:revision>177</cp:revision>
  <dcterms:created xsi:type="dcterms:W3CDTF">2022-12-30T11:19:00Z</dcterms:created>
  <dcterms:modified xsi:type="dcterms:W3CDTF">2026-04-29T00:19:00Z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id="95wkc4X2"/&gt;&lt;style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name="delayCitationUpdates" value="true"/&gt;&lt;pref name="dontAskDelayCitationUpdates" value="true"/&gt;&lt;/prefs&gt;&lt;/data&gt;</vt:lpwstr>
  </property>
</Properties>
</file>