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1bc02a6b641331e70d3cb46595f3779186caa9"/>
    <w:p>
      <w:pPr>
        <w:pStyle w:val="Heading1"/>
      </w:pPr>
      <w:r>
        <w:t xml:space="preserve">Thermal representation as a decision variable in heat-adaptive tourism opportunity screening: evidence from a Madrid pilot</w:t>
      </w:r>
    </w:p>
    <w:p>
      <w:pPr>
        <w:pStyle w:val="FirstParagraph"/>
      </w:pPr>
      <w:r>
        <w:rPr>
          <w:iCs/>
          <w:i/>
        </w:rPr>
        <w:t xml:space="preserve">Prepared for submission to</w:t>
      </w:r>
      <w:r>
        <w:t xml:space="preserve"> </w:t>
      </w:r>
      <w:r>
        <w:rPr>
          <w:bCs/>
          <w:b/>
        </w:rPr>
        <w:t xml:space="preserve">Tourism Management Perspectives</w:t>
      </w:r>
      <w:r>
        <w:t xml:space="preserve"> </w:t>
      </w:r>
      <w:r>
        <w:rPr>
          <w:iCs/>
          <w:i/>
        </w:rPr>
        <w:t xml:space="preserve">(primary target).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[AUTHOR NAME(S) TO VERIFY]</w:t>
      </w:r>
    </w:p>
    <w:p>
      <w:pPr>
        <w:pStyle w:val="BodyText"/>
      </w:pPr>
      <w:r>
        <w:rPr>
          <w:bCs/>
          <w:b/>
        </w:rPr>
        <w:t xml:space="preserve">Affiliations:</w:t>
      </w:r>
      <w:r>
        <w:t xml:space="preserve"> </w:t>
      </w:r>
      <w:r>
        <w:t xml:space="preserve">[AFFILIATION(S) TO VERIFY]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[NAME TO VERIFY], [EMAIL TO VERIFY]</w:t>
      </w:r>
    </w:p>
    <w:p>
      <w:pPr>
        <w:pStyle w:val="BodyText"/>
      </w:pPr>
      <w:r>
        <w:rPr>
          <w:bCs/>
          <w:b/>
        </w:rPr>
        <w:t xml:space="preserve">ORCID:</w:t>
      </w:r>
      <w:r>
        <w:t xml:space="preserve"> </w:t>
      </w:r>
      <w:r>
        <w:t xml:space="preserve">[ORCID(S) TO VERIFY]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Extreme heat is a time- and place-sensitive management problem for urban tourism,</w:t>
      </w:r>
      <w:r>
        <w:t xml:space="preserve"> </w:t>
      </w:r>
      <w:r>
        <w:t xml:space="preserve">yet broad climate-suitability assessment operates at a coarse scale, while downstream</w:t>
      </w:r>
      <w:r>
        <w:t xml:space="preserve"> </w:t>
      </w:r>
      <w:r>
        <w:t xml:space="preserve">thermal routing and heat-adjusted accessibility presuppose the candidate set, leaving</w:t>
      </w:r>
      <w:r>
        <w:t xml:space="preserve"> </w:t>
      </w:r>
      <w:r>
        <w:t xml:space="preserve">open the upstream question of which tourism opportunities should remain feasible</w:t>
      </w:r>
      <w:r>
        <w:t xml:space="preserve"> </w:t>
      </w:r>
      <w:r>
        <w:t xml:space="preserve">candidates at a given hour. This study develops a constraint-first, uncertainty-aware</w:t>
      </w:r>
      <w:r>
        <w:t xml:space="preserve"> </w:t>
      </w:r>
      <w:r>
        <w:t xml:space="preserve">architecture for screening urban tourism opportunities under heat and tests how much</w:t>
      </w:r>
      <w:r>
        <w:t xml:space="preserve"> </w:t>
      </w:r>
      <w:r>
        <w:t xml:space="preserve">the choice of thermal representation matters. On a documented extreme-heat day in</w:t>
      </w:r>
      <w:r>
        <w:t xml:space="preserve"> </w:t>
      </w:r>
      <w:r>
        <w:t xml:space="preserve">Madrid, across 27 tourism assets at three times of day, feasibility was assessed two</w:t>
      </w:r>
      <w:r>
        <w:t xml:space="preserve"> </w:t>
      </w:r>
      <w:r>
        <w:t xml:space="preserve">ways: with a simple operational proxy combining ambient air-temperature hazard</w:t>
      </w:r>
      <w:r>
        <w:t xml:space="preserve"> </w:t>
      </w:r>
      <w:r>
        <w:t xml:space="preserve">thresholds and nearby tree-presence information, and with physically based SOLWEIG/UTCI</w:t>
      </w:r>
      <w:r>
        <w:t xml:space="preserve"> </w:t>
      </w:r>
      <w:r>
        <w:t xml:space="preserve">modelling. Changing the thermal representation reclassified one third of outdoor</w:t>
      </w:r>
      <w:r>
        <w:t xml:space="preserve"> </w:t>
      </w:r>
      <w:r>
        <w:t xml:space="preserve">asset-time observations (33.3%, 14 of 42), in both directions. Relative to a</w:t>
      </w:r>
      <w:r>
        <w:t xml:space="preserve"> </w:t>
      </w:r>
      <w:r>
        <w:t xml:space="preserve">conventional nearest-open baseline, constraint-first screening changed the</w:t>
      </w:r>
      <w:r>
        <w:t xml:space="preserve"> </w:t>
      </w:r>
      <w:r>
        <w:t xml:space="preserve">feasible-alternative set in 7 of 8 decision scenarios, the nearest-open option failed</w:t>
      </w:r>
      <w:r>
        <w:t xml:space="preserve"> </w:t>
      </w:r>
      <w:r>
        <w:t xml:space="preserve">screening in 3 of 8, and one scenario returned an explicit no-defensible-alternative</w:t>
      </w:r>
      <w:r>
        <w:t xml:space="preserve"> </w:t>
      </w:r>
      <w:r>
        <w:t xml:space="preserve">outcome when no candidate qualified. The analysis evaluates decision sensitivity to</w:t>
      </w:r>
      <w:r>
        <w:t xml:space="preserve"> </w:t>
      </w:r>
      <w:r>
        <w:t xml:space="preserve">thermal-method choice rather than the accuracy of either method against ground truth.</w:t>
      </w:r>
      <w:r>
        <w:t xml:space="preserve"> </w:t>
      </w:r>
      <w:r>
        <w:t xml:space="preserve">The findings indicate that thermal representation is a substantive modelling choice in</w:t>
      </w:r>
      <w:r>
        <w:t xml:space="preserve"> </w:t>
      </w:r>
      <w:r>
        <w:t xml:space="preserve">heat-adaptive tourism decision support, and that a constraint-first architecture can</w:t>
      </w:r>
      <w:r>
        <w:t xml:space="preserve"> </w:t>
      </w:r>
      <w:r>
        <w:t xml:space="preserve">expose that sensitivity while keeping uncertainty, evidence, and exclusion logic</w:t>
      </w:r>
      <w:r>
        <w:t xml:space="preserve"> </w:t>
      </w:r>
      <w:r>
        <w:t xml:space="preserve">explicit and complementing downstream routing and accessibility methods. Results are</w:t>
      </w:r>
      <w:r>
        <w:t xml:space="preserve"> </w:t>
      </w:r>
      <w:r>
        <w:t xml:space="preserve">limited to a single Madrid pilot without direct field validation of Tmrt/UTCI or</w:t>
      </w:r>
      <w:r>
        <w:t xml:space="preserve"> </w:t>
      </w:r>
      <w:r>
        <w:t xml:space="preserve">observed tourist behaviour.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Urban tourism; Extreme heat; UTCI; Tourism decision support; SOLWEIG;</w:t>
      </w:r>
      <w:r>
        <w:t xml:space="preserve"> </w:t>
      </w:r>
      <w:r>
        <w:t xml:space="preserve">Uncertainty-aware decision-making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In the tourism cities of Southern Europe, extreme-heat episodes increasingly overlap</w:t>
      </w:r>
      <w:r>
        <w:t xml:space="preserve"> </w:t>
      </w:r>
      <w:r>
        <w:t xml:space="preserve">with the summer season and with the daytime, outdoor conditions under which much</w:t>
      </w:r>
      <w:r>
        <w:t xml:space="preserve"> </w:t>
      </w:r>
      <w:r>
        <w:t xml:space="preserve">urban tourism takes place. Open plazas, monument forecourts, gardens, and the walking</w:t>
      </w:r>
      <w:r>
        <w:t xml:space="preserve"> </w:t>
      </w:r>
      <w:r>
        <w:t xml:space="preserve">segments between attractions become heat-exposed during these hours, and aggregate</w:t>
      </w:r>
      <w:r>
        <w:t xml:space="preserve"> </w:t>
      </w:r>
      <w:r>
        <w:t xml:space="preserve">studies show that urban activity contracts and shifts as temperatures rise (Renninger &amp; Cabrera, 2026). For destination management this is an</w:t>
      </w:r>
      <w:r>
        <w:t xml:space="preserve"> </w:t>
      </w:r>
      <w:r>
        <w:t xml:space="preserve">operational problem rather than only a long-run climatic one: on a given afternoon,</w:t>
      </w:r>
      <w:r>
        <w:t xml:space="preserve"> </w:t>
      </w:r>
      <w:r>
        <w:t xml:space="preserve">some outdoor opportunities become uncomfortable or unsuitable while others, and most</w:t>
      </w:r>
      <w:r>
        <w:t xml:space="preserve"> </w:t>
      </w:r>
      <w:r>
        <w:t xml:space="preserve">indoor options, remain usable, and visitors and the organisations that guide them</w:t>
      </w:r>
      <w:r>
        <w:t xml:space="preserve"> </w:t>
      </w:r>
      <w:r>
        <w:t xml:space="preserve">must decide among these options in near-real time. Yet heat governance has developed</w:t>
      </w:r>
      <w:r>
        <w:t xml:space="preserve"> </w:t>
      </w:r>
      <w:r>
        <w:t xml:space="preserve">largely around residents and public-health warning systems, and frameworks for</w:t>
      </w:r>
      <w:r>
        <w:t xml:space="preserve"> </w:t>
      </w:r>
      <w:r>
        <w:t xml:space="preserve">embedding tourism in heat action planning are only now being articulated (Scott, 2026; OECD, 2026). Southern-European destinations are already adapting in practice</w:t>
      </w:r>
      <w:r>
        <w:t xml:space="preserve"> </w:t>
      </w:r>
      <w:r>
        <w:t xml:space="preserve">(Ketter &amp; Farkash, 2026), and destination demand and</w:t>
      </w:r>
      <w:r>
        <w:t xml:space="preserve"> </w:t>
      </w:r>
      <w:r>
        <w:t xml:space="preserve">development are increasingly shaped by these conditions (Gössling &amp; Scott, 2025).</w:t>
      </w:r>
      <w:r>
        <w:t xml:space="preserve"> </w:t>
      </w:r>
      <w:r>
        <w:t xml:space="preserve">Critically, the exposure of tourism to heat is spatially uneven at the intra-urban</w:t>
      </w:r>
      <w:r>
        <w:t xml:space="preserve"> </w:t>
      </w:r>
      <w:r>
        <w:t xml:space="preserve">scale (Camatti et al., 2024), which is exactly the</w:t>
      </w:r>
      <w:r>
        <w:t xml:space="preserve"> </w:t>
      </w:r>
      <w:r>
        <w:t xml:space="preserve">scale at which visitors experience comfort in a historic core (Karimi &amp; Mohammad, 2022).</w:t>
      </w:r>
      <w:r>
        <w:t xml:space="preserve"> </w:t>
      </w:r>
      <w:r>
        <w:t xml:space="preserve">The practical decision is opportunity-level and time-specific: which of the</w:t>
      </w:r>
      <w:r>
        <w:t xml:space="preserve"> </w:t>
      </w:r>
      <w:r>
        <w:t xml:space="preserve">attractions in front of a visitor this afternoon should remain on the table.</w:t>
      </w:r>
    </w:p>
    <w:p>
      <w:pPr>
        <w:pStyle w:val="BodyText"/>
      </w:pPr>
      <w:r>
        <w:t xml:space="preserve">The dominant way to characterise tourism and climate has been the composite climate</w:t>
      </w:r>
      <w:r>
        <w:t xml:space="preserve"> </w:t>
      </w:r>
      <w:r>
        <w:t xml:space="preserve">index. Instruments such as the Tourism Climate Index and the Holiday Climate Index</w:t>
      </w:r>
      <w:r>
        <w:t xml:space="preserve"> </w:t>
      </w:r>
      <w:r>
        <w:t xml:space="preserve">combine several weather variables into an aggregate suitability score, and they are</w:t>
      </w:r>
      <w:r>
        <w:t xml:space="preserve"> </w:t>
      </w:r>
      <w:r>
        <w:t xml:space="preserve">well suited to comparing destinations or seasons at a broad scale (Scott et al., 2016; Kovács et al., 2025). These</w:t>
      </w:r>
      <w:r>
        <w:t xml:space="preserve"> </w:t>
      </w:r>
      <w:r>
        <w:t xml:space="preserve">indices remain useful for their intended purpose, but two features limit their reach</w:t>
      </w:r>
      <w:r>
        <w:t xml:space="preserve"> </w:t>
      </w:r>
      <w:r>
        <w:t xml:space="preserve">for opportunity-level screening. First, their outputs are known to depend on the</w:t>
      </w:r>
      <w:r>
        <w:t xml:space="preserve"> </w:t>
      </w:r>
      <w:r>
        <w:t xml:space="preserve">choice of component weights and thresholds, so the same conditions can yield</w:t>
      </w:r>
      <w:r>
        <w:t xml:space="preserve"> </w:t>
      </w:r>
      <w:r>
        <w:t xml:space="preserve">different suitability readings under different, defensible parameterisations</w:t>
      </w:r>
      <w:r>
        <w:t xml:space="preserve"> </w:t>
      </w:r>
      <w:r>
        <w:t xml:space="preserve">(Dubois et al., 2016) — a</w:t>
      </w:r>
      <w:r>
        <w:t xml:space="preserve"> </w:t>
      </w:r>
      <w:r>
        <w:t xml:space="preserve">property shared with weighted multi-criteria site-suitability approaches more broadly</w:t>
      </w:r>
      <w:r>
        <w:t xml:space="preserve"> </w:t>
      </w:r>
      <w:r>
        <w:t xml:space="preserve">(Bunruamkaew &amp; Murayama, 2011). Second, and more fundamentally here, they are</w:t>
      </w:r>
      <w:r>
        <w:t xml:space="preserve"> </w:t>
      </w:r>
      <w:r>
        <w:t xml:space="preserve">designed for destination- or season-scale characterisation, not for resolving which</w:t>
      </w:r>
      <w:r>
        <w:t xml:space="preserve"> </w:t>
      </w:r>
      <w:r>
        <w:t xml:space="preserve">individual microsite is feasible at which hour. A city-scale or daily suitability</w:t>
      </w:r>
      <w:r>
        <w:t xml:space="preserve"> </w:t>
      </w:r>
      <w:r>
        <w:t xml:space="preserve">summary does not distinguish a sun-exposed plaza from a shaded garden a few hundred</w:t>
      </w:r>
      <w:r>
        <w:t xml:space="preserve"> </w:t>
      </w:r>
      <w:r>
        <w:t xml:space="preserve">metres away, nor a noon exposure from a late-afternoon one. Screening an individual</w:t>
      </w:r>
      <w:r>
        <w:t xml:space="preserve"> </w:t>
      </w:r>
      <w:r>
        <w:t xml:space="preserve">opportunity requires a per-site, per-hour eligibility judgement — is this place</w:t>
      </w:r>
      <w:r>
        <w:t xml:space="preserve"> </w:t>
      </w:r>
      <w:r>
        <w:t xml:space="preserve">usable now, and if not, what nearby option is — which an aggregate score is not</w:t>
      </w:r>
      <w:r>
        <w:t xml:space="preserve"> </w:t>
      </w:r>
      <w:r>
        <w:t xml:space="preserve">constructed to provide. The limitation is one of spatial and temporal scale and of</w:t>
      </w:r>
      <w:r>
        <w:t xml:space="preserve"> </w:t>
      </w:r>
      <w:r>
        <w:t xml:space="preserve">decision purpose, not of validity.</w:t>
      </w:r>
    </w:p>
    <w:p>
      <w:pPr>
        <w:pStyle w:val="BodyText"/>
      </w:pPr>
      <w:r>
        <w:t xml:space="preserve">Physically based thermal modelling resolves part of what an aggregate or</w:t>
      </w:r>
      <w:r>
        <w:t xml:space="preserve"> </w:t>
      </w:r>
      <w:r>
        <w:t xml:space="preserve">air-temperature-based summary cannot. Mean radiant temperature (Tmrt) represents the</w:t>
      </w:r>
      <w:r>
        <w:t xml:space="preserve"> </w:t>
      </w:r>
      <w:r>
        <w:t xml:space="preserve">combined short- and long-wave radiant load on a person, and radiation-resolving</w:t>
      </w:r>
      <w:r>
        <w:t xml:space="preserve"> </w:t>
      </w:r>
      <w:r>
        <w:t xml:space="preserve">models of the SOLWEIG class compute it at pedestrian scale from building and</w:t>
      </w:r>
      <w:r>
        <w:t xml:space="preserve"> </w:t>
      </w:r>
      <w:r>
        <w:t xml:space="preserve">vegetation geometry and the solar path (Lindberg et al., 2008); combined with air</w:t>
      </w:r>
      <w:r>
        <w:t xml:space="preserve"> </w:t>
      </w:r>
      <w:r>
        <w:t xml:space="preserve">temperature, humidity, and wind, it yields the Universal Thermal Climate Index</w:t>
      </w:r>
      <w:r>
        <w:t xml:space="preserve"> </w:t>
      </w:r>
      <w:r>
        <w:t xml:space="preserve">(UTCI), a modelled index of heat stress on a standardised body (Bröde et al., 2012).</w:t>
      </w:r>
      <w:r>
        <w:t xml:space="preserve"> </w:t>
      </w:r>
      <w:r>
        <w:t xml:space="preserve">Such models capture the shade- and geometry-driven heterogeneity that ambient</w:t>
      </w:r>
      <w:r>
        <w:t xml:space="preserve"> </w:t>
      </w:r>
      <w:r>
        <w:t xml:space="preserve">temperature and simple vegetation counts do not, and they have been used for</w:t>
      </w:r>
      <w:r>
        <w:t xml:space="preserve"> </w:t>
      </w:r>
      <w:r>
        <w:t xml:space="preserve">city-scale comfort mapping and design (Ding et al., 2024), with a growing literature cautioning that surface- or</w:t>
      </w:r>
      <w:r>
        <w:t xml:space="preserve"> </w:t>
      </w:r>
      <w:r>
        <w:t xml:space="preserve">air-temperature summaries are not interchangeable with human-centred heat stress</w:t>
      </w:r>
      <w:r>
        <w:t xml:space="preserve"> </w:t>
      </w:r>
      <w:r>
        <w:t xml:space="preserve">(Wang et al., 2026). To date, however, these radiation-resolving</w:t>
      </w:r>
      <w:r>
        <w:t xml:space="preserve"> </w:t>
      </w:r>
      <w:r>
        <w:t xml:space="preserve">models have mostly served design, planning, and mapping; they are rarely wired</w:t>
      </w:r>
      <w:r>
        <w:t xml:space="preserve"> </w:t>
      </w:r>
      <w:r>
        <w:t xml:space="preserve">transparently into an auditable, opportunity-level tourism decision, so their</w:t>
      </w:r>
      <w:r>
        <w:t xml:space="preserve"> </w:t>
      </w:r>
      <w:r>
        <w:t xml:space="preserve">information reaches the screening stage only indirectly, if at all. It is important to be exact about what this</w:t>
      </w:r>
      <w:r>
        <w:t xml:space="preserve"> </w:t>
      </w:r>
      <w:r>
        <w:t xml:space="preserve">buys. These approaches provide a different representation of the thermal environment,</w:t>
      </w:r>
      <w:r>
        <w:t xml:space="preserve"> </w:t>
      </w:r>
      <w:r>
        <w:t xml:space="preserve">resolving additional physical dimensions relevant to pedestrian exposure; they are</w:t>
      </w:r>
      <w:r>
        <w:t xml:space="preserve"> </w:t>
      </w:r>
      <w:r>
        <w:t xml:space="preserve">not, on their own and without in-situ measurement, a validated ground truth against</w:t>
      </w:r>
      <w:r>
        <w:t xml:space="preserve"> </w:t>
      </w:r>
      <w:r>
        <w:t xml:space="preserve">which a simpler method can be called wrong (Gál &amp; Kántor, 2019). The question this raises for tourism decision-support is therefore not which</w:t>
      </w:r>
      <w:r>
        <w:t xml:space="preserve"> </w:t>
      </w:r>
      <w:r>
        <w:t xml:space="preserve">thermal method is correct, but whether the choice of thermal representation</w:t>
      </w:r>
      <w:r>
        <w:t xml:space="preserve"> </w:t>
      </w:r>
      <w:r>
        <w:t xml:space="preserve">materially changes a tourism-screening decision — a question that can be answered by</w:t>
      </w:r>
      <w:r>
        <w:t xml:space="preserve"> </w:t>
      </w:r>
      <w:r>
        <w:t xml:space="preserve">comparison even where neither representation has been field-validated.</w:t>
      </w:r>
    </w:p>
    <w:p>
      <w:pPr>
        <w:pStyle w:val="BodyText"/>
      </w:pPr>
      <w:r>
        <w:t xml:space="preserve">A fast-moving strand of heat-mobility research has begun to connect thermal exposure</w:t>
      </w:r>
      <w:r>
        <w:t xml:space="preserve"> </w:t>
      </w:r>
      <w:r>
        <w:t xml:space="preserve">to movement, and it defines the boundary of the present study most sharply. Thermal</w:t>
      </w:r>
      <w:r>
        <w:t xml:space="preserve"> </w:t>
      </w:r>
      <w:r>
        <w:t xml:space="preserve">routing takes an origin and a destination as given and finds the path of least</w:t>
      </w:r>
      <w:r>
        <w:t xml:space="preserve"> </w:t>
      </w:r>
      <w:r>
        <w:t xml:space="preserve">thermal exposure between them (Buo et al., 2026; Wolf et al., 2025). Thermal-adjusted accessibility takes a destination set as</w:t>
      </w:r>
      <w:r>
        <w:t xml:space="preserve"> </w:t>
      </w:r>
      <w:r>
        <w:t xml:space="preserve">given and measures how many destinations remain reachable under heat-adjusted travel</w:t>
      </w:r>
      <w:r>
        <w:t xml:space="preserve"> </w:t>
      </w:r>
      <w:r>
        <w:t xml:space="preserve">(Aydin et al., 2026), and</w:t>
      </w:r>
      <w:r>
        <w:t xml:space="preserve"> </w:t>
      </w:r>
      <w:r>
        <w:t xml:space="preserve">related work maps sidewalk-level heat risk along pedestrian networks (Colaninno et al., 2025) or examines whether cool refuges are equitably reachable (Mombelli et al., 2025). These methods are advancing quickly and</w:t>
      </w:r>
      <w:r>
        <w:t xml:space="preserve"> </w:t>
      </w:r>
      <w:r>
        <w:t xml:space="preserve">are complementary to what follows; they operate, however, at a downstream decision</w:t>
      </w:r>
      <w:r>
        <w:t xml:space="preserve"> </w:t>
      </w:r>
      <w:r>
        <w:t xml:space="preserve">stage. Each presupposes the candidate set — the destinations or refuges whose paths</w:t>
      </w:r>
      <w:r>
        <w:t xml:space="preserve"> </w:t>
      </w:r>
      <w:r>
        <w:t xml:space="preserve">or reachability are then evaluated. The upstream management question is distinct:</w:t>
      </w:r>
      <w:r>
        <w:t xml:space="preserve"> </w:t>
      </w:r>
      <w:r>
        <w:t xml:space="preserve">which tourism opportunities should remain eligible candidates at a given hour under</w:t>
      </w:r>
      <w:r>
        <w:t xml:space="preserve"> </w:t>
      </w:r>
      <w:r>
        <w:t xml:space="preserve">thermal, operational, accessibility, and evidence constraints, before any route is</w:t>
      </w:r>
      <w:r>
        <w:t xml:space="preserve"> </w:t>
      </w:r>
      <w:r>
        <w:t xml:space="preserve">planned or any reachability computed. That screening step, and the surviving</w:t>
      </w:r>
      <w:r>
        <w:t xml:space="preserve"> </w:t>
      </w:r>
      <w:r>
        <w:t xml:space="preserve">candidate set it produces, is what a downstream routing or accessibility method would</w:t>
      </w:r>
      <w:r>
        <w:t xml:space="preserve"> </w:t>
      </w:r>
      <w:r>
        <w:t xml:space="preserve">consume.</w:t>
      </w:r>
    </w:p>
    <w:p>
      <w:pPr>
        <w:pStyle w:val="BodyText"/>
      </w:pPr>
      <w:r>
        <w:t xml:space="preserve">Among the closest approaches identified in a targeted review of this literature, we</w:t>
      </w:r>
      <w:r>
        <w:t xml:space="preserve"> </w:t>
      </w:r>
      <w:r>
        <w:t xml:space="preserve">found that routing, accessibility, thermal mapping, and composite climate suitability</w:t>
      </w:r>
      <w:r>
        <w:t xml:space="preserve"> </w:t>
      </w:r>
      <w:r>
        <w:t xml:space="preserve">are each addressed separately, and none screens individual tourism opportunities by</w:t>
      </w:r>
      <w:r>
        <w:t xml:space="preserve"> </w:t>
      </w:r>
      <w:r>
        <w:t xml:space="preserve">explicit physical-thermal, accessibility, and evidence constraints at a specific hour</w:t>
      </w:r>
      <w:r>
        <w:t xml:space="preserve"> </w:t>
      </w:r>
      <w:r>
        <w:t xml:space="preserve">while keeping hazard, exposure, confidence, and evidence traceably distinct. The</w:t>
      </w:r>
      <w:r>
        <w:t xml:space="preserve"> </w:t>
      </w:r>
      <w:r>
        <w:t xml:space="preserve">present study addresses that screening stage. It develops a constraint-first,</w:t>
      </w:r>
      <w:r>
        <w:t xml:space="preserve"> </w:t>
      </w:r>
      <w:r>
        <w:t xml:space="preserve">uncertainty-aware architecture for screening urban tourism opportunities under heat —</w:t>
      </w:r>
      <w:r>
        <w:t xml:space="preserve"> </w:t>
      </w:r>
      <w:r>
        <w:t xml:space="preserve">one that evaluates each opportunity against an ordered sequence of hard constraints,</w:t>
      </w:r>
      <w:r>
        <w:t xml:space="preserve"> </w:t>
      </w:r>
      <w:r>
        <w:t xml:space="preserve">records a single machine-readable reason for every exclusion, keeps the thermal state</w:t>
      </w:r>
      <w:r>
        <w:t xml:space="preserve"> </w:t>
      </w:r>
      <w:r>
        <w:t xml:space="preserve">separate from the confidence in the decision, and returns a set of surviving</w:t>
      </w:r>
      <w:r>
        <w:t xml:space="preserve"> </w:t>
      </w:r>
      <w:r>
        <w:t xml:space="preserve">alternatives or, where nothing qualifies, an explicit no-recommendation outcome</w:t>
      </w:r>
      <w:r>
        <w:t xml:space="preserve"> </w:t>
      </w:r>
      <w:r>
        <w:t xml:space="preserve">rather than a forced choice. In treating uncertainty as a first-class, categorical</w:t>
      </w:r>
      <w:r>
        <w:t xml:space="preserve"> </w:t>
      </w:r>
      <w:r>
        <w:t xml:space="preserve">property of each decision rather than folding it into a single composite score, the</w:t>
      </w:r>
      <w:r>
        <w:t xml:space="preserve"> </w:t>
      </w:r>
      <w:r>
        <w:t xml:space="preserve">architecture draws on the tradition of uncertainty-aware spatial decision-support</w:t>
      </w:r>
      <w:r>
        <w:t xml:space="preserve"> </w:t>
      </w:r>
      <w:r>
        <w:t xml:space="preserve">(Huck et al., 2025; Sargazi et al., 2025). Because the architecture places the thermal input in an</w:t>
      </w:r>
      <w:r>
        <w:t xml:space="preserve"> </w:t>
      </w:r>
      <w:r>
        <w:t xml:space="preserve">explicit and swappable position, it also supports a direct empirical test of how much</w:t>
      </w:r>
      <w:r>
        <w:t xml:space="preserve"> </w:t>
      </w:r>
      <w:r>
        <w:t xml:space="preserve">that input matters: the study compares a simple operational proxy — combining ambient</w:t>
      </w:r>
      <w:r>
        <w:t xml:space="preserve"> </w:t>
      </w:r>
      <w:r>
        <w:t xml:space="preserve">air-temperature hazard thresholds with nearby tree-presence information — against a</w:t>
      </w:r>
      <w:r>
        <w:t xml:space="preserve"> </w:t>
      </w:r>
      <w:r>
        <w:t xml:space="preserve">physically based (SOLWEIG/UTCI) configuration, and against a conventional</w:t>
      </w:r>
      <w:r>
        <w:t xml:space="preserve"> </w:t>
      </w:r>
      <w:r>
        <w:t xml:space="preserve">nearest-open recommender, on a single documented extreme-heat day in central Madrid.</w:t>
      </w:r>
      <w:r>
        <w:t xml:space="preserve"> </w:t>
      </w:r>
      <w:r>
        <w:t xml:space="preserve">The contribution is thus an applied, reproducible decision-support architecture</w:t>
      </w:r>
      <w:r>
        <w:t xml:space="preserve"> </w:t>
      </w:r>
      <w:r>
        <w:t xml:space="preserve">together with a case-based demonstration of whether thermal-method choice is</w:t>
      </w:r>
      <w:r>
        <w:t xml:space="preserve"> </w:t>
      </w:r>
      <w:r>
        <w:t xml:space="preserve">decision-relevant; it does not rest on either thermal method being validated, and it</w:t>
      </w:r>
      <w:r>
        <w:t xml:space="preserve"> </w:t>
      </w:r>
      <w:r>
        <w:t xml:space="preserve">makes no claim about tourist behaviour, flows, or outcomes. The study is guided by</w:t>
      </w:r>
      <w:r>
        <w:t xml:space="preserve"> </w:t>
      </w:r>
      <w:r>
        <w:t xml:space="preserve">three research questions: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RQ1 (method sensitivity).</w:t>
      </w:r>
      <w:r>
        <w:t xml:space="preserve"> </w:t>
      </w:r>
      <w:r>
        <w:t xml:space="preserve">Does physically based (SOLWEIG/UTCI) thermal</w:t>
      </w:r>
      <w:r>
        <w:t xml:space="preserve"> </w:t>
      </w:r>
      <w:r>
        <w:t xml:space="preserve">modelling materially alter tourism-feasibility classifications relative to the</w:t>
      </w:r>
      <w:r>
        <w:t xml:space="preserve"> </w:t>
      </w:r>
      <w:r>
        <w:t xml:space="preserve">simple air-temperature-and-tree-presence proxy, and is any difference physically</w:t>
      </w:r>
      <w:r>
        <w:t xml:space="preserve"> </w:t>
      </w:r>
      <w:r>
        <w:t xml:space="preserve">interpretable?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RQ2 (decision-support value).</w:t>
      </w:r>
      <w:r>
        <w:t xml:space="preserve"> </w:t>
      </w:r>
      <w:r>
        <w:t xml:space="preserve">Does constraint-first, heat-aware screening</w:t>
      </w:r>
      <w:r>
        <w:t xml:space="preserve"> </w:t>
      </w:r>
      <w:r>
        <w:t xml:space="preserve">change the set of feasible alternatives relative to a conventional nearest-open</w:t>
      </w:r>
      <w:r>
        <w:t xml:space="preserve"> </w:t>
      </w:r>
      <w:r>
        <w:t xml:space="preserve">baseline, and does it decline to recommend when nothing accessible qualifies?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RQ3 (robustness and traceability).</w:t>
      </w:r>
      <w:r>
        <w:t xml:space="preserve"> </w:t>
      </w:r>
      <w:r>
        <w:t xml:space="preserve">Do those decisions remain auditable and</w:t>
      </w:r>
      <w:r>
        <w:t xml:space="preserve"> </w:t>
      </w:r>
      <w:r>
        <w:t xml:space="preserve">stable under the tested uncertainty while preserving explicit no-recommendation</w:t>
      </w:r>
      <w:r>
        <w:t xml:space="preserve"> </w:t>
      </w:r>
      <w:r>
        <w:t xml:space="preserve">outcomes?</w:t>
      </w:r>
    </w:p>
    <w:p>
      <w:r>
        <w:pict>
          <v:rect style="width:0;height:1.5pt" o:hralign="center" o:hrstd="t" o:hr="t"/>
        </w:pict>
      </w:r>
    </w:p>
    <w:bookmarkEnd w:id="22"/>
    <w:bookmarkStart w:id="32" w:name="methods"/>
    <w:p>
      <w:pPr>
        <w:pStyle w:val="Heading1"/>
      </w:pPr>
      <w:r>
        <w:t xml:space="preserve">2. Methods</w:t>
      </w:r>
    </w:p>
    <w:bookmarkStart w:id="23" w:name="study-design-and-study-area"/>
    <w:p>
      <w:pPr>
        <w:pStyle w:val="Heading2"/>
      </w:pPr>
      <w:r>
        <w:t xml:space="preserve">2.1 Study design and study area</w:t>
      </w:r>
    </w:p>
    <w:p>
      <w:pPr>
        <w:pStyle w:val="FirstParagraph"/>
      </w:pPr>
      <w:r>
        <w:t xml:space="preserve">This study is a single-city, single-day pilot designed to test whether the choice</w:t>
      </w:r>
      <w:r>
        <w:t xml:space="preserve"> </w:t>
      </w:r>
      <w:r>
        <w:t xml:space="preserve">of thermal-exposure method changes heat-adaptive tourism screening decisions, and</w:t>
      </w:r>
      <w:r>
        <w:t xml:space="preserve"> </w:t>
      </w:r>
      <w:r>
        <w:t xml:space="preserve">to demonstrate a transparent decision architecture in which any such difference is</w:t>
      </w:r>
      <w:r>
        <w:t xml:space="preserve"> </w:t>
      </w:r>
      <w:r>
        <w:t xml:space="preserve">made explicit. It deliberately trades breadth for auditability, using a compact</w:t>
      </w:r>
      <w:r>
        <w:t xml:space="preserve"> </w:t>
      </w:r>
      <w:r>
        <w:t xml:space="preserve">study area, a fixed set of real tourism assets, and a few fixed hours.</w:t>
      </w:r>
    </w:p>
    <w:p>
      <w:pPr>
        <w:pStyle w:val="BodyText"/>
      </w:pPr>
      <w:r>
        <w:t xml:space="preserve">The study area is a rectangular box of approximately 3.5 km² in central Madrid,</w:t>
      </w:r>
      <w:r>
        <w:t xml:space="preserve"> </w:t>
      </w:r>
      <w:r>
        <w:t xml:space="preserve">spanning the Paseo del Prado museum corridor, the Puerta de Alcalá and Cibeles</w:t>
      </w:r>
      <w:r>
        <w:t xml:space="preserve"> </w:t>
      </w:r>
      <w:r>
        <w:t xml:space="preserve">plazas, the Atocha transit hub, and a western slice of the Retiro park interior</w:t>
      </w:r>
      <w:r>
        <w:t xml:space="preserve"> </w:t>
      </w:r>
      <w:r>
        <w:t xml:space="preserve">(the Prado–Retiro–Atocha box). The rectangle is pinned to named, independently</w:t>
      </w:r>
      <w:r>
        <w:t xml:space="preserve"> </w:t>
      </w:r>
      <w:r>
        <w:t xml:space="preserve">verifiable landmarks so that it can be reproduced without any proprietary boundary</w:t>
      </w:r>
      <w:r>
        <w:t xml:space="preserve"> </w:t>
      </w:r>
      <w:r>
        <w:t xml:space="preserve">file, and was drawn to include a cross-section of adaptation conditions — open</w:t>
      </w:r>
      <w:r>
        <w:t xml:space="preserve"> </w:t>
      </w:r>
      <w:r>
        <w:t xml:space="preserve">monumental plazas, an indoor museum corridor, a transit interchange, and shaded</w:t>
      </w:r>
      <w:r>
        <w:t xml:space="preserve"> </w:t>
      </w:r>
      <w:r>
        <w:t xml:space="preserve">gardens — while remaining small enough to keep every asset individually inspectable (Fig. 1a).</w:t>
      </w:r>
    </w:p>
    <w:p>
      <w:pPr>
        <w:pStyle w:val="BodyText"/>
      </w:pPr>
      <w:r>
        <w:t xml:space="preserve">Within this area we curated 27 real, named tourism assets from OpenStreetMap</w:t>
      </w:r>
      <w:r>
        <w:t xml:space="preserve"> </w:t>
      </w:r>
      <w:r>
        <w:t xml:space="preserve">(13 indoor, 14 outdoor), each resolved to a specific OSM feature identifier. The</w:t>
      </w:r>
      <w:r>
        <w:t xml:space="preserve"> </w:t>
      </w:r>
      <w:r>
        <w:t xml:space="preserve">set was hand-selected to span the adaptation conditions above rather than sampled</w:t>
      </w:r>
      <w:r>
        <w:t xml:space="preserve"> </w:t>
      </w:r>
      <w:r>
        <w:t xml:space="preserve">at random; it is therefore a purposive pilot, not a representative sample, and no</w:t>
      </w:r>
      <w:r>
        <w:t xml:space="preserve"> </w:t>
      </w:r>
      <w:r>
        <w:t xml:space="preserve">inference to the full population of Madrid tourism sites is drawn from it.</w:t>
      </w:r>
    </w:p>
    <w:p>
      <w:pPr>
        <w:pStyle w:val="BodyText"/>
      </w:pPr>
      <w:r>
        <w:t xml:space="preserve">The study day is 21 August 2023, which falls inside an extreme-heat episode</w:t>
      </w:r>
      <w:r>
        <w:t xml:space="preserve"> </w:t>
      </w:r>
      <w:r>
        <w:t xml:space="preserve">(20–25 August 2023) formally designated by the Spanish State Meteorological Agency</w:t>
      </w:r>
      <w:r>
        <w:t xml:space="preserve"> </w:t>
      </w:r>
      <w:r>
        <w:t xml:space="preserve">(AEMET) for the Madrid region. Using an officially designated episode, rather than</w:t>
      </w:r>
      <w:r>
        <w:t xml:space="preserve"> </w:t>
      </w:r>
      <w:r>
        <w:t xml:space="preserve">a self-selected hot day, anchors the</w:t>
      </w:r>
      <w:r>
        <w:t xml:space="preserve"> </w:t>
      </w:r>
      <w:r>
        <w:t xml:space="preserve">“</w:t>
      </w:r>
      <w:r>
        <w:t xml:space="preserve">extreme heat</w:t>
      </w:r>
      <w:r>
        <w:t xml:space="preserve">”</w:t>
      </w:r>
      <w:r>
        <w:t xml:space="preserve"> </w:t>
      </w:r>
      <w:r>
        <w:t xml:space="preserve">framing to an external</w:t>
      </w:r>
      <w:r>
        <w:t xml:space="preserve"> </w:t>
      </w:r>
      <w:r>
        <w:t xml:space="preserve">authority. The day is treated as a representative extreme-heat case only; it is</w:t>
      </w:r>
      <w:r>
        <w:t xml:space="preserve"> </w:t>
      </w:r>
      <w:r>
        <w:t xml:space="preserve">not claimed to represent Madrid climatologically, and no seasonal or multi-day</w:t>
      </w:r>
      <w:r>
        <w:t xml:space="preserve"> </w:t>
      </w:r>
      <w:r>
        <w:t xml:space="preserve">generalisation is made from it. Three fixed local hours are analysed — 12:00,</w:t>
      </w:r>
      <w:r>
        <w:t xml:space="preserve"> </w:t>
      </w:r>
      <w:r>
        <w:t xml:space="preserve">15:00, and 18:00 (CEST) — with observed air temperatures of 34.2, 38.8, and</w:t>
      </w:r>
      <w:r>
        <w:t xml:space="preserve"> </w:t>
      </w:r>
      <w:r>
        <w:t xml:space="preserve">40.5 °C respectively. These hours were fixed by the study design before any data</w:t>
      </w:r>
      <w:r>
        <w:t xml:space="preserve"> </w:t>
      </w:r>
      <w:r>
        <w:t xml:space="preserve">were retrieved.</w:t>
      </w:r>
    </w:p>
    <w:p>
      <w:pPr>
        <w:pStyle w:val="BodyText"/>
      </w:pPr>
      <w:r>
        <w:t xml:space="preserve">The primary unit of analysis is the tourism asset × timestamp pair. Thermal-method</w:t>
      </w:r>
      <w:r>
        <w:t xml:space="preserve"> </w:t>
      </w:r>
      <w:r>
        <w:t xml:space="preserve">comparison is performed on the 42 outdoor pairs (14 outdoor assets × 3 hours);</w:t>
      </w:r>
      <w:r>
        <w:t xml:space="preserve"> </w:t>
      </w:r>
      <w:r>
        <w:t xml:space="preserve">indoor assets bypass the outdoor thermal model by construction (Section 2.4). The</w:t>
      </w:r>
      <w:r>
        <w:t xml:space="preserve"> </w:t>
      </w:r>
      <w:r>
        <w:t xml:space="preserve">individual tourist is explicitly not a unit of analysis, and no quantity in this</w:t>
      </w:r>
      <w:r>
        <w:t xml:space="preserve"> </w:t>
      </w:r>
      <w:r>
        <w:t xml:space="preserve">study describes tourist behaviour, choice, or flow.</w:t>
      </w:r>
    </w:p>
    <w:bookmarkEnd w:id="23"/>
    <w:bookmarkStart w:id="24" w:name="data-sources-and-preprocessing"/>
    <w:p>
      <w:pPr>
        <w:pStyle w:val="Heading2"/>
      </w:pPr>
      <w:r>
        <w:t xml:space="preserve">2.2 Data sources and preprocessing</w:t>
      </w:r>
    </w:p>
    <w:p>
      <w:pPr>
        <w:pStyle w:val="FirstParagraph"/>
      </w:pPr>
      <w:r>
        <w:t xml:space="preserve">All inputs are open data with documented provenance (Table 1). We distinguish three</w:t>
      </w:r>
      <w:r>
        <w:t xml:space="preserve"> </w:t>
      </w:r>
      <w:r>
        <w:t xml:space="preserve">categories: observed meteorological data, modelled or derived physical inputs, and</w:t>
      </w:r>
      <w:r>
        <w:t xml:space="preserve"> </w:t>
      </w:r>
      <w:r>
        <w:t xml:space="preserve">contextual tourism data.</w:t>
      </w:r>
    </w:p>
    <w:p>
      <w:pPr>
        <w:pStyle w:val="BodyText"/>
      </w:pPr>
      <w:r>
        <w:rPr>
          <w:bCs/>
          <w:b/>
        </w:rPr>
        <w:t xml:space="preserve">Observed meteorological data.</w:t>
      </w:r>
      <w:r>
        <w:t xml:space="preserve"> </w:t>
      </w:r>
      <w:r>
        <w:t xml:space="preserve">Hourly air temperature, relative humidity, wind</w:t>
      </w:r>
      <w:r>
        <w:t xml:space="preserve"> </w:t>
      </w:r>
      <w:r>
        <w:t xml:space="preserve">speed, and pressure for 21 August 2023 were taken from the Madrid/Barajas station</w:t>
      </w:r>
      <w:r>
        <w:t xml:space="preserve"> </w:t>
      </w:r>
      <w:r>
        <w:t xml:space="preserve">(WMO 08221, ICAO LEMD), the nearest station with a genuine (non-modelled) hourly</w:t>
      </w:r>
      <w:r>
        <w:t xml:space="preserve"> </w:t>
      </w:r>
      <w:r>
        <w:t xml:space="preserve">observation record. The station lies approximately 9 km north-east of the study</w:t>
      </w:r>
      <w:r>
        <w:t xml:space="preserve"> </w:t>
      </w:r>
      <w:r>
        <w:t xml:space="preserve">area on an airport apron; its readings are used as the best available real,</w:t>
      </w:r>
      <w:r>
        <w:t xml:space="preserve"> </w:t>
      </w:r>
      <w:r>
        <w:t xml:space="preserve">sub-daily anchor for the regional heat signal, not as an estimate of on-site air</w:t>
      </w:r>
      <w:r>
        <w:t xml:space="preserve"> </w:t>
      </w:r>
      <w:r>
        <w:t xml:space="preserve">temperature at each asset, and each record carries a note quantifying the station’s</w:t>
      </w:r>
      <w:r>
        <w:t xml:space="preserve"> </w:t>
      </w:r>
      <w:r>
        <w:t xml:space="preserve">agreement with AEMET’s in-park Retiro reference (about +0.5 °C at daily maximum). A</w:t>
      </w:r>
      <w:r>
        <w:t xml:space="preserve"> </w:t>
      </w:r>
      <w:r>
        <w:t xml:space="preserve">co-located Retiro hourly series was sought but found to be reanalysis-interpolated</w:t>
      </w:r>
      <w:r>
        <w:t xml:space="preserve"> </w:t>
      </w:r>
      <w:r>
        <w:t xml:space="preserve">rather than observed, and was not used. The meteorological warning thresholds and</w:t>
      </w:r>
      <w:r>
        <w:t xml:space="preserve"> </w:t>
      </w:r>
      <w:r>
        <w:t xml:space="preserve">the episode designation are drawn from official AEMET publications.</w:t>
      </w:r>
    </w:p>
    <w:p>
      <w:pPr>
        <w:pStyle w:val="BodyText"/>
      </w:pPr>
      <w:r>
        <w:rPr>
          <w:bCs/>
          <w:b/>
        </w:rPr>
        <w:t xml:space="preserve">Modelled and derived physical inputs.</w:t>
      </w:r>
      <w:r>
        <w:t xml:space="preserve"> </w:t>
      </w:r>
      <w:r>
        <w:t xml:space="preserve">The physical thermal model (Section 2.4)</w:t>
      </w:r>
      <w:r>
        <w:t xml:space="preserve"> </w:t>
      </w:r>
      <w:r>
        <w:t xml:space="preserve">is driven by three-dimensional urban geometry from Spanish national LiDAR products</w:t>
      </w:r>
      <w:r>
        <w:t xml:space="preserve"> </w:t>
      </w:r>
      <w:r>
        <w:t xml:space="preserve">(IGN/CNIG): a 5 m digital elevation model and 2.5 m building- and vegetation-height</w:t>
      </w:r>
      <w:r>
        <w:t xml:space="preserve"> </w:t>
      </w:r>
      <w:r>
        <w:t xml:space="preserve">layers, each clipped to the study area. Global horizontal</w:t>
      </w:r>
      <w:r>
        <w:t xml:space="preserve"> </w:t>
      </w:r>
      <w:r>
        <w:t xml:space="preserve">irradiance, which the Barajas hourly archive does not record, was estimated with a</w:t>
      </w:r>
      <w:r>
        <w:t xml:space="preserve"> </w:t>
      </w:r>
      <w:r>
        <w:t xml:space="preserve">clear-sky radiation model (the Ineichen–Perez formulation) evaluated at the</w:t>
      </w:r>
      <w:r>
        <w:t xml:space="preserve"> </w:t>
      </w:r>
      <w:r>
        <w:t xml:space="preserve">study-area centroid and true timestamps, a substitution justified by the archive’s</w:t>
      </w:r>
      <w:r>
        <w:t xml:space="preserve"> </w:t>
      </w:r>
      <w:r>
        <w:t xml:space="preserve">own clear-sky weather code at all three hours. This irradiance is an estimated, not</w:t>
      </w:r>
      <w:r>
        <w:t xml:space="preserve"> </w:t>
      </w:r>
      <w:r>
        <w:t xml:space="preserve">observed, input and is treated as such throughout.</w:t>
      </w:r>
    </w:p>
    <w:p>
      <w:pPr>
        <w:pStyle w:val="BodyText"/>
      </w:pPr>
      <w:r>
        <w:rPr>
          <w:bCs/>
          <w:b/>
        </w:rPr>
        <w:t xml:space="preserve">Contextual tourism data.</w:t>
      </w:r>
      <w:r>
        <w:t xml:space="preserve"> </w:t>
      </w:r>
      <w:r>
        <w:t xml:space="preserve">Asset locations, categories, tree points, and</w:t>
      </w:r>
      <w:r>
        <w:t xml:space="preserve"> </w:t>
      </w:r>
      <w:r>
        <w:t xml:space="preserve">park/garden polygons are from OpenStreetMap (ODbL). Opening hours were harvested</w:t>
      </w:r>
      <w:r>
        <w:t xml:space="preserve"> </w:t>
      </w:r>
      <w:r>
        <w:t xml:space="preserve">from OpenStreetMap tags where present (11 of 27 assets) and otherwise filled from</w:t>
      </w:r>
      <w:r>
        <w:t xml:space="preserve"> </w:t>
      </w:r>
      <w:r>
        <w:t xml:space="preserve">documented institutional schedules (16 of 27), each recorded with its source and an</w:t>
      </w:r>
      <w:r>
        <w:t xml:space="preserve"> </w:t>
      </w:r>
      <w:r>
        <w:t xml:space="preserve">evidence-completeness flag. One temporal-alignment limitation is material and is</w:t>
      </w:r>
      <w:r>
        <w:t xml:space="preserve"> </w:t>
      </w:r>
      <w:r>
        <w:t xml:space="preserve">stated explicitly: the OpenStreetMap snapshot and the institutional opening hours</w:t>
      </w:r>
      <w:r>
        <w:t xml:space="preserve"> </w:t>
      </w:r>
      <w:r>
        <w:t xml:space="preserve">were retrieved in 2026 and applied retrospectively to the 2023 study date. This</w:t>
      </w:r>
      <w:r>
        <w:t xml:space="preserve"> </w:t>
      </w:r>
      <w:r>
        <w:t xml:space="preserve">assumes the pilot area’s urban form and operating schedules did not change</w:t>
      </w:r>
      <w:r>
        <w:t xml:space="preserve"> </w:t>
      </w:r>
      <w:r>
        <w:t xml:space="preserve">materially over that window — reasonable for a stable, protected city core, but not</w:t>
      </w:r>
      <w:r>
        <w:t xml:space="preserve"> </w:t>
      </w:r>
      <w:r>
        <w:t xml:space="preserve">verified — and it is carried forward as a permanent limitation.</w:t>
      </w:r>
    </w:p>
    <w:bookmarkEnd w:id="24"/>
    <w:bookmarkStart w:id="25" w:name="simple-proxy-baseline"/>
    <w:p>
      <w:pPr>
        <w:pStyle w:val="Heading2"/>
      </w:pPr>
      <w:r>
        <w:t xml:space="preserve">2.3 Simple-proxy baseline</w:t>
      </w:r>
    </w:p>
    <w:p>
      <w:pPr>
        <w:pStyle w:val="FirstParagraph"/>
      </w:pPr>
      <w:r>
        <w:t xml:space="preserve">The comparison baseline is a constraint-first, open-data feasibility</w:t>
      </w:r>
      <w:r>
        <w:t xml:space="preserve"> </w:t>
      </w:r>
      <w:r>
        <w:t xml:space="preserve">classification that uses no radiative, surface-temperature, or shadow information.</w:t>
      </w:r>
      <w:r>
        <w:t xml:space="preserve"> </w:t>
      </w:r>
      <w:r>
        <w:t xml:space="preserve">It combines exactly two inputs through a decision rule. It is not a land-surface-</w:t>
      </w:r>
      <w:r>
        <w:t xml:space="preserve"> </w:t>
      </w:r>
      <w:r>
        <w:t xml:space="preserve">temperature product, a satellite surface-temperature proxy, a canopy or shade</w:t>
      </w:r>
      <w:r>
        <w:t xml:space="preserve"> </w:t>
      </w:r>
      <w:r>
        <w:t xml:space="preserve">model, or a shadow simulation; no such quantity enters it.</w:t>
      </w:r>
    </w:p>
    <w:p>
      <w:pPr>
        <w:pStyle w:val="BodyText"/>
      </w:pPr>
      <w:r>
        <w:t xml:space="preserve">The first input is an ambient air-temperature hazard band. The observed hourly air</w:t>
      </w:r>
      <w:r>
        <w:t xml:space="preserve"> </w:t>
      </w:r>
      <w:r>
        <w:t xml:space="preserve">temperature (Section 2.2) is classified against AEMET’s official Meteoalerta</w:t>
      </w:r>
      <w:r>
        <w:t xml:space="preserve"> </w:t>
      </w:r>
      <w:r>
        <w:t xml:space="preserve">maximum-temperature civil-protection thresholds for the Madrid metropolitan zone</w:t>
      </w:r>
      <w:r>
        <w:t xml:space="preserve"> </w:t>
      </w:r>
      <w:r>
        <w:t xml:space="preserve">(warning levels at 36, 39, and 42 °C), yielding bands LOW, ELEVATED, SEVERE, and</w:t>
      </w:r>
      <w:r>
        <w:t xml:space="preserve"> </w:t>
      </w:r>
      <w:r>
        <w:t xml:space="preserve">EXTREME. Under this scale the three study hours fall in LOW (12:00), ELEVATED</w:t>
      </w:r>
      <w:r>
        <w:t xml:space="preserve"> </w:t>
      </w:r>
      <w:r>
        <w:t xml:space="preserve">(15:00), and SEVERE (18:00). This is a meteorological hazard classification of a</w:t>
      </w:r>
      <w:r>
        <w:t xml:space="preserve"> </w:t>
      </w:r>
      <w:r>
        <w:t xml:space="preserve">station reading against a warning scale; it is not, and is never read as, a</w:t>
      </w:r>
      <w:r>
        <w:t xml:space="preserve"> </w:t>
      </w:r>
      <w:r>
        <w:t xml:space="preserve">thermal-comfort index.</w:t>
      </w:r>
    </w:p>
    <w:p>
      <w:pPr>
        <w:pStyle w:val="BodyText"/>
      </w:pPr>
      <w:r>
        <w:t xml:space="preserve">The second input is an exposure band derived from the local count of OpenStreetMap</w:t>
      </w:r>
      <w:r>
        <w:t xml:space="preserve"> </w:t>
      </w:r>
      <w:r>
        <w:rPr>
          <w:rStyle w:val="VerbatimChar"/>
        </w:rPr>
        <w:t xml:space="preserve">natural=tree</w:t>
      </w:r>
      <w:r>
        <w:t xml:space="preserve"> </w:t>
      </w:r>
      <w:r>
        <w:t xml:space="preserve">points within the asset’s real extent — a 50 m radius buffer for</w:t>
      </w:r>
      <w:r>
        <w:t xml:space="preserve"> </w:t>
      </w:r>
      <w:r>
        <w:t xml:space="preserve">point-type assets, or the asset’s own park/garden polygon buffered by 15 m for the</w:t>
      </w:r>
      <w:r>
        <w:t xml:space="preserve"> </w:t>
      </w:r>
      <w:r>
        <w:t xml:space="preserve">eight area-type assets. The tree count is classified into LOW, MODERATE, or HIGH</w:t>
      </w:r>
      <w:r>
        <w:t xml:space="preserve"> </w:t>
      </w:r>
      <w:r>
        <w:t xml:space="preserve">exposure by tercile of the pilot’s own 14-outdoor-asset tree-count distribution</w:t>
      </w:r>
      <w:r>
        <w:t xml:space="preserve"> </w:t>
      </w:r>
      <w:r>
        <w:t xml:space="preserve">(tercile cut-points of 0.33 and 3.67 trees), where HIGH denotes the fewest trees</w:t>
      </w:r>
      <w:r>
        <w:t xml:space="preserve"> </w:t>
      </w:r>
      <w:r>
        <w:t xml:space="preserve">(poorest shade availability). These terciles are an explicit within-sample relative</w:t>
      </w:r>
      <w:r>
        <w:t xml:space="preserve"> </w:t>
      </w:r>
      <w:r>
        <w:t xml:space="preserve">grade, not a transferable threshold, because no published tree-count shade-</w:t>
      </w:r>
      <w:r>
        <w:t xml:space="preserve"> </w:t>
      </w:r>
      <w:r>
        <w:t xml:space="preserve">sufficiency standard exists to cite. The tree count is a presence proxy for local</w:t>
      </w:r>
      <w:r>
        <w:t xml:space="preserve"> </w:t>
      </w:r>
      <w:r>
        <w:t xml:space="preserve">shade availability; it does not measure canopy cover, shadow geometry, or sun</w:t>
      </w:r>
      <w:r>
        <w:t xml:space="preserve"> </w:t>
      </w:r>
      <w:r>
        <w:t xml:space="preserve">position.</w:t>
      </w:r>
    </w:p>
    <w:p>
      <w:pPr>
        <w:pStyle w:val="BodyText"/>
      </w:pPr>
      <w:r>
        <w:t xml:space="preserve">The two bands are combined by a first-matching-rule decision tree, with no weighted</w:t>
      </w:r>
      <w:r>
        <w:t xml:space="preserve"> </w:t>
      </w:r>
      <w:r>
        <w:t xml:space="preserve">score. For outdoor assets: an EXTREME hazard band yields NOT RECOMMENDED; SEVERE</w:t>
      </w:r>
      <w:r>
        <w:t xml:space="preserve"> </w:t>
      </w:r>
      <w:r>
        <w:t xml:space="preserve">yields NOT RECOMMENDED where exposure is HIGH and otherwise FEASIBLE WITH</w:t>
      </w:r>
      <w:r>
        <w:t xml:space="preserve"> </w:t>
      </w:r>
      <w:r>
        <w:t xml:space="preserve">CONDITIONS; ELEVATED yields FEASIBLE WITH CONDITIONS; and LOW yields FEASIBLE, or</w:t>
      </w:r>
      <w:r>
        <w:t xml:space="preserve"> </w:t>
      </w:r>
      <w:r>
        <w:t xml:space="preserve">FEASIBLE WITH CONDITIONS where exposure is HIGH. Indoor assets bypass the exposure</w:t>
      </w:r>
      <w:r>
        <w:t xml:space="preserve"> </w:t>
      </w:r>
      <w:r>
        <w:t xml:space="preserve">input. This baseline approximates pedestrian heat load with two inexpensive</w:t>
      </w:r>
      <w:r>
        <w:t xml:space="preserve"> </w:t>
      </w:r>
      <w:r>
        <w:t xml:space="preserve">surrogates — an ambient hazard signal and local tree presence — and represents the</w:t>
      </w:r>
      <w:r>
        <w:t xml:space="preserve"> </w:t>
      </w:r>
      <w:r>
        <w:t xml:space="preserve">simplest defensible open-data screening architecture available before any physical</w:t>
      </w:r>
      <w:r>
        <w:t xml:space="preserve"> </w:t>
      </w:r>
      <w:r>
        <w:t xml:space="preserve">modelling; it does not measure human thermal comfort.</w:t>
      </w:r>
    </w:p>
    <w:bookmarkEnd w:id="25"/>
    <w:bookmarkStart w:id="26" w:name="X6d366b0ab3ebf854555c2a620b4ea8c50db9c90"/>
    <w:p>
      <w:pPr>
        <w:pStyle w:val="Heading2"/>
      </w:pPr>
      <w:r>
        <w:t xml:space="preserve">2.4 Physically based thermal-exposure modelling</w:t>
      </w:r>
    </w:p>
    <w:p>
      <w:pPr>
        <w:pStyle w:val="FirstParagraph"/>
      </w:pPr>
      <w:r>
        <w:t xml:space="preserve">The physical comparator replaces the two-surrogate baseline with a radiation-</w:t>
      </w:r>
      <w:r>
        <w:t xml:space="preserve"> </w:t>
      </w:r>
      <w:r>
        <w:t xml:space="preserve">resolving estimate of pedestrian-level heat load. Mean radiant temperature (Tmrt)</w:t>
      </w:r>
      <w:r>
        <w:t xml:space="preserve"> </w:t>
      </w:r>
      <w:r>
        <w:t xml:space="preserve">was modelled with SOLWEIG (Lindberg et al., 2008), a three-dimensional radiant-flux</w:t>
      </w:r>
      <w:r>
        <w:t xml:space="preserve"> </w:t>
      </w:r>
      <w:r>
        <w:t xml:space="preserve">model, and combined with meteorological forcing to derive the Universal Thermal</w:t>
      </w:r>
      <w:r>
        <w:t xml:space="preserve"> </w:t>
      </w:r>
      <w:r>
        <w:t xml:space="preserve">Climate Index (UTCI). We used the official standalone</w:t>
      </w:r>
      <w:r>
        <w:t xml:space="preserve"> </w:t>
      </w:r>
      <w:r>
        <w:rPr>
          <w:rStyle w:val="VerbatimChar"/>
        </w:rPr>
        <w:t xml:space="preserve">solweig</w:t>
      </w:r>
      <w:r>
        <w:t xml:space="preserve"> </w:t>
      </w:r>
      <w:r>
        <w:t xml:space="preserve">package</w:t>
      </w:r>
      <w:r>
        <w:t xml:space="preserve"> </w:t>
      </w:r>
      <w:r>
        <w:t xml:space="preserve">(version 0.1.0b92), with UTCI computed by the package’s own built-in module from the</w:t>
      </w:r>
      <w:r>
        <w:t xml:space="preserve"> </w:t>
      </w:r>
      <w:r>
        <w:t xml:space="preserve">modelled Tmrt and the same observed air</w:t>
      </w:r>
      <w:r>
        <w:t xml:space="preserve"> </w:t>
      </w:r>
      <w:r>
        <w:t xml:space="preserve">temperature, humidity, and wind. Computation is at a 2.5 m working resolution — the</w:t>
      </w:r>
      <w:r>
        <w:t xml:space="preserve"> </w:t>
      </w:r>
      <w:r>
        <w:t xml:space="preserve">native resolution of the building- and vegetation-height layers — with the digital</w:t>
      </w:r>
      <w:r>
        <w:t xml:space="preserve"> </w:t>
      </w:r>
      <w:r>
        <w:t xml:space="preserve">elevation model resampled onto that grid. Each hour was run as an independent</w:t>
      </w:r>
      <w:r>
        <w:t xml:space="preserve"> </w:t>
      </w:r>
      <w:r>
        <w:t xml:space="preserve">single-timestep calculation. Model parameters were left at the package’s documented</w:t>
      </w:r>
      <w:r>
        <w:t xml:space="preserve"> </w:t>
      </w:r>
      <w:r>
        <w:t xml:space="preserve">defaults (anisotropic sky, deciduous leaf-on transmissivity appropriate to the</w:t>
      </w:r>
      <w:r>
        <w:t xml:space="preserve"> </w:t>
      </w:r>
      <w:r>
        <w:t xml:space="preserve">August date, standing-posture human geometry, default material set), with no</w:t>
      </w:r>
      <w:r>
        <w:t xml:space="preserve"> </w:t>
      </w:r>
      <w:r>
        <w:t xml:space="preserve">parameter tuned to a target result and no custom land-cover grid supplied.</w:t>
      </w:r>
    </w:p>
    <w:p>
      <w:pPr>
        <w:pStyle w:val="BodyText"/>
      </w:pPr>
      <w:r>
        <w:t xml:space="preserve">Tmrt represents the combined short- and long-wave radiant environment experienced</w:t>
      </w:r>
      <w:r>
        <w:t xml:space="preserve"> </w:t>
      </w:r>
      <w:r>
        <w:t xml:space="preserve">by a standardised human body; UTCI combines that radiant environment with air</w:t>
      </w:r>
      <w:r>
        <w:t xml:space="preserve"> </w:t>
      </w:r>
      <w:r>
        <w:t xml:space="preserve">temperature, humidity, and wind into a model-derived thermal-stress index</w:t>
      </w:r>
      <w:r>
        <w:t xml:space="preserve"> </w:t>
      </w:r>
      <w:r>
        <w:t xml:space="preserve">calibrated by Bröde et al. (2012). UTCI is a model output, not a measured or</w:t>
      </w:r>
      <w:r>
        <w:t xml:space="preserve"> </w:t>
      </w:r>
      <w:r>
        <w:t xml:space="preserve">observed quantity, and is never interpreted here as observed human comfort. For</w:t>
      </w:r>
      <w:r>
        <w:t xml:space="preserve"> </w:t>
      </w:r>
      <w:r>
        <w:t xml:space="preserve">each outdoor asset the exposure value is the mean UTCI within a 10 m buffer of the</w:t>
      </w:r>
      <w:r>
        <w:t xml:space="preserve"> </w:t>
      </w:r>
      <w:r>
        <w:t xml:space="preserve">asset’s representative point, a spatial statistic fixed in advance; a buffer mean</w:t>
      </w:r>
      <w:r>
        <w:t xml:space="preserve"> </w:t>
      </w:r>
      <w:r>
        <w:t xml:space="preserve">rather than a single centre pixel is used because single-pixel radiant values are</w:t>
      </w:r>
      <w:r>
        <w:t xml:space="preserve"> </w:t>
      </w:r>
      <w:r>
        <w:t xml:space="preserve">sensitive to shadow-edge alignment. Modelled UTCI values are mapped to the same</w:t>
      </w:r>
      <w:r>
        <w:t xml:space="preserve"> </w:t>
      </w:r>
      <w:r>
        <w:t xml:space="preserve">three feasibility states used by the baseline through a pre-registered rule</w:t>
      </w:r>
      <w:r>
        <w:t xml:space="preserve"> </w:t>
      </w:r>
      <w:r>
        <w:t xml:space="preserve">(UTCI ≥ 46 °C → NOT RECOMMENDED; 32 ≤ UTCI &lt; 46 °C → FEASIBLE WITH CONDITIONS;</w:t>
      </w:r>
      <w:r>
        <w:t xml:space="preserve"> </w:t>
      </w:r>
      <w:r>
        <w:t xml:space="preserve">UTCI &lt; 32 °C → FEASIBLE), collapsing the official</w:t>
      </w:r>
      <w:r>
        <w:t xml:space="preserve"> </w:t>
      </w:r>
      <w:r>
        <w:t xml:space="preserve">“</w:t>
      </w:r>
      <w:r>
        <w:t xml:space="preserve">strong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very strong</w:t>
      </w:r>
      <w:r>
        <w:t xml:space="preserve">”</w:t>
      </w:r>
      <w:r>
        <w:t xml:space="preserve"> </w:t>
      </w:r>
      <w:r>
        <w:t xml:space="preserve">stress</w:t>
      </w:r>
      <w:r>
        <w:t xml:space="preserve"> </w:t>
      </w:r>
      <w:r>
        <w:t xml:space="preserve">bands into a single conditional state for direct comparability with the baseline’s</w:t>
      </w:r>
      <w:r>
        <w:t xml:space="preserve"> </w:t>
      </w:r>
      <w:r>
        <w:t xml:space="preserve">three-state structure. Indoor assets are not assigned a UTCI value; SOLWEIG models</w:t>
      </w:r>
      <w:r>
        <w:t xml:space="preserve"> </w:t>
      </w:r>
      <w:r>
        <w:t xml:space="preserve">the outdoor environment only, and indoor assets retain their indoor-refuge state.</w:t>
      </w:r>
    </w:p>
    <w:p>
      <w:pPr>
        <w:pStyle w:val="BodyText"/>
      </w:pPr>
      <w:r>
        <w:t xml:space="preserve">The modelled Tmrt and UTCI fields are not field-validated anywhere in this study;</w:t>
      </w:r>
      <w:r>
        <w:t xml:space="preserve"> </w:t>
      </w:r>
      <w:r>
        <w:t xml:space="preserve">the station observations validate only the air-temperature, humidity, and wind</w:t>
      </w:r>
      <w:r>
        <w:t xml:space="preserve"> </w:t>
      </w:r>
      <w:r>
        <w:t xml:space="preserve">inputs, not the radiant output. The physical model is therefore treated as a</w:t>
      </w:r>
      <w:r>
        <w:t xml:space="preserve"> </w:t>
      </w:r>
      <w:r>
        <w:t xml:space="preserve">radiation-resolving estimate whose ranges are consistent with published</w:t>
      </w:r>
      <w:r>
        <w:t xml:space="preserve"> </w:t>
      </w:r>
      <w:r>
        <w:t xml:space="preserve">SOLWEIG-class values for comparable climates (e.g. Gál &amp; Kántor, 2019), and never as</w:t>
      </w:r>
      <w:r>
        <w:t xml:space="preserve"> </w:t>
      </w:r>
      <w:r>
        <w:t xml:space="preserve">ground truth or as a more accurate representation of comfort than the baseline.</w:t>
      </w:r>
    </w:p>
    <w:bookmarkEnd w:id="26"/>
    <w:bookmarkStart w:id="27" w:name="thermal-method-comparison"/>
    <w:p>
      <w:pPr>
        <w:pStyle w:val="Heading2"/>
      </w:pPr>
      <w:r>
        <w:t xml:space="preserve">2.5 Thermal-method comparison</w:t>
      </w:r>
    </w:p>
    <w:p>
      <w:pPr>
        <w:pStyle w:val="FirstParagraph"/>
      </w:pPr>
      <w:r>
        <w:t xml:space="preserve">The proxy and physical classifications were compared as a paired reclassification</w:t>
      </w:r>
      <w:r>
        <w:t xml:space="preserve"> </w:t>
      </w:r>
      <w:r>
        <w:t xml:space="preserve">analysis over the 42 outdoor asset × timestamp rows. For each row, the baseline</w:t>
      </w:r>
      <w:r>
        <w:t xml:space="preserve"> </w:t>
      </w:r>
      <w:r>
        <w:t xml:space="preserve">feasibility state and the physically derived feasibility state were placed</w:t>
      </w:r>
      <w:r>
        <w:t xml:space="preserve"> </w:t>
      </w:r>
      <w:r>
        <w:t xml:space="preserve">side by side, and the row was flagged as reclassified where the two states differ.</w:t>
      </w:r>
      <w:r>
        <w:t xml:space="preserve"> </w:t>
      </w:r>
      <w:r>
        <w:t xml:space="preserve">Reclassifications were characterised by direction — whether the physically derived</w:t>
      </w:r>
      <w:r>
        <w:t xml:space="preserve"> </w:t>
      </w:r>
      <w:r>
        <w:t xml:space="preserve">state was more restrictive or less restrictive than the proxy state — and were</w:t>
      </w:r>
      <w:r>
        <w:t xml:space="preserve"> </w:t>
      </w:r>
      <w:r>
        <w:t xml:space="preserve">stratified by timestamp to locate where in the day the two methods agree or diverge. Indoor rows are excluded from this</w:t>
      </w:r>
      <w:r>
        <w:t xml:space="preserve"> </w:t>
      </w:r>
      <w:r>
        <w:t xml:space="preserve">comparison by construction, since they carry no modelled UTCI.</w:t>
      </w:r>
    </w:p>
    <w:p>
      <w:pPr>
        <w:pStyle w:val="BodyText"/>
      </w:pPr>
      <w:r>
        <w:t xml:space="preserve">This analysis measures the sensitivity of the feasibility decision to the choice of</w:t>
      </w:r>
      <w:r>
        <w:t xml:space="preserve"> </w:t>
      </w:r>
      <w:r>
        <w:t xml:space="preserve">thermal method, not the accuracy of either method against ground truth: neither</w:t>
      </w:r>
      <w:r>
        <w:t xml:space="preserve"> </w:t>
      </w:r>
      <w:r>
        <w:t xml:space="preserve">method is field-validated, so a reclassified row indicates that the two methods</w:t>
      </w:r>
      <w:r>
        <w:t xml:space="preserve"> </w:t>
      </w:r>
      <w:r>
        <w:t xml:space="preserve">disagree, not that one is correct and the other wrong.</w:t>
      </w:r>
    </w:p>
    <w:bookmarkEnd w:id="27"/>
    <w:bookmarkStart w:id="28" w:name="uncertainty-and-robustness-treatment"/>
    <w:p>
      <w:pPr>
        <w:pStyle w:val="Heading2"/>
      </w:pPr>
      <w:r>
        <w:t xml:space="preserve">2.6 Uncertainty and robustness treatment</w:t>
      </w:r>
    </w:p>
    <w:p>
      <w:pPr>
        <w:pStyle w:val="FirstParagraph"/>
      </w:pPr>
      <w:r>
        <w:t xml:space="preserve">Rather than attach a false-precision error bar to each modelled UTCI value, we</w:t>
      </w:r>
      <w:r>
        <w:t xml:space="preserve"> </w:t>
      </w:r>
      <w:r>
        <w:t xml:space="preserve">carried an evidence-derived uncertainty envelope built only from realizations that</w:t>
      </w:r>
      <w:r>
        <w:t xml:space="preserve"> </w:t>
      </w:r>
      <w:r>
        <w:t xml:space="preserve">were actually computed. For every outdoor row the envelope spans the minimum and</w:t>
      </w:r>
      <w:r>
        <w:t xml:space="preserve"> </w:t>
      </w:r>
      <w:r>
        <w:t xml:space="preserve">maximum UTCI across four solar-forcing realizations — the clear-sky baseline, a</w:t>
      </w:r>
      <w:r>
        <w:t xml:space="preserve"> </w:t>
      </w:r>
      <w:r>
        <w:t xml:space="preserve">satellite-derived irradiance realization (EUMETSAT CM SAF), and −10% and −20%</w:t>
      </w:r>
      <w:r>
        <w:t xml:space="preserve"> </w:t>
      </w:r>
      <w:r>
        <w:t xml:space="preserve">irradiance perturbations — plus, for the two assets whose LiDAR canopy was found</w:t>
      </w:r>
      <w:r>
        <w:t xml:space="preserve"> </w:t>
      </w:r>
      <w:r>
        <w:t xml:space="preserve">stale against a newer per-tree inventory, three corrected-canopy geometry variants</w:t>
      </w:r>
      <w:r>
        <w:t xml:space="preserve"> </w:t>
      </w:r>
      <w:r>
        <w:t xml:space="preserve">bracketing the one crown-radius assumption. The envelope is reported as measured</w:t>
      </w:r>
      <w:r>
        <w:t xml:space="preserve"> </w:t>
      </w:r>
      <w:r>
        <w:t xml:space="preserve">rather than forced to a symmetric band: clear-sky irradiance sits near the physical</w:t>
      </w:r>
      <w:r>
        <w:t xml:space="preserve"> </w:t>
      </w:r>
      <w:r>
        <w:t xml:space="preserve">upper bound of surface radiation and canopy correction only adds shade, so both</w:t>
      </w:r>
      <w:r>
        <w:t xml:space="preserve"> </w:t>
      </w:r>
      <w:r>
        <w:t xml:space="preserve">tested sources widen it mainly below the baseline.</w:t>
      </w:r>
    </w:p>
    <w:p>
      <w:pPr>
        <w:pStyle w:val="BodyText"/>
      </w:pPr>
      <w:r>
        <w:t xml:space="preserve">Each row’s envelope is translated into a categorical decision-confidence class</w:t>
      </w:r>
      <w:r>
        <w:t xml:space="preserve"> </w:t>
      </w:r>
      <w:r>
        <w:t xml:space="preserve">against the safety-critical 46 °C feasibility boundary (and a secondary 32 °C</w:t>
      </w:r>
      <w:r>
        <w:t xml:space="preserve"> </w:t>
      </w:r>
      <w:r>
        <w:t xml:space="preserve">boundary), using the row’s own demonstrated sensitivity — the largest absolute</w:t>
      </w:r>
      <w:r>
        <w:t xml:space="preserve"> </w:t>
      </w:r>
      <w:r>
        <w:t xml:space="preserve">deviation of any realization from the baseline — as the reference margin rather than</w:t>
      </w:r>
      <w:r>
        <w:t xml:space="preserve"> </w:t>
      </w:r>
      <w:r>
        <w:t xml:space="preserve">a fixed tolerance. A row is UNSTABLE if any realization falls on the opposite side</w:t>
      </w:r>
      <w:r>
        <w:t xml:space="preserve"> </w:t>
      </w:r>
      <w:r>
        <w:t xml:space="preserve">of the 46 °C boundary from the baseline; BOUNDARY if no realization crosses but the</w:t>
      </w:r>
      <w:r>
        <w:t xml:space="preserve"> </w:t>
      </w:r>
      <w:r>
        <w:t xml:space="preserve">envelope lies within the row’s own demonstrated sensitivity of a threshold; and</w:t>
      </w:r>
      <w:r>
        <w:t xml:space="preserve"> </w:t>
      </w:r>
      <w:r>
        <w:t xml:space="preserve">ROBUST otherwise. Thermal-stress state and decision confidence are kept as separate</w:t>
      </w:r>
      <w:r>
        <w:t xml:space="preserve"> </w:t>
      </w:r>
      <w:r>
        <w:t xml:space="preserve">fields and are never collapsed into a single score: the official UTCI stress</w:t>
      </w:r>
      <w:r>
        <w:t xml:space="preserve"> </w:t>
      </w:r>
      <w:r>
        <w:t xml:space="preserve">category is reported alongside, not multiplied by, the confidence class.</w:t>
      </w:r>
    </w:p>
    <w:p>
      <w:pPr>
        <w:pStyle w:val="BodyText"/>
      </w:pPr>
      <w:r>
        <w:t xml:space="preserve">This treatment covers tested solar-forcing and targeted geometry uncertainty only;</w:t>
      </w:r>
      <w:r>
        <w:t xml:space="preserve"> </w:t>
      </w:r>
      <w:r>
        <w:t xml:space="preserve">it does not propagate air-temperature, humidity, wind, or model-structural</w:t>
      </w:r>
      <w:r>
        <w:t xml:space="preserve"> </w:t>
      </w:r>
      <w:r>
        <w:t xml:space="preserve">uncertainty, and there is no field validation of Tmrt or UTCI. A ROBUST label</w:t>
      </w:r>
      <w:r>
        <w:t xml:space="preserve"> </w:t>
      </w:r>
      <w:r>
        <w:t xml:space="preserve">therefore means robust against every uncertainty actually tested, not certain, and</w:t>
      </w:r>
      <w:r>
        <w:t xml:space="preserve"> </w:t>
      </w:r>
      <w:r>
        <w:t xml:space="preserve">the per-row sensitivity is a lower bound on true uncertainty.</w:t>
      </w:r>
    </w:p>
    <w:bookmarkEnd w:id="28"/>
    <w:bookmarkStart w:id="29" w:name="X7c5043441806cea990017ee6ec114cea981fe20"/>
    <w:p>
      <w:pPr>
        <w:pStyle w:val="Heading2"/>
      </w:pPr>
      <w:r>
        <w:t xml:space="preserve">2.7 Constraint-first tourism opportunity screening</w:t>
      </w:r>
    </w:p>
    <w:p>
      <w:pPr>
        <w:pStyle w:val="FirstParagraph"/>
      </w:pPr>
      <w:r>
        <w:t xml:space="preserve">The screening layer evaluates, for a given source asset at a given hour, which</w:t>
      </w:r>
      <w:r>
        <w:t xml:space="preserve"> </w:t>
      </w:r>
      <w:r>
        <w:t xml:space="preserve">other pilot assets remain feasible candidate alternatives. Each candidate passes</w:t>
      </w:r>
      <w:r>
        <w:t xml:space="preserve"> </w:t>
      </w:r>
      <w:r>
        <w:t xml:space="preserve">through a fixed, ordered sequence of hard constraints, and the first failing</w:t>
      </w:r>
      <w:r>
        <w:t xml:space="preserve"> </w:t>
      </w:r>
      <w:r>
        <w:t xml:space="preserve">constraint determines its outcome; a candidate that clears every constraint becomes</w:t>
      </w:r>
      <w:r>
        <w:t xml:space="preserve"> </w:t>
      </w:r>
      <w:r>
        <w:t xml:space="preserve">a candidate alternative. The order is: pilot scope, then open at the timestamp,</w:t>
      </w:r>
      <w:r>
        <w:t xml:space="preserve"> </w:t>
      </w:r>
      <w:r>
        <w:t xml:space="preserve">then within the walking radius, then within the outdoor thermal limit</w:t>
      </w:r>
      <w:r>
        <w:t xml:space="preserve"> </w:t>
      </w:r>
      <w:r>
        <w:t xml:space="preserve">(UTCI &lt; 46 °C), then evidence sufficiency, and finally a source-relative test of</w:t>
      </w:r>
      <w:r>
        <w:t xml:space="preserve"> </w:t>
      </w:r>
      <w:r>
        <w:t xml:space="preserve">whether the candidate is a meaningful thermal improvement over the source. Cheap</w:t>
      </w:r>
      <w:r>
        <w:t xml:space="preserve"> </w:t>
      </w:r>
      <w:r>
        <w:t xml:space="preserve">categorical eliminations are applied first and the heat-adaptive improvement test</w:t>
      </w:r>
      <w:r>
        <w:t xml:space="preserve"> </w:t>
      </w:r>
      <w:r>
        <w:t xml:space="preserve">last, so that a candidate excluded for being closed is never additionally</w:t>
      </w:r>
      <w:r>
        <w:t xml:space="preserve"> </w:t>
      </w:r>
      <w:r>
        <w:t xml:space="preserve">mislabelled as thermally inadequate. There is no weighted composite score anywhere in the chain (Fig. 1b).</w:t>
      </w:r>
    </w:p>
    <w:p>
      <w:pPr>
        <w:pStyle w:val="BodyText"/>
      </w:pPr>
      <w:r>
        <w:t xml:space="preserve">Every candidate carries one machine-readable exclusion reason from a fixed</w:t>
      </w:r>
      <w:r>
        <w:t xml:space="preserve"> </w:t>
      </w:r>
      <w:r>
        <w:t xml:space="preserve">vocabulary (for example, closed at timestamp, accessibility constraint, thermal</w:t>
      </w:r>
      <w:r>
        <w:t xml:space="preserve"> </w:t>
      </w:r>
      <w:r>
        <w:t xml:space="preserve">limit exceeded, insufficient evidence, no meaningful thermal improvement, or outdoor</w:t>
      </w:r>
      <w:r>
        <w:t xml:space="preserve"> </w:t>
      </w:r>
      <w:r>
        <w:t xml:space="preserve">exposure too high), so that each exclusion is traceable to a single most-fundamental cause (Table 2). Thermal state, decision confidence, and evidence confidence are retained as</w:t>
      </w:r>
      <w:r>
        <w:t xml:space="preserve"> </w:t>
      </w:r>
      <w:r>
        <w:t xml:space="preserve">independent fields, with evidence confidence set to the weakest link of</w:t>
      </w:r>
      <w:r>
        <w:t xml:space="preserve"> </w:t>
      </w:r>
      <w:r>
        <w:t xml:space="preserve">opening-hours completeness and thermal-evidence quality; a low value triggers an</w:t>
      </w:r>
      <w:r>
        <w:t xml:space="preserve"> </w:t>
      </w:r>
      <w:r>
        <w:t xml:space="preserve">insufficient-evidence exclusion, so an uncertain thermal decision propagates into</w:t>
      </w:r>
      <w:r>
        <w:t xml:space="preserve"> </w:t>
      </w:r>
      <w:r>
        <w:t xml:space="preserve">the screening outcome rather than being hidden. The meaningful-improvement margin is</w:t>
      </w:r>
      <w:r>
        <w:t xml:space="preserve"> </w:t>
      </w:r>
      <w:r>
        <w:t xml:space="preserve">0.8 °C — the median per-row demonstrated UTCI sensitivity across the outdoor rows —</w:t>
      </w:r>
      <w:r>
        <w:t xml:space="preserve"> </w:t>
      </w:r>
      <w:r>
        <w:t xml:space="preserve">applied together with categorical rules (an indoor refuge relative to an outdoor</w:t>
      </w:r>
      <w:r>
        <w:t xml:space="preserve"> </w:t>
      </w:r>
      <w:r>
        <w:t xml:space="preserve">source, a strictly cooler outdoor UTCI category, or a confidence gain without</w:t>
      </w:r>
      <w:r>
        <w:t xml:space="preserve"> </w:t>
      </w:r>
      <w:r>
        <w:t xml:space="preserve">becoming hotter).</w:t>
      </w:r>
    </w:p>
    <w:p>
      <w:pPr>
        <w:pStyle w:val="BodyText"/>
      </w:pPr>
      <w:r>
        <w:t xml:space="preserve">Surviving candidates are returned as a set annotated with distance, walk time,</w:t>
      </w:r>
      <w:r>
        <w:t xml:space="preserve"> </w:t>
      </w:r>
      <w:r>
        <w:t xml:space="preserve">indoor/outdoor status, experience type, UTCI and its envelope, and the confidence</w:t>
      </w:r>
      <w:r>
        <w:t xml:space="preserve"> </w:t>
      </w:r>
      <w:r>
        <w:t xml:space="preserve">fields, with trade-offs exposed rather than resolved into a single ranked number.</w:t>
      </w:r>
      <w:r>
        <w:t xml:space="preserve"> </w:t>
      </w:r>
      <w:r>
        <w:t xml:space="preserve">The output is a set of screened, surviving alternatives; the framework makes no</w:t>
      </w:r>
      <w:r>
        <w:t xml:space="preserve"> </w:t>
      </w:r>
      <w:r>
        <w:t xml:space="preserve">claim that any tourist will choose, follow, or prefer them.</w:t>
      </w:r>
    </w:p>
    <w:bookmarkEnd w:id="29"/>
    <w:bookmarkStart w:id="30" w:name="X913d10964749f33d31e6d0a05f169c0779f1dfd"/>
    <w:p>
      <w:pPr>
        <w:pStyle w:val="Heading2"/>
      </w:pPr>
      <w:r>
        <w:t xml:space="preserve">2.8 Conventional baseline and decision scenarios</w:t>
      </w:r>
    </w:p>
    <w:p>
      <w:pPr>
        <w:pStyle w:val="FirstParagraph"/>
      </w:pPr>
      <w:r>
        <w:t xml:space="preserve">To test whether heat-aware screening changes the option set a conventional tool</w:t>
      </w:r>
      <w:r>
        <w:t xml:space="preserve"> </w:t>
      </w:r>
      <w:r>
        <w:t xml:space="preserve">would return, we compare against a deliberately naive nearest-open baseline: the</w:t>
      </w:r>
      <w:r>
        <w:t xml:space="preserve"> </w:t>
      </w:r>
      <w:r>
        <w:t xml:space="preserve">closest open tourism asset within the same walking radius, selected with no thermal</w:t>
      </w:r>
      <w:r>
        <w:t xml:space="preserve"> </w:t>
      </w:r>
      <w:r>
        <w:t xml:space="preserve">or evidence screening. Accessibility for both the screening layer and this baseline</w:t>
      </w:r>
      <w:r>
        <w:t xml:space="preserve"> </w:t>
      </w:r>
      <w:r>
        <w:t xml:space="preserve">is a straight-line (haversine) walking distance converted to time at 4.8 km/h, with</w:t>
      </w:r>
      <w:r>
        <w:t xml:space="preserve"> </w:t>
      </w:r>
      <w:r>
        <w:t xml:space="preserve">a primary pedestrian reach of 800 m (about ten minutes) and sensitivity re-runs at</w:t>
      </w:r>
      <w:r>
        <w:t xml:space="preserve"> </w:t>
      </w:r>
      <w:r>
        <w:t xml:space="preserve">500 and 1200 m. Straight-line distance is used only as an ordinary-reach constraint</w:t>
      </w:r>
      <w:r>
        <w:t xml:space="preserve"> </w:t>
      </w:r>
      <w:r>
        <w:t xml:space="preserve">and is a documented lower bound on true walking distance; no routing or route-level</w:t>
      </w:r>
      <w:r>
        <w:t xml:space="preserve"> </w:t>
      </w:r>
      <w:r>
        <w:t xml:space="preserve">heat exposure is modelled.</w:t>
      </w:r>
    </w:p>
    <w:p>
      <w:pPr>
        <w:pStyle w:val="BodyText"/>
      </w:pPr>
      <w:r>
        <w:t xml:space="preserve">The comparison is run over eight pre-registered decision scenarios, each a real</w:t>
      </w:r>
      <w:r>
        <w:t xml:space="preserve"> </w:t>
      </w:r>
      <w:r>
        <w:t xml:space="preserve">source asset at one of the three hours with a specified accessibility radius, chosen</w:t>
      </w:r>
      <w:r>
        <w:t xml:space="preserve"> </w:t>
      </w:r>
      <w:r>
        <w:t xml:space="preserve">to span the required decision classes — an exposed monument screened to an indoor</w:t>
      </w:r>
      <w:r>
        <w:t xml:space="preserve"> </w:t>
      </w:r>
      <w:r>
        <w:t xml:space="preserve">refuge, an exposed monument screened to a cooler outdoor space, cases with several</w:t>
      </w:r>
      <w:r>
        <w:t xml:space="preserve"> </w:t>
      </w:r>
      <w:r>
        <w:t xml:space="preserve">alternatives of differing experience type, a case where a candidate is available but</w:t>
      </w:r>
      <w:r>
        <w:t xml:space="preserve"> </w:t>
      </w:r>
      <w:r>
        <w:t xml:space="preserve">its evidence is too weak, and a case where the source’s own thermal decision is</w:t>
      </w:r>
      <w:r>
        <w:t xml:space="preserve"> </w:t>
      </w:r>
      <w:r>
        <w:t xml:space="preserve">uncertain. One scenario (a source in an already-relatively-cool central park under a</w:t>
      </w:r>
      <w:r>
        <w:t xml:space="preserve"> </w:t>
      </w:r>
      <w:r>
        <w:t xml:space="preserve">constrained 500 m radius) is included as a valid no-survivor test, in which the</w:t>
      </w:r>
      <w:r>
        <w:t xml:space="preserve"> </w:t>
      </w:r>
      <w:r>
        <w:t xml:space="preserve">engine is expected to return an explicit no-recommendation outcome rather than a</w:t>
      </w:r>
      <w:r>
        <w:t xml:space="preserve"> </w:t>
      </w:r>
      <w:r>
        <w:t xml:space="preserve">forced pick. This comparison evaluates whether heat-aware screening changes decision</w:t>
      </w:r>
      <w:r>
        <w:t xml:space="preserve"> </w:t>
      </w:r>
      <w:r>
        <w:t xml:space="preserve">support relative to a proximity-only tool; it does not measure, and makes no claim</w:t>
      </w:r>
      <w:r>
        <w:t xml:space="preserve"> </w:t>
      </w:r>
      <w:r>
        <w:t xml:space="preserve">about, tourist behaviour or travel substitution.</w:t>
      </w:r>
    </w:p>
    <w:bookmarkEnd w:id="30"/>
    <w:bookmarkStart w:id="31" w:name="validation-strategy-and-claim-boundaries"/>
    <w:p>
      <w:pPr>
        <w:pStyle w:val="Heading2"/>
      </w:pPr>
      <w:r>
        <w:t xml:space="preserve">2.9 Validation strategy and claim boundaries</w:t>
      </w:r>
    </w:p>
    <w:p>
      <w:pPr>
        <w:pStyle w:val="FirstParagraph"/>
      </w:pPr>
      <w:r>
        <w:t xml:space="preserve">Validation is separated into internal checks, physical-plausibility checks, and</w:t>
      </w:r>
      <w:r>
        <w:t xml:space="preserve"> </w:t>
      </w:r>
      <w:r>
        <w:t xml:space="preserve">what was not validated.</w:t>
      </w:r>
    </w:p>
    <w:p>
      <w:pPr>
        <w:pStyle w:val="BodyText"/>
      </w:pPr>
      <w:r>
        <w:rPr>
          <w:bCs/>
          <w:b/>
        </w:rPr>
        <w:t xml:space="preserve">Internal and technical validation.</w:t>
      </w:r>
      <w:r>
        <w:t xml:space="preserve"> </w:t>
      </w:r>
      <w:r>
        <w:t xml:space="preserve">All reported outputs regenerate from the</w:t>
      </w:r>
      <w:r>
        <w:t xml:space="preserve"> </w:t>
      </w:r>
      <w:r>
        <w:t xml:space="preserve">open pipeline over locked inputs with per-file integrity checks; every excluded</w:t>
      </w:r>
      <w:r>
        <w:t xml:space="preserve"> </w:t>
      </w:r>
      <w:r>
        <w:t xml:space="preserve">candidate resolves to exactly one machine-readable reason with no untraceable rows;</w:t>
      </w:r>
      <w:r>
        <w:t xml:space="preserve"> </w:t>
      </w:r>
      <w:r>
        <w:t xml:space="preserve">and the solar-forcing and accessibility-radius sensitivity analyses test the</w:t>
      </w:r>
      <w:r>
        <w:t xml:space="preserve"> </w:t>
      </w:r>
      <w:r>
        <w:t xml:space="preserve">stability of the decisions actually reported.</w:t>
      </w:r>
    </w:p>
    <w:p>
      <w:pPr>
        <w:pStyle w:val="BodyText"/>
      </w:pPr>
      <w:r>
        <w:rPr>
          <w:bCs/>
          <w:b/>
        </w:rPr>
        <w:t xml:space="preserve">Physical-model plausibility.</w:t>
      </w:r>
      <w:r>
        <w:t xml:space="preserve"> </w:t>
      </w:r>
      <w:r>
        <w:t xml:space="preserve">The forcing is drawn from real station</w:t>
      </w:r>
      <w:r>
        <w:t xml:space="preserve"> </w:t>
      </w:r>
      <w:r>
        <w:t xml:space="preserve">observations, with the single estimated input (irradiance) gated on an observed</w:t>
      </w:r>
      <w:r>
        <w:t xml:space="preserve"> </w:t>
      </w:r>
      <w:r>
        <w:t xml:space="preserve">clear-sky condition, and the modelled Tmrt and UTCI ranges and their spatial and</w:t>
      </w:r>
      <w:r>
        <w:t xml:space="preserve"> </w:t>
      </w:r>
      <w:r>
        <w:t xml:space="preserve">temporal behaviour were checked for consistency with published SOLWEIG-class values</w:t>
      </w:r>
      <w:r>
        <w:t xml:space="preserve"> </w:t>
      </w:r>
      <w:r>
        <w:t xml:space="preserve">for comparable climates. This is a plausibility check, not a validation of the</w:t>
      </w:r>
      <w:r>
        <w:t xml:space="preserve"> </w:t>
      </w:r>
      <w:r>
        <w:t xml:space="preserve">modelled radiant field.</w:t>
      </w:r>
    </w:p>
    <w:p>
      <w:pPr>
        <w:pStyle w:val="BodyText"/>
      </w:pPr>
      <w:r>
        <w:rPr>
          <w:bCs/>
          <w:b/>
        </w:rPr>
        <w:t xml:space="preserve">What was not validated.</w:t>
      </w:r>
      <w:r>
        <w:t xml:space="preserve"> </w:t>
      </w:r>
      <w:r>
        <w:t xml:space="preserve">There is no direct field measurement of Tmrt or UTCI</w:t>
      </w:r>
      <w:r>
        <w:t xml:space="preserve"> </w:t>
      </w:r>
      <w:r>
        <w:t xml:space="preserve">anywhere in this study; no tourist behavioural response, travel substitution, or</w:t>
      </w:r>
      <w:r>
        <w:t xml:space="preserve"> </w:t>
      </w:r>
      <w:r>
        <w:t xml:space="preserve">observed outcome is measured; accessibility is straight-line only, with no route-</w:t>
      </w:r>
      <w:r>
        <w:t xml:space="preserve"> </w:t>
      </w:r>
      <w:r>
        <w:t xml:space="preserve">level heat exposure; and indoor assets are treated as refuges without verified</w:t>
      </w:r>
      <w:r>
        <w:t xml:space="preserve"> </w:t>
      </w:r>
      <w:r>
        <w:t xml:space="preserve">air-conditioning or queue-exposure conditions.</w:t>
      </w:r>
    </w:p>
    <w:p>
      <w:pPr>
        <w:pStyle w:val="BodyText"/>
      </w:pPr>
      <w:r>
        <w:t xml:space="preserve">Taken together, these boundaries define what the study evaluates: the sensitivity of</w:t>
      </w:r>
      <w:r>
        <w:t xml:space="preserve"> </w:t>
      </w:r>
      <w:r>
        <w:t xml:space="preserve">tourism-feasibility decisions to the choice of thermal method, and the behaviour of</w:t>
      </w:r>
      <w:r>
        <w:t xml:space="preserve"> </w:t>
      </w:r>
      <w:r>
        <w:t xml:space="preserve">a constraint-first, uncertainty-aware screening architecture relative to a</w:t>
      </w:r>
      <w:r>
        <w:t xml:space="preserve"> </w:t>
      </w:r>
      <w:r>
        <w:t xml:space="preserve">conventional baseline. It does not evaluate the predictive accuracy of either</w:t>
      </w:r>
      <w:r>
        <w:t xml:space="preserve"> </w:t>
      </w:r>
      <w:r>
        <w:t xml:space="preserve">thermal method against ground truth, nor any causal effect on tourism outcomes.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Results are reported for the locked pilot: 27 tourism assets on 21 August 2023 at</w:t>
      </w:r>
      <w:r>
        <w:t xml:space="preserve"> </w:t>
      </w:r>
      <w:r>
        <w:t xml:space="preserve">12:00, 15:00, and 18:00, with thermal-method comparison on the 42 outdoor asset ×</w:t>
      </w:r>
      <w:r>
        <w:t xml:space="preserve"> </w:t>
      </w:r>
      <w:r>
        <w:t xml:space="preserve">timestamp observations (14 outdoor assets × 3 hours) and screening evaluated across</w:t>
      </w:r>
      <w:r>
        <w:t xml:space="preserve"> </w:t>
      </w:r>
      <w:r>
        <w:t xml:space="preserve">eight pre-registered decision scenarios. All figures are descriptive; the unit is</w:t>
      </w:r>
      <w:r>
        <w:t xml:space="preserve"> </w:t>
      </w:r>
      <w:r>
        <w:t xml:space="preserve">the asset × timestamp observation or the scenario comparison, not a population</w:t>
      </w:r>
      <w:r>
        <w:t xml:space="preserve"> </w:t>
      </w:r>
      <w:r>
        <w:t xml:space="preserve">sample, and no inferential test is applied.</w:t>
      </w:r>
    </w:p>
    <w:bookmarkStart w:id="33" w:name="thermal-method-sensitivity"/>
    <w:p>
      <w:pPr>
        <w:pStyle w:val="Heading2"/>
      </w:pPr>
      <w:r>
        <w:t xml:space="preserve">3.1 Thermal-method sensitivity</w:t>
      </w:r>
    </w:p>
    <w:p>
      <w:pPr>
        <w:pStyle w:val="FirstParagraph"/>
      </w:pPr>
      <w:r>
        <w:t xml:space="preserve">Across the 42 outdoor observations, the simple-proxy baseline and the</w:t>
      </w:r>
      <w:r>
        <w:t xml:space="preserve"> </w:t>
      </w:r>
      <w:r>
        <w:t xml:space="preserve">physically based (SOLWEIG/UTCI) configuration assigned the same feasibility state</w:t>
      </w:r>
      <w:r>
        <w:t xml:space="preserve"> </w:t>
      </w:r>
      <w:r>
        <w:t xml:space="preserve">in 28 observations and differed in 14, a reclassification rate of 33.3% (14/42)</w:t>
      </w:r>
      <w:r>
        <w:t xml:space="preserve"> </w:t>
      </w:r>
      <w:r>
        <w:t xml:space="preserve">(Table S1). Both directions of change occurred: the physically based configuration</w:t>
      </w:r>
      <w:r>
        <w:t xml:space="preserve"> </w:t>
      </w:r>
      <w:r>
        <w:t xml:space="preserve">produced a more restrictive feasibility state than the proxy in 9 observations</w:t>
      </w:r>
      <w:r>
        <w:t xml:space="preserve"> </w:t>
      </w:r>
      <w:r>
        <w:t xml:space="preserve">(the proxy state was less cautious) and a less restrictive state in 5 (Fig. 2).</w:t>
      </w:r>
      <w:r>
        <w:t xml:space="preserve"> </w:t>
      </w:r>
      <w:r>
        <w:t xml:space="preserve">Reclassification was therefore not one-directional.</w:t>
      </w:r>
    </w:p>
    <w:p>
      <w:pPr>
        <w:pStyle w:val="BodyText"/>
      </w:pPr>
      <w:r>
        <w:t xml:space="preserve">The divergence was concentrated in time rather than distributed evenly across the</w:t>
      </w:r>
      <w:r>
        <w:t xml:space="preserve"> </w:t>
      </w:r>
      <w:r>
        <w:t xml:space="preserve">day (Fig. 2). Reclassification reached 64.3% (9/14) at 12:00, fell to 0.0% (0/14)</w:t>
      </w:r>
      <w:r>
        <w:t xml:space="preserve"> </w:t>
      </w:r>
      <w:r>
        <w:t xml:space="preserve">at 15:00, and was 35.7% (5/14) at 18:00. The two methods agreed on every outdoor</w:t>
      </w:r>
      <w:r>
        <w:t xml:space="preserve"> </w:t>
      </w:r>
      <w:r>
        <w:t xml:space="preserve">observation at 15:00 and disagreed most often at noon.</w:t>
      </w:r>
    </w:p>
    <w:p>
      <w:pPr>
        <w:pStyle w:val="BodyText"/>
      </w:pPr>
      <w:r>
        <w:t xml:space="preserve">The same rate did not vary with asset morphology. Reclassification was 33.3% within</w:t>
      </w:r>
      <w:r>
        <w:t xml:space="preserve"> </w:t>
      </w:r>
      <w:r>
        <w:t xml:space="preserve">each of the four morphology groups — attraction exterior (3/9), park or garden</w:t>
      </w:r>
      <w:r>
        <w:t xml:space="preserve"> </w:t>
      </w:r>
      <w:r>
        <w:t xml:space="preserve">(6/18), plaza or hardscape (4/12), and street corridor (1/3) — matching the overall</w:t>
      </w:r>
      <w:r>
        <w:t xml:space="preserve"> </w:t>
      </w:r>
      <w:r>
        <w:t xml:space="preserve">rate in every group (Table S1). The time-of-day pattern above was therefore not</w:t>
      </w:r>
      <w:r>
        <w:t xml:space="preserve"> </w:t>
      </w:r>
      <w:r>
        <w:t xml:space="preserve">reproduced across morphology classes.</w:t>
      </w:r>
    </w:p>
    <w:p>
      <w:pPr>
        <w:pStyle w:val="BodyText"/>
      </w:pPr>
      <w:r>
        <w:t xml:space="preserve">The noon pattern reflects the difference between the two inputs. At 12:00 the</w:t>
      </w:r>
      <w:r>
        <w:t xml:space="preserve"> </w:t>
      </w:r>
      <w:r>
        <w:t xml:space="preserve">observed ambient air temperature was 34.2 °C, which falls in the LOW meteorological</w:t>
      </w:r>
      <w:r>
        <w:t xml:space="preserve"> </w:t>
      </w:r>
      <w:r>
        <w:t xml:space="preserve">hazard state under the locked AEMET operational warning thresholds. Despite that</w:t>
      </w:r>
      <w:r>
        <w:t xml:space="preserve"> </w:t>
      </w:r>
      <w:r>
        <w:t xml:space="preserve">LOW hazard state, the modelled UTCI equalled or exceeded the 32 °C boundary used in</w:t>
      </w:r>
      <w:r>
        <w:t xml:space="preserve"> </w:t>
      </w:r>
      <w:r>
        <w:t xml:space="preserve">the physical-model feasibility configuration at all 14 of the 14 outdoor assets</w:t>
      </w:r>
      <w:r>
        <w:t xml:space="preserve"> </w:t>
      </w:r>
      <w:r>
        <w:t xml:space="preserve">(Fig. S1). The proxy, keyed to the ambient hazard band, and the physically based</w:t>
      </w:r>
      <w:r>
        <w:t xml:space="preserve"> </w:t>
      </w:r>
      <w:r>
        <w:t xml:space="preserve">configuration, keyed to modelled UTCI, therefore assigned different feasibility</w:t>
      </w:r>
      <w:r>
        <w:t xml:space="preserve"> </w:t>
      </w:r>
      <w:r>
        <w:t xml:space="preserve">states at most noon observations, whereas at 15:00 both configurations placed every</w:t>
      </w:r>
      <w:r>
        <w:t xml:space="preserve"> </w:t>
      </w:r>
      <w:r>
        <w:t xml:space="preserve">outdoor observation in the same conditional-feasibility state.</w:t>
      </w:r>
    </w:p>
    <w:p>
      <w:pPr>
        <w:pStyle w:val="BodyText"/>
      </w:pPr>
      <w:r>
        <w:t xml:space="preserve">The finding of this subsection is limited to the following: feasibility</w:t>
      </w:r>
      <w:r>
        <w:t xml:space="preserve"> </w:t>
      </w:r>
      <w:r>
        <w:t xml:space="preserve">classification outcomes were sensitive to the choice of thermal method, and the</w:t>
      </w:r>
      <w:r>
        <w:t xml:space="preserve"> </w:t>
      </w:r>
      <w:r>
        <w:t xml:space="preserve">sensitivity was largest at 12:00.</w:t>
      </w:r>
    </w:p>
    <w:bookmarkEnd w:id="33"/>
    <w:bookmarkStart w:id="34" w:name="effects-on-tourism-opportunity-screening"/>
    <w:p>
      <w:pPr>
        <w:pStyle w:val="Heading2"/>
      </w:pPr>
      <w:r>
        <w:t xml:space="preserve">3.2 Effects on tourism-opportunity screening</w:t>
      </w:r>
    </w:p>
    <w:p>
      <w:pPr>
        <w:pStyle w:val="FirstParagraph"/>
      </w:pPr>
      <w:r>
        <w:t xml:space="preserve">Each scenario began from a real asset in a constrained state on the study day. Seven</w:t>
      </w:r>
      <w:r>
        <w:t xml:space="preserve"> </w:t>
      </w:r>
      <w:r>
        <w:t xml:space="preserve">of the eight sources were open outdoor sites in the very-strong-heat-stress category</w:t>
      </w:r>
      <w:r>
        <w:t xml:space="preserve"> </w:t>
      </w:r>
      <w:r>
        <w:t xml:space="preserve">(modelled source UTCI ranging from 38.6 to 45.4 °C) and one (S5, Real Observatorio</w:t>
      </w:r>
      <w:r>
        <w:t xml:space="preserve"> </w:t>
      </w:r>
      <w:r>
        <w:t xml:space="preserve">de Madrid) was closed at its timestamp. Screening behaviour was evaluated across the</w:t>
      </w:r>
      <w:r>
        <w:t xml:space="preserve"> </w:t>
      </w:r>
      <w:r>
        <w:t xml:space="preserve">eight scenarios by comparing the constraint-first surviving-alternative set against</w:t>
      </w:r>
      <w:r>
        <w:t xml:space="preserve"> </w:t>
      </w:r>
      <w:r>
        <w:t xml:space="preserve">a conventional nearest-open baseline that applies no thermal or evidence screening</w:t>
      </w:r>
      <w:r>
        <w:t xml:space="preserve"> </w:t>
      </w:r>
      <w:r>
        <w:t xml:space="preserve">(Table 3). The surviving</w:t>
      </w:r>
      <w:r>
        <w:t xml:space="preserve"> </w:t>
      </w:r>
      <w:r>
        <w:t xml:space="preserve">candidate set differed from the nearest-open set in 7 of the 8 scenarios; it was</w:t>
      </w:r>
      <w:r>
        <w:t xml:space="preserve"> </w:t>
      </w:r>
      <w:r>
        <w:t xml:space="preserve">unchanged in one (S7), where the nearest-open pick already satisfied the locked</w:t>
      </w:r>
      <w:r>
        <w:t xml:space="preserve"> </w:t>
      </w:r>
      <w:r>
        <w:t xml:space="preserve">constraints and no additional candidate was screened out.</w:t>
      </w:r>
    </w:p>
    <w:p>
      <w:pPr>
        <w:pStyle w:val="BodyText"/>
      </w:pPr>
      <w:r>
        <w:t xml:space="preserve">The nearest-open pick itself did not satisfy the locked screening constraints in 3</w:t>
      </w:r>
      <w:r>
        <w:t xml:space="preserve"> </w:t>
      </w:r>
      <w:r>
        <w:t xml:space="preserve">of the 8 scenarios (S2, S6, S8). In each of these three the nearest open asset was</w:t>
      </w:r>
      <w:r>
        <w:t xml:space="preserve"> </w:t>
      </w:r>
      <w:r>
        <w:t xml:space="preserve">an outdoor site that was not cooler than the source, and each was screened out with</w:t>
      </w:r>
      <w:r>
        <w:t xml:space="preserve"> </w:t>
      </w:r>
      <w:r>
        <w:t xml:space="preserve">the same machine-readable reason,</w:t>
      </w:r>
      <w:r>
        <w:t xml:space="preserve"> </w:t>
      </w:r>
      <w:r>
        <w:rPr>
          <w:rStyle w:val="VerbatimChar"/>
        </w:rPr>
        <w:t xml:space="preserve">OUTDOOR_EXPOSURE_TOO_HIGH</w:t>
      </w:r>
      <w:r>
        <w:t xml:space="preserve"> </w:t>
      </w:r>
      <w:r>
        <w:t xml:space="preserve">(Table 3). Across all</w:t>
      </w:r>
      <w:r>
        <w:t xml:space="preserve"> </w:t>
      </w:r>
      <w:r>
        <w:t xml:space="preserve">eight scenarios, 23 open, in-radius candidate options were screened out on thermal</w:t>
      </w:r>
      <w:r>
        <w:t xml:space="preserve"> </w:t>
      </w:r>
      <w:r>
        <w:t xml:space="preserve">or evidence grounds — that is, they were open and within the walking radius but did</w:t>
      </w:r>
      <w:r>
        <w:t xml:space="preserve"> </w:t>
      </w:r>
      <w:r>
        <w:t xml:space="preserve">not satisfy the thermal or evidence constraints (Fig. 3). Surviving alternatives</w:t>
      </w:r>
      <w:r>
        <w:t xml:space="preserve"> </w:t>
      </w:r>
      <w:r>
        <w:t xml:space="preserve">are reported as a set with their trade-offs (indoor/outdoor, distance, experience</w:t>
      </w:r>
      <w:r>
        <w:t xml:space="preserve"> </w:t>
      </w:r>
      <w:r>
        <w:t xml:space="preserve">type, UTCI, and confidence) rather than ranked into a single value.</w:t>
      </w:r>
    </w:p>
    <w:p>
      <w:pPr>
        <w:pStyle w:val="BodyText"/>
      </w:pPr>
      <w:r>
        <w:t xml:space="preserve">Seven of the eight scenarios returned a non-empty surviving set (state</w:t>
      </w:r>
      <w:r>
        <w:t xml:space="preserve"> </w:t>
      </w:r>
      <w:r>
        <w:rPr>
          <w:rStyle w:val="VerbatimChar"/>
        </w:rPr>
        <w:t xml:space="preserve">ALTERNATIVES_FOUND</w:t>
      </w:r>
      <w:r>
        <w:t xml:space="preserve">), with the number of surviving alternatives ranging from 4 to</w:t>
      </w:r>
      <w:r>
        <w:t xml:space="preserve"> </w:t>
      </w:r>
      <w:r>
        <w:t xml:space="preserve">9; the eighth returned none. The surviving sets spanned different experience types</w:t>
      </w:r>
      <w:r>
        <w:t xml:space="preserve"> </w:t>
      </w:r>
      <w:r>
        <w:t xml:space="preserve">within a single scenario — for example indoor cultural refuges, transit refuges,</w:t>
      </w:r>
      <w:r>
        <w:t xml:space="preserve"> </w:t>
      </w:r>
      <w:r>
        <w:t xml:space="preserve">and cooler outdoor spaces — which were reported as distinct options rather than</w:t>
      </w:r>
      <w:r>
        <w:t xml:space="preserve"> </w:t>
      </w:r>
      <w:r>
        <w:t xml:space="preserve">merged.</w:t>
      </w:r>
    </w:p>
    <w:p>
      <w:pPr>
        <w:pStyle w:val="BodyText"/>
      </w:pPr>
      <w:r>
        <w:t xml:space="preserve">One scenario returned no surviving alternative. In S8 the source was Parque del</w:t>
      </w:r>
      <w:r>
        <w:t xml:space="preserve"> </w:t>
      </w:r>
      <w:r>
        <w:t xml:space="preserve">Retiro at 15:00 under a 500 m accessibility condition. Of the 26 candidate rows</w:t>
      </w:r>
      <w:r>
        <w:t xml:space="preserve"> </w:t>
      </w:r>
      <w:r>
        <w:t xml:space="preserve">evaluated, 0 satisfied the full constraint sequence: the accessible outdoor</w:t>
      </w:r>
      <w:r>
        <w:t xml:space="preserve"> </w:t>
      </w:r>
      <w:r>
        <w:t xml:space="preserve">candidates were not cooler than the already-relatively-cool source and were</w:t>
      </w:r>
      <w:r>
        <w:t xml:space="preserve"> </w:t>
      </w:r>
      <w:r>
        <w:t xml:space="preserve">screened out as</w:t>
      </w:r>
      <w:r>
        <w:t xml:space="preserve"> </w:t>
      </w:r>
      <w:r>
        <w:rPr>
          <w:rStyle w:val="VerbatimChar"/>
        </w:rPr>
        <w:t xml:space="preserve">OUTDOOR_EXPOSURE_TOO_HIGH</w:t>
      </w:r>
      <w:r>
        <w:t xml:space="preserve">, while the indoor refuges fell outside</w:t>
      </w:r>
      <w:r>
        <w:t xml:space="preserve"> </w:t>
      </w:r>
      <w:r>
        <w:t xml:space="preserve">the 500 m radius and were screened out as</w:t>
      </w:r>
      <w:r>
        <w:t xml:space="preserve"> </w:t>
      </w:r>
      <w:r>
        <w:rPr>
          <w:rStyle w:val="VerbatimChar"/>
        </w:rPr>
        <w:t xml:space="preserve">ACCESSIBILITY_CONSTRAINT</w:t>
      </w:r>
      <w:r>
        <w:t xml:space="preserve">. The scenario</w:t>
      </w:r>
      <w:r>
        <w:t xml:space="preserve"> </w:t>
      </w:r>
      <w:r>
        <w:t xml:space="preserve">therefore resolved to the explicit state</w:t>
      </w:r>
      <w:r>
        <w:t xml:space="preserve"> </w:t>
      </w:r>
      <w:r>
        <w:rPr>
          <w:rStyle w:val="VerbatimChar"/>
        </w:rPr>
        <w:t xml:space="preserve">NO_DEFENSIBLE_ALTERNATIVE</w:t>
      </w:r>
      <w:r>
        <w:t xml:space="preserve"> </w:t>
      </w:r>
      <w:r>
        <w:t xml:space="preserve">(Fig. 3). This</w:t>
      </w:r>
      <w:r>
        <w:t xml:space="preserve"> </w:t>
      </w:r>
      <w:r>
        <w:t xml:space="preserve">outcome was produced by the locked screening rules operating on the locked inputs;</w:t>
      </w:r>
      <w:r>
        <w:t xml:space="preserve"> </w:t>
      </w:r>
      <w:r>
        <w:t xml:space="preserve">it was not a manually imposed result or a processing error, and no surviving</w:t>
      </w:r>
      <w:r>
        <w:t xml:space="preserve"> </w:t>
      </w:r>
      <w:r>
        <w:t xml:space="preserve">alternative was withheld.</w:t>
      </w:r>
    </w:p>
    <w:p>
      <w:pPr>
        <w:pStyle w:val="BodyText"/>
      </w:pPr>
      <w:r>
        <w:t xml:space="preserve">The finding of this subsection is limited to the following: thermal and evidence</w:t>
      </w:r>
      <w:r>
        <w:t xml:space="preserve"> </w:t>
      </w:r>
      <w:r>
        <w:t xml:space="preserve">screening altered the candidate set relative to a nearest-open baseline in seven</w:t>
      </w:r>
      <w:r>
        <w:t xml:space="preserve"> </w:t>
      </w:r>
      <w:r>
        <w:t xml:space="preserve">scenarios, removed the nearest-open pick in three, and returned an explicit</w:t>
      </w:r>
      <w:r>
        <w:t xml:space="preserve"> </w:t>
      </w:r>
      <w:r>
        <w:t xml:space="preserve">no-alternative state in one.</w:t>
      </w:r>
    </w:p>
    <w:bookmarkEnd w:id="34"/>
    <w:bookmarkStart w:id="35" w:name="robustness-and-traceability"/>
    <w:p>
      <w:pPr>
        <w:pStyle w:val="Heading2"/>
      </w:pPr>
      <w:r>
        <w:t xml:space="preserve">3.3 Robustness and traceability</w:t>
      </w:r>
    </w:p>
    <w:p>
      <w:pPr>
        <w:pStyle w:val="FirstParagraph"/>
      </w:pPr>
      <w:r>
        <w:t xml:space="preserve">The reclassification and screening results were examined against the tested</w:t>
      </w:r>
      <w:r>
        <w:t xml:space="preserve"> </w:t>
      </w:r>
      <w:r>
        <w:t xml:space="preserve">solar-forcing perturbations (Fig. 4). Replacing the clear-sky irradiance estimate</w:t>
      </w:r>
      <w:r>
        <w:t xml:space="preserve"> </w:t>
      </w:r>
      <w:r>
        <w:t xml:space="preserve">with the satellite-derived irradiance realization changed 1 of the 42 outdoor</w:t>
      </w:r>
      <w:r>
        <w:t xml:space="preserve"> </w:t>
      </w:r>
      <w:r>
        <w:t xml:space="preserve">decisions (2.4%). That single change was La Rosaleda (A24) at 18:00, where the</w:t>
      </w:r>
      <w:r>
        <w:t xml:space="preserve"> </w:t>
      </w:r>
      <w:r>
        <w:t xml:space="preserve">satellite realization raised the envelope to the 46 °C feasibility boundary; it is</w:t>
      </w:r>
      <w:r>
        <w:t xml:space="preserve"> </w:t>
      </w:r>
      <w:r>
        <w:t xml:space="preserve">the same observation classified UNSTABLE below. The −10% irradiance perturbation</w:t>
      </w:r>
      <w:r>
        <w:t xml:space="preserve"> </w:t>
      </w:r>
      <w:r>
        <w:t xml:space="preserve">changed 0 of 42 decisions, and the −20% irradiance perturbation also changed 0 of</w:t>
      </w:r>
      <w:r>
        <w:t xml:space="preserve"> </w:t>
      </w:r>
      <w:r>
        <w:t xml:space="preserve">42. The noon result of Section 3.1 persisted under every tested solar-forcing scenario: all 14 outdoor assets</w:t>
      </w:r>
      <w:r>
        <w:t xml:space="preserve"> </w:t>
      </w:r>
      <w:r>
        <w:t xml:space="preserve">remained at or above the 32 °C UTCI boundary at 12:00 under the clear-sky baseline,</w:t>
      </w:r>
      <w:r>
        <w:t xml:space="preserve"> </w:t>
      </w:r>
      <w:r>
        <w:t xml:space="preserve">the satellite-derived realization, and both irradiance reductions.</w:t>
      </w:r>
    </w:p>
    <w:p>
      <w:pPr>
        <w:pStyle w:val="BodyText"/>
      </w:pPr>
      <w:r>
        <w:t xml:space="preserve">Decision confidence was carried as a field separate from thermal state, so that the</w:t>
      </w:r>
      <w:r>
        <w:t xml:space="preserve"> </w:t>
      </w:r>
      <w:r>
        <w:t xml:space="preserve">physiological stress category and the confidence in the feasibility decision were</w:t>
      </w:r>
      <w:r>
        <w:t xml:space="preserve"> </w:t>
      </w:r>
      <w:r>
        <w:t xml:space="preserve">reported side by side rather than combined. Over the 42 outdoor observations the</w:t>
      </w:r>
      <w:r>
        <w:t xml:space="preserve"> </w:t>
      </w:r>
      <w:r>
        <w:t xml:space="preserve">confidence classification was ROBUST for 35 (83.3%), BOUNDARY for 6 (14.3%), and</w:t>
      </w:r>
      <w:r>
        <w:t xml:space="preserve"> </w:t>
      </w:r>
      <w:r>
        <w:t xml:space="preserve">UNSTABLE for 1 (2.4%). The single UNSTABLE observation was La Rosaleda (A24) at</w:t>
      </w:r>
      <w:r>
        <w:t xml:space="preserve"> </w:t>
      </w:r>
      <w:r>
        <w:t xml:space="preserve">18:00, where a tested realization placed the decision on the opposite side of the</w:t>
      </w:r>
      <w:r>
        <w:t xml:space="preserve"> </w:t>
      </w:r>
      <w:r>
        <w:t xml:space="preserve">46 °C feasibility boundary from the baseline. The 6 BOUNDARY observations occurred</w:t>
      </w:r>
      <w:r>
        <w:t xml:space="preserve"> </w:t>
      </w:r>
      <w:r>
        <w:t xml:space="preserve">at 15:00 and 18:00, with envelope maxima between 44.5 and 45.9 °C — within their</w:t>
      </w:r>
      <w:r>
        <w:t xml:space="preserve"> </w:t>
      </w:r>
      <w:r>
        <w:t xml:space="preserve">demonstrated sensitivity of the 46 °C boundary but not crossing it. All remaining</w:t>
      </w:r>
      <w:r>
        <w:t xml:space="preserve"> </w:t>
      </w:r>
      <w:r>
        <w:t xml:space="preserve">observations either did not approach a threshold within their demonstrated</w:t>
      </w:r>
      <w:r>
        <w:t xml:space="preserve"> </w:t>
      </w:r>
      <w:r>
        <w:t xml:space="preserve">sensitivity or did not cross one under any tested realization.</w:t>
      </w:r>
    </w:p>
    <w:p>
      <w:pPr>
        <w:pStyle w:val="BodyText"/>
      </w:pPr>
      <w:r>
        <w:t xml:space="preserve">The UNSTABLE observation propagated into screening through the evidence gate rather</w:t>
      </w:r>
      <w:r>
        <w:t xml:space="preserve"> </w:t>
      </w:r>
      <w:r>
        <w:t xml:space="preserve">than being suppressed. Where A24 was a candidate (S4), its low evidence confidence</w:t>
      </w:r>
      <w:r>
        <w:t xml:space="preserve"> </w:t>
      </w:r>
      <w:r>
        <w:t xml:space="preserve">produced an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 </w:t>
      </w:r>
      <w:r>
        <w:t xml:space="preserve">exclusion while other alternatives survived;</w:t>
      </w:r>
      <w:r>
        <w:t xml:space="preserve"> </w:t>
      </w:r>
      <w:r>
        <w:t xml:space="preserve">where A24 was the source (S7), the screening still returned surviving alternatives</w:t>
      </w:r>
      <w:r>
        <w:t xml:space="preserve"> </w:t>
      </w:r>
      <w:r>
        <w:t xml:space="preserve">and flagged the source’s own decision as uncertain. Across the scenarios every</w:t>
      </w:r>
      <w:r>
        <w:t xml:space="preserve"> </w:t>
      </w:r>
      <w:r>
        <w:t xml:space="preserve">excluded candidate carried exactly one machine-readable exclusion reason, and the</w:t>
      </w:r>
      <w:r>
        <w:t xml:space="preserve"> </w:t>
      </w:r>
      <w:r>
        <w:t xml:space="preserve">no-recommendation state (S8) remained an available explicit outcome of the same</w:t>
      </w:r>
      <w:r>
        <w:t xml:space="preserve"> </w:t>
      </w:r>
      <w:r>
        <w:t xml:space="preserve">rule set.</w:t>
      </w:r>
    </w:p>
    <w:p>
      <w:pPr>
        <w:pStyle w:val="BodyText"/>
      </w:pPr>
      <w:r>
        <w:t xml:space="preserve">The finding of this subsection is limited to the following: the reported decisions</w:t>
      </w:r>
      <w:r>
        <w:t xml:space="preserve"> </w:t>
      </w:r>
      <w:r>
        <w:t xml:space="preserve">remained unchanged under the tested solar-forcing perturbations with the single</w:t>
      </w:r>
      <w:r>
        <w:t xml:space="preserve"> </w:t>
      </w:r>
      <w:r>
        <w:t xml:space="preserve">noted exception, decision confidence was reported separately from thermal state,</w:t>
      </w:r>
      <w:r>
        <w:t xml:space="preserve"> </w:t>
      </w:r>
      <w:r>
        <w:t xml:space="preserve">and every exclusion and the no-recommendation outcome were traceable to an explicit</w:t>
      </w:r>
      <w:r>
        <w:t xml:space="preserve"> </w:t>
      </w:r>
      <w:r>
        <w:t xml:space="preserve">reason.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The pilot establishes a single, bounded claim: on this case, different thermal</w:t>
      </w:r>
      <w:r>
        <w:t xml:space="preserve"> </w:t>
      </w:r>
      <w:r>
        <w:t xml:space="preserve">representations can materially change which tourism opportunities a screening</w:t>
      </w:r>
      <w:r>
        <w:t xml:space="preserve"> </w:t>
      </w:r>
      <w:r>
        <w:t xml:space="preserve">system treats as feasible, and a constraint-first architecture can make those</w:t>
      </w:r>
      <w:r>
        <w:t xml:space="preserve"> </w:t>
      </w:r>
      <w:r>
        <w:t xml:space="preserve">changes, the constraints behind them, and their confidence explicit. It does not</w:t>
      </w:r>
      <w:r>
        <w:t xml:space="preserve"> </w:t>
      </w:r>
      <w:r>
        <w:t xml:space="preserve">establish that the physically based configuration is correct and the proxy wrong;</w:t>
      </w:r>
      <w:r>
        <w:t xml:space="preserve"> </w:t>
      </w:r>
      <w:r>
        <w:t xml:space="preserve">neither representation was field-validated here, and the interpretation below is</w:t>
      </w:r>
      <w:r>
        <w:t xml:space="preserve"> </w:t>
      </w:r>
      <w:r>
        <w:t xml:space="preserve">kept to method sensitivity rather than accuracy throughout.</w:t>
      </w:r>
    </w:p>
    <w:bookmarkStart w:id="37" w:name="X8c5bdac37c132c126a33daff4c0a31e154f7c18"/>
    <w:p>
      <w:pPr>
        <w:pStyle w:val="Heading2"/>
      </w:pPr>
      <w:r>
        <w:t xml:space="preserve">4.1 Thermal representation is decision-relevant</w:t>
      </w:r>
    </w:p>
    <w:p>
      <w:pPr>
        <w:pStyle w:val="FirstParagraph"/>
      </w:pPr>
      <w:r>
        <w:t xml:space="preserve">Roughly one-third of outdoor observations changed feasibility state when the thermal</w:t>
      </w:r>
      <w:r>
        <w:t xml:space="preserve"> </w:t>
      </w:r>
      <w:r>
        <w:t xml:space="preserve">input was switched from the simple proxy to the physically based configuration, and</w:t>
      </w:r>
      <w:r>
        <w:t xml:space="preserve"> </w:t>
      </w:r>
      <w:r>
        <w:t xml:space="preserve">the change ran in both directions — the physical configuration was more restrictive</w:t>
      </w:r>
      <w:r>
        <w:t xml:space="preserve"> </w:t>
      </w:r>
      <w:r>
        <w:t xml:space="preserve">in nine observations and less restrictive in five. Two properties of this result</w:t>
      </w:r>
      <w:r>
        <w:t xml:space="preserve"> </w:t>
      </w:r>
      <w:r>
        <w:t xml:space="preserve">matter for interpretation. First, because the reclassification is two-directional,</w:t>
      </w:r>
      <w:r>
        <w:t xml:space="preserve"> </w:t>
      </w:r>
      <w:r>
        <w:t xml:space="preserve">it cannot be read as a one-way bias that a single offset would remove; the choice of</w:t>
      </w:r>
      <w:r>
        <w:t xml:space="preserve"> </w:t>
      </w:r>
      <w:r>
        <w:t xml:space="preserve">thermal representation reshapes decisions in both directions, which is what makes it</w:t>
      </w:r>
      <w:r>
        <w:t xml:space="preserve"> </w:t>
      </w:r>
      <w:r>
        <w:t xml:space="preserve">a decision variable rather than a calibration constant. Second, the divergence is</w:t>
      </w:r>
      <w:r>
        <w:t xml:space="preserve"> </w:t>
      </w:r>
      <w:r>
        <w:t xml:space="preserve">strongly time-dependent — largest at midday, absent at 15:00, intermediate at 18:00</w:t>
      </w:r>
      <w:r>
        <w:t xml:space="preserve"> </w:t>
      </w:r>
      <w:r>
        <w:t xml:space="preserve">— so it is a feature of when the two representations carry different information, not</w:t>
      </w:r>
      <w:r>
        <w:t xml:space="preserve"> </w:t>
      </w:r>
      <w:r>
        <w:t xml:space="preserve">a uniform gap between them.</w:t>
      </w:r>
    </w:p>
    <w:p>
      <w:pPr>
        <w:pStyle w:val="BodyText"/>
      </w:pPr>
      <w:r>
        <w:t xml:space="preserve">The noon pattern makes the mechanism concrete. At 12:00 the observed ambient air</w:t>
      </w:r>
      <w:r>
        <w:t xml:space="preserve"> </w:t>
      </w:r>
      <w:r>
        <w:t xml:space="preserve">temperature was 34.2 °C, which sits in the LOW band of the AEMET civil-protection</w:t>
      </w:r>
      <w:r>
        <w:t xml:space="preserve"> </w:t>
      </w:r>
      <w:r>
        <w:t xml:space="preserve">warning scale, while the modelled UTCI was at or above the 32 °C strong-heat-stress</w:t>
      </w:r>
      <w:r>
        <w:t xml:space="preserve"> </w:t>
      </w:r>
      <w:r>
        <w:t xml:space="preserve">boundary at all fourteen outdoor assets. The two methods encode different thermal</w:t>
      </w:r>
      <w:r>
        <w:t xml:space="preserve"> </w:t>
      </w:r>
      <w:r>
        <w:t xml:space="preserve">information: the operational proxy is keyed to ambient air-temperature warning</w:t>
      </w:r>
      <w:r>
        <w:t xml:space="preserve"> </w:t>
      </w:r>
      <w:r>
        <w:t xml:space="preserve">thresholds and local tree presence, whereas the physical configuration additionally</w:t>
      </w:r>
      <w:r>
        <w:t xml:space="preserve"> </w:t>
      </w:r>
      <w:r>
        <w:t xml:space="preserve">resolves radiant exposure through Tmrt and UTCI. Differences between them can</w:t>
      </w:r>
      <w:r>
        <w:t xml:space="preserve"> </w:t>
      </w:r>
      <w:r>
        <w:t xml:space="preserve">therefore emerge before an air-temperature warning threshold is crossed, precisely</w:t>
      </w:r>
      <w:r>
        <w:t xml:space="preserve"> </w:t>
      </w:r>
      <w:r>
        <w:t xml:space="preserve">when radiant load is high but the air is not yet at a warning level. This is</w:t>
      </w:r>
      <w:r>
        <w:t xml:space="preserve"> </w:t>
      </w:r>
      <w:r>
        <w:t xml:space="preserve">consistent with the urban-microclimate literature in which shading and geometry,</w:t>
      </w:r>
      <w:r>
        <w:t xml:space="preserve"> </w:t>
      </w:r>
      <w:r>
        <w:t xml:space="preserve">not air temperature, dominate mean radiant temperature (e.g. Gál &amp; Kántor, 2019; Ding et al., 2024), and with work arguing that surface- or</w:t>
      </w:r>
      <w:r>
        <w:t xml:space="preserve"> </w:t>
      </w:r>
      <w:r>
        <w:t xml:space="preserve">air-temperature summaries are not interchangeable with human-centred heat-stress</w:t>
      </w:r>
      <w:r>
        <w:t xml:space="preserve"> </w:t>
      </w:r>
      <w:r>
        <w:t xml:space="preserve">indices (Wang et al., 2026).</w:t>
      </w:r>
    </w:p>
    <w:p>
      <w:pPr>
        <w:pStyle w:val="BodyText"/>
      </w:pPr>
      <w:r>
        <w:t xml:space="preserve">It is important to state what this does not mean. The AEMET warning thresholds and</w:t>
      </w:r>
      <w:r>
        <w:t xml:space="preserve"> </w:t>
      </w:r>
      <w:r>
        <w:t xml:space="preserve">the UTCI configuration are not two competing measurements of the same quantity. The</w:t>
      </w:r>
      <w:r>
        <w:t xml:space="preserve"> </w:t>
      </w:r>
      <w:r>
        <w:t xml:space="preserve">warning scale is a civil-protection instrument defined on ambient air temperature;</w:t>
      </w:r>
      <w:r>
        <w:t xml:space="preserve"> </w:t>
      </w:r>
      <w:r>
        <w:t xml:space="preserve">UTCI is a modelled index of radiant-inclusive heat load on a standardised body. That</w:t>
      </w:r>
      <w:r>
        <w:t xml:space="preserve"> </w:t>
      </w:r>
      <w:r>
        <w:t xml:space="preserve">a LOW warning state coexists with a strong-heat-stress modelled index does not show</w:t>
      </w:r>
      <w:r>
        <w:t xml:space="preserve"> </w:t>
      </w:r>
      <w:r>
        <w:t xml:space="preserve">that the warning scale understated conditions or that the proxy failed to detect</w:t>
      </w:r>
      <w:r>
        <w:t xml:space="preserve"> </w:t>
      </w:r>
      <w:r>
        <w:t xml:space="preserve">real heat; it shows that the two instruments represent different constructs and can</w:t>
      </w:r>
      <w:r>
        <w:t xml:space="preserve"> </w:t>
      </w:r>
      <w:r>
        <w:t xml:space="preserve">diverge. The contribution here is to quantify that this divergence propagates into</w:t>
      </w:r>
      <w:r>
        <w:t xml:space="preserve"> </w:t>
      </w:r>
      <w:r>
        <w:t xml:space="preserve">tourism-screening decisions, which the composite tourism-climate-index tradition —</w:t>
      </w:r>
      <w:r>
        <w:t xml:space="preserve"> </w:t>
      </w:r>
      <w:r>
        <w:t xml:space="preserve">where weight and threshold choices are already known to move suitability outcomes</w:t>
      </w:r>
      <w:r>
        <w:t xml:space="preserve"> </w:t>
      </w:r>
      <w:r>
        <w:t xml:space="preserve">(Scott et al., 2016; Dubois et al., 2016) — had</w:t>
      </w:r>
      <w:r>
        <w:t xml:space="preserve"> </w:t>
      </w:r>
      <w:r>
        <w:t xml:space="preserve">not examined at the level of a screening decision. The sensitivity to representation</w:t>
      </w:r>
      <w:r>
        <w:t xml:space="preserve"> </w:t>
      </w:r>
      <w:r>
        <w:t xml:space="preserve">is not confined to the proxy-versus-physical contrast: within this study, even</w:t>
      </w:r>
      <w:r>
        <w:t xml:space="preserve"> </w:t>
      </w:r>
      <w:r>
        <w:t xml:space="preserve">simple open-data vegetation proxies did not converge closely with one another,</w:t>
      </w:r>
      <w:r>
        <w:t xml:space="preserve"> </w:t>
      </w:r>
      <w:r>
        <w:t xml:space="preserve">which is consistent with treating the representation of thermal exposure as a</w:t>
      </w:r>
      <w:r>
        <w:t xml:space="preserve"> </w:t>
      </w:r>
      <w:r>
        <w:t xml:space="preserve">substantive decision input rather than a settled preprocessing detail. The practical reading is that</w:t>
      </w:r>
      <w:r>
        <w:t xml:space="preserve"> </w:t>
      </w:r>
      <w:r>
        <w:t xml:space="preserve">thermal representation should be treated as a substantive modelling choice in</w:t>
      </w:r>
      <w:r>
        <w:t xml:space="preserve"> </w:t>
      </w:r>
      <w:r>
        <w:t xml:space="preserve">spatial tourism decision-support, not merely a technical preprocessing step; the</w:t>
      </w:r>
      <w:r>
        <w:t xml:space="preserve"> </w:t>
      </w:r>
      <w:r>
        <w:t xml:space="preserve">pilot supports this on one case rather than as a universal conclusion.</w:t>
      </w:r>
    </w:p>
    <w:bookmarkEnd w:id="37"/>
    <w:bookmarkStart w:id="38" w:name="X992ad412e42d3d5180f1ca02f69af6541fcbcdb"/>
    <w:p>
      <w:pPr>
        <w:pStyle w:val="Heading2"/>
      </w:pPr>
      <w:r>
        <w:t xml:space="preserve">4.2 Screening before routing: a distinct decision-support layer</w:t>
      </w:r>
    </w:p>
    <w:p>
      <w:pPr>
        <w:pStyle w:val="FirstParagraph"/>
      </w:pPr>
      <w:r>
        <w:t xml:space="preserve">Heat-aware screening changed the option set that a conventional proximity tool would</w:t>
      </w:r>
      <w:r>
        <w:t xml:space="preserve"> </w:t>
      </w:r>
      <w:r>
        <w:t xml:space="preserve">return. The surviving candidate set differed from a nearest-open baseline in seven</w:t>
      </w:r>
      <w:r>
        <w:t xml:space="preserve"> </w:t>
      </w:r>
      <w:r>
        <w:t xml:space="preserve">of eight scenarios, the nearest-open pick itself did not satisfy the screening</w:t>
      </w:r>
      <w:r>
        <w:t xml:space="preserve"> </w:t>
      </w:r>
      <w:r>
        <w:t xml:space="preserve">constraints in three, and across the scenarios a number of open, in-radius options</w:t>
      </w:r>
      <w:r>
        <w:t xml:space="preserve"> </w:t>
      </w:r>
      <w:r>
        <w:t xml:space="preserve">were removed on thermal or evidence grounds. These are statements about the option</w:t>
      </w:r>
      <w:r>
        <w:t xml:space="preserve"> </w:t>
      </w:r>
      <w:r>
        <w:t xml:space="preserve">set, not about what any visitor would do; no behavioural response is claimed or</w:t>
      </w:r>
      <w:r>
        <w:t xml:space="preserve"> </w:t>
      </w:r>
      <w:r>
        <w:t xml:space="preserve">tested.</w:t>
      </w:r>
    </w:p>
    <w:p>
      <w:pPr>
        <w:pStyle w:val="BodyText"/>
      </w:pPr>
      <w:r>
        <w:t xml:space="preserve">The result is best positioned by making the decision-support layer explicit.</w:t>
      </w:r>
      <w:r>
        <w:t xml:space="preserve"> </w:t>
      </w:r>
      <w:r>
        <w:t xml:space="preserve">Heat-aware routing takes an origin and a destination as given and asks which path</w:t>
      </w:r>
      <w:r>
        <w:t xml:space="preserve"> </w:t>
      </w:r>
      <w:r>
        <w:t xml:space="preserve">minimises thermal exposure (Buo et al., 2026; Wolf et al., 2025). Thermal-adjusted</w:t>
      </w:r>
      <w:r>
        <w:t xml:space="preserve"> </w:t>
      </w:r>
      <w:r>
        <w:t xml:space="preserve">accessibility takes a destination set as given and asks how many destinations remain</w:t>
      </w:r>
      <w:r>
        <w:t xml:space="preserve"> </w:t>
      </w:r>
      <w:r>
        <w:t xml:space="preserve">reachable under heat (Aydin et al., 2026). The approach</w:t>
      </w:r>
      <w:r>
        <w:t xml:space="preserve"> </w:t>
      </w:r>
      <w:r>
        <w:t xml:space="preserve">here operates upstream of both: before a route or a reachability count, it asks</w:t>
      </w:r>
      <w:r>
        <w:t xml:space="preserve"> </w:t>
      </w:r>
      <w:r>
        <w:t xml:space="preserve">which tourism opportunities should remain eligible at a given hour under thermal,</w:t>
      </w:r>
      <w:r>
        <w:t xml:space="preserve"> </w:t>
      </w:r>
      <w:r>
        <w:t xml:space="preserve">operational, accessibility, and evidence constraints. Among the closest approaches</w:t>
      </w:r>
      <w:r>
        <w:t xml:space="preserve"> </w:t>
      </w:r>
      <w:r>
        <w:t xml:space="preserve">identified in the targeted review, these routing and accessibility methods</w:t>
      </w:r>
      <w:r>
        <w:t xml:space="preserve"> </w:t>
      </w:r>
      <w:r>
        <w:t xml:space="preserve">presuppose the candidate set, whereas the constraint-first approach produces and</w:t>
      </w:r>
      <w:r>
        <w:t xml:space="preserve"> </w:t>
      </w:r>
      <w:r>
        <w:t xml:space="preserve">filters it. This is a complementary upstream layer rather than a replacement: it</w:t>
      </w:r>
      <w:r>
        <w:t xml:space="preserve"> </w:t>
      </w:r>
      <w:r>
        <w:t xml:space="preserve">does not eliminate the overlap with the routing literature, and a downstream routing</w:t>
      </w:r>
      <w:r>
        <w:t xml:space="preserve"> </w:t>
      </w:r>
      <w:r>
        <w:t xml:space="preserve">or accessibility method could in principle consume the surviving candidate set.</w:t>
      </w:r>
      <w:r>
        <w:t xml:space="preserve"> </w:t>
      </w:r>
      <w:r>
        <w:t xml:space="preserve">Routing was deliberately outside the scope of this study, and the boundary is drawn</w:t>
      </w:r>
      <w:r>
        <w:t xml:space="preserve"> </w:t>
      </w:r>
      <w:r>
        <w:t xml:space="preserve">to complement that frontier, not to compete with it.</w:t>
      </w:r>
    </w:p>
    <w:p>
      <w:pPr>
        <w:pStyle w:val="BodyText"/>
      </w:pPr>
      <w:r>
        <w:t xml:space="preserve">The three cases in which the nearest-open pick did not survive screening — each an</w:t>
      </w:r>
      <w:r>
        <w:t xml:space="preserve"> </w:t>
      </w:r>
      <w:r>
        <w:t xml:space="preserve">outdoor site that was not cooler than the source — illustrate a concrete failure</w:t>
      </w:r>
      <w:r>
        <w:t xml:space="preserve"> </w:t>
      </w:r>
      <w:r>
        <w:t xml:space="preserve">mode of proximity-only guidance under heat, and connect to the tourism heat-</w:t>
      </w:r>
      <w:r>
        <w:t xml:space="preserve"> </w:t>
      </w:r>
      <w:r>
        <w:t xml:space="preserve">governance literature that frames attraction-level warnings and closures as</w:t>
      </w:r>
      <w:r>
        <w:t xml:space="preserve"> </w:t>
      </w:r>
      <w:r>
        <w:t xml:space="preserve">management levers (Scott, 2026). The screening layer</w:t>
      </w:r>
      <w:r>
        <w:t xml:space="preserve"> </w:t>
      </w:r>
      <w:r>
        <w:t xml:space="preserve">adds an operational step to that governance picture; it does not, on this evidence,</w:t>
      </w:r>
      <w:r>
        <w:t xml:space="preserve"> </w:t>
      </w:r>
      <w:r>
        <w:t xml:space="preserve">show that using it changes any realised management or visitor outcome.</w:t>
      </w:r>
    </w:p>
    <w:bookmarkEnd w:id="38"/>
    <w:bookmarkStart w:id="39" w:name="X368fbf3d250536e71ca71769b8b10d232e3b193"/>
    <w:p>
      <w:pPr>
        <w:pStyle w:val="Heading2"/>
      </w:pPr>
      <w:r>
        <w:t xml:space="preserve">4.3 Explicit non-recommendation and traceability</w:t>
      </w:r>
    </w:p>
    <w:p>
      <w:pPr>
        <w:pStyle w:val="FirstParagraph"/>
      </w:pPr>
      <w:r>
        <w:t xml:space="preserve">One scenario returned no surviving alternative. From Parque del Retiro at 15:00</w:t>
      </w:r>
      <w:r>
        <w:t xml:space="preserve"> </w:t>
      </w:r>
      <w:r>
        <w:t xml:space="preserve">under a 500 m accessibility condition, all twenty-six evaluated candidates were</w:t>
      </w:r>
      <w:r>
        <w:t xml:space="preserve"> </w:t>
      </w:r>
      <w:r>
        <w:t xml:space="preserve">screened out — accessible outdoor options because they were not cooler than the</w:t>
      </w:r>
      <w:r>
        <w:t xml:space="preserve"> </w:t>
      </w:r>
      <w:r>
        <w:t xml:space="preserve">already-relatively-cool source, indoor refuges because they lay outside the radius —</w:t>
      </w:r>
      <w:r>
        <w:t xml:space="preserve"> </w:t>
      </w:r>
      <w:r>
        <w:t xml:space="preserve">and the scenario resolved to an explicit no-alternative state. This is an</w:t>
      </w:r>
      <w:r>
        <w:t xml:space="preserve"> </w:t>
      </w:r>
      <w:r>
        <w:t xml:space="preserve">architectural property rather than a normative recommendation. A system built on</w:t>
      </w:r>
      <w:r>
        <w:t xml:space="preserve"> </w:t>
      </w:r>
      <w:r>
        <w:t xml:space="preserve">hard, ordered constraints does not need to return a ranked pick when nothing</w:t>
      </w:r>
      <w:r>
        <w:t xml:space="preserve"> </w:t>
      </w:r>
      <w:r>
        <w:t xml:space="preserve">satisfies its predefined conditions, which contrasts with recommender designs that</w:t>
      </w:r>
      <w:r>
        <w:t xml:space="preserve"> </w:t>
      </w:r>
      <w:r>
        <w:t xml:space="preserve">necessarily surface an ordered list or a top choice. The interpretive point is</w:t>
      </w:r>
      <w:r>
        <w:t xml:space="preserve"> </w:t>
      </w:r>
      <w:r>
        <w:t xml:space="preserve">narrow: an explicit no-alternative outcome preserves the meaning of the constraints</w:t>
      </w:r>
      <w:r>
        <w:t xml:space="preserve"> </w:t>
      </w:r>
      <w:r>
        <w:t xml:space="preserve">and prevents a weak option from being presented merely because it is the least</w:t>
      </w:r>
      <w:r>
        <w:t xml:space="preserve"> </w:t>
      </w:r>
      <w:r>
        <w:t xml:space="preserve">unsuitable candidate available.</w:t>
      </w:r>
    </w:p>
    <w:p>
      <w:pPr>
        <w:pStyle w:val="BodyText"/>
      </w:pPr>
      <w:r>
        <w:t xml:space="preserve">This behaviour sits alongside equity-oriented accessibility work in which spatial</w:t>
      </w:r>
      <w:r>
        <w:t xml:space="preserve"> </w:t>
      </w:r>
      <w:r>
        <w:t xml:space="preserve">proximity alone is shown to be insufficient for meaningful access to cool refuges</w:t>
      </w:r>
      <w:r>
        <w:t xml:space="preserve"> </w:t>
      </w:r>
      <w:r>
        <w:t xml:space="preserve">(Mombelli et al., 2025), and alongside uncertainty-aware</w:t>
      </w:r>
      <w:r>
        <w:t xml:space="preserve"> </w:t>
      </w:r>
      <w:r>
        <w:t xml:space="preserve">spatial decision-support that treats</w:t>
      </w:r>
      <w:r>
        <w:t xml:space="preserve"> </w:t>
      </w:r>
      <w:r>
        <w:t xml:space="preserve">“</w:t>
      </w:r>
      <w:r>
        <w:t xml:space="preserve">no defensible option</w:t>
      </w:r>
      <w:r>
        <w:t xml:space="preserve">”</w:t>
      </w:r>
      <w:r>
        <w:t xml:space="preserve"> </w:t>
      </w:r>
      <w:r>
        <w:t xml:space="preserve">as a legitimate result</w:t>
      </w:r>
      <w:r>
        <w:t xml:space="preserve"> </w:t>
      </w:r>
      <w:r>
        <w:t xml:space="preserve">rather than a failure. The traceability of the outcome follows from the same</w:t>
      </w:r>
      <w:r>
        <w:t xml:space="preserve"> </w:t>
      </w:r>
      <w:r>
        <w:t xml:space="preserve">structure: because each candidate is eliminated by the first constraint it fails,</w:t>
      </w:r>
      <w:r>
        <w:t xml:space="preserve"> </w:t>
      </w:r>
      <w:r>
        <w:t xml:space="preserve">every exclusion carries a single machine-readable reason, and the no-alternative</w:t>
      </w:r>
      <w:r>
        <w:t xml:space="preserve"> </w:t>
      </w:r>
      <w:r>
        <w:t xml:space="preserve">state is itself a reason-bearing output rather than a silent gap. This is a property</w:t>
      </w:r>
      <w:r>
        <w:t xml:space="preserve"> </w:t>
      </w:r>
      <w:r>
        <w:t xml:space="preserve">of the first-failing-gate design and of keeping the decision out of a single</w:t>
      </w:r>
      <w:r>
        <w:t xml:space="preserve"> </w:t>
      </w:r>
      <w:r>
        <w:t xml:space="preserve">composite score; it is an architectural and transparency distinction, not empirical</w:t>
      </w:r>
      <w:r>
        <w:t xml:space="preserve"> </w:t>
      </w:r>
      <w:r>
        <w:t xml:space="preserve">proof that the resulting guidance improves management outcomes.</w:t>
      </w:r>
    </w:p>
    <w:bookmarkEnd w:id="39"/>
    <w:bookmarkStart w:id="40" w:name="X18bc0ac4888c7cc33056e04ce7f80e7dacdac03"/>
    <w:p>
      <w:pPr>
        <w:pStyle w:val="Heading2"/>
      </w:pPr>
      <w:r>
        <w:t xml:space="preserve">4.4 Robustness, uncertainty, and appropriate confidence</w:t>
      </w:r>
    </w:p>
    <w:p>
      <w:pPr>
        <w:pStyle w:val="FirstParagraph"/>
      </w:pPr>
      <w:r>
        <w:t xml:space="preserve">The main decision patterns were stable under the solar-forcing perturbations</w:t>
      </w:r>
      <w:r>
        <w:t xml:space="preserve"> </w:t>
      </w:r>
      <w:r>
        <w:t xml:space="preserve">actually tested. Substituting a satellite-derived irradiance realization for the</w:t>
      </w:r>
      <w:r>
        <w:t xml:space="preserve"> </w:t>
      </w:r>
      <w:r>
        <w:t xml:space="preserve">clear-sky estimate changed one of forty-two decisions, and ±10% and ±20% irradiance</w:t>
      </w:r>
      <w:r>
        <w:t xml:space="preserve"> </w:t>
      </w:r>
      <w:r>
        <w:t xml:space="preserve">perturbations changed none; the noon result held under every tested realization.</w:t>
      </w:r>
      <w:r>
        <w:t xml:space="preserve"> </w:t>
      </w:r>
      <w:r>
        <w:t xml:space="preserve">This is a statement about stability under the tested forcing, not a validation of</w:t>
      </w:r>
      <w:r>
        <w:t xml:space="preserve"> </w:t>
      </w:r>
      <w:r>
        <w:t xml:space="preserve">the modelled radiant field, which remains unmeasured.</w:t>
      </w:r>
    </w:p>
    <w:p>
      <w:pPr>
        <w:pStyle w:val="BodyText"/>
      </w:pPr>
      <w:r>
        <w:t xml:space="preserve">The design keeps thermal state and decision confidence as separate fields, and the</w:t>
      </w:r>
      <w:r>
        <w:t xml:space="preserve"> </w:t>
      </w:r>
      <w:r>
        <w:t xml:space="preserve">robustness results show why that separation is useful. A high thermal-stress state</w:t>
      </w:r>
      <w:r>
        <w:t xml:space="preserve"> </w:t>
      </w:r>
      <w:r>
        <w:t xml:space="preserve">can coexist with genuine uncertainty about the precise decision boundary. The one</w:t>
      </w:r>
      <w:r>
        <w:t xml:space="preserve"> </w:t>
      </w:r>
      <w:r>
        <w:t xml:space="preserve">observation classified UNSTABLE — La Rosaleda at 18:00 — is an example: it is firmly</w:t>
      </w:r>
      <w:r>
        <w:t xml:space="preserve"> </w:t>
      </w:r>
      <w:r>
        <w:t xml:space="preserve">in a very-strong-heat-stress state, yet a tested realization moves it across the</w:t>
      </w:r>
      <w:r>
        <w:t xml:space="preserve"> </w:t>
      </w:r>
      <w:r>
        <w:t xml:space="preserve">46 °C feasibility boundary, so the decision is confidently</w:t>
      </w:r>
      <w:r>
        <w:t xml:space="preserve"> </w:t>
      </w:r>
      <w:r>
        <w:t xml:space="preserve">“</w:t>
      </w:r>
      <w:r>
        <w:t xml:space="preserve">hot</w:t>
      </w:r>
      <w:r>
        <w:t xml:space="preserve">”</w:t>
      </w:r>
      <w:r>
        <w:t xml:space="preserve"> </w:t>
      </w:r>
      <w:r>
        <w:t xml:space="preserve">while the</w:t>
      </w:r>
      <w:r>
        <w:t xml:space="preserve"> </w:t>
      </w:r>
      <w:r>
        <w:t xml:space="preserve">feasibility call at that specific threshold is not robust. Collapsing stress and</w:t>
      </w:r>
      <w:r>
        <w:t xml:space="preserve"> </w:t>
      </w:r>
      <w:r>
        <w:t xml:space="preserve">confidence into one number would hide exactly this distinction; reporting them</w:t>
      </w:r>
      <w:r>
        <w:t xml:space="preserve"> </w:t>
      </w:r>
      <w:r>
        <w:t xml:space="preserve">separately lets the uncertain case be flagged and, through the evidence gate,</w:t>
      </w:r>
      <w:r>
        <w:t xml:space="preserve"> </w:t>
      </w:r>
      <w:r>
        <w:t xml:space="preserve">excluded when it is a candidate rather than silently carried. The remaining</w:t>
      </w:r>
      <w:r>
        <w:t xml:space="preserve"> </w:t>
      </w:r>
      <w:r>
        <w:t xml:space="preserve">near-boundary observations behave similarly, sitting close to the 46 °C threshold</w:t>
      </w:r>
      <w:r>
        <w:t xml:space="preserve"> </w:t>
      </w:r>
      <w:r>
        <w:t xml:space="preserve">within their own demonstrated sensitivity without crossing it.</w:t>
      </w:r>
    </w:p>
    <w:p>
      <w:pPr>
        <w:pStyle w:val="BodyText"/>
      </w:pPr>
      <w:r>
        <w:t xml:space="preserve">This treatment is deliberately partial. Uncertainty was propagated only across the</w:t>
      </w:r>
      <w:r>
        <w:t xml:space="preserve"> </w:t>
      </w:r>
      <w:r>
        <w:t xml:space="preserve">tested dimensions — solar forcing across all outdoor rows and targeted canopy</w:t>
      </w:r>
      <w:r>
        <w:t xml:space="preserve"> </w:t>
      </w:r>
      <w:r>
        <w:t xml:space="preserve">geometry for two assets — and does not cover air-temperature, humidity, wind, or</w:t>
      </w:r>
      <w:r>
        <w:t xml:space="preserve"> </w:t>
      </w:r>
      <w:r>
        <w:t xml:space="preserve">model-structural uncertainty. The confidence labels therefore mean robust against</w:t>
      </w:r>
      <w:r>
        <w:t xml:space="preserve"> </w:t>
      </w:r>
      <w:r>
        <w:t xml:space="preserve">what was tested, not certain. Relative to uncertainty-aware spatial decision-support</w:t>
      </w:r>
      <w:r>
        <w:t xml:space="preserve"> </w:t>
      </w:r>
      <w:r>
        <w:t xml:space="preserve">that propagates input uncertainty into a combined reliability estimate (Sargazi et al., 2025; Huck et al., 2025), the approach here differs by keeping uncertainty categorical and attached to</w:t>
      </w:r>
      <w:r>
        <w:t xml:space="preserve"> </w:t>
      </w:r>
      <w:r>
        <w:t xml:space="preserve">the individual decision rather than folded into one composite figure — a</w:t>
      </w:r>
      <w:r>
        <w:t xml:space="preserve"> </w:t>
      </w:r>
      <w:r>
        <w:t xml:space="preserve">transparency choice, not a claim of more complete quantification.</w:t>
      </w:r>
    </w:p>
    <w:bookmarkEnd w:id="40"/>
    <w:bookmarkStart w:id="41" w:name="contribution-and-transferability"/>
    <w:p>
      <w:pPr>
        <w:pStyle w:val="Heading2"/>
      </w:pPr>
      <w:r>
        <w:t xml:space="preserve">4.5 Contribution and transferability</w:t>
      </w:r>
    </w:p>
    <w:p>
      <w:pPr>
        <w:pStyle w:val="FirstParagraph"/>
      </w:pPr>
      <w:r>
        <w:t xml:space="preserve">Taken together, these results point to an applied decision-support contribution</w:t>
      </w:r>
      <w:r>
        <w:t xml:space="preserve"> </w:t>
      </w:r>
      <w:r>
        <w:t xml:space="preserve">rather than a new metric or algorithm. The proposed framework keeps four things</w:t>
      </w:r>
      <w:r>
        <w:t xml:space="preserve"> </w:t>
      </w:r>
      <w:r>
        <w:t xml:space="preserve">visible as distinct inputs to a screening decision — the thermal representation, the</w:t>
      </w:r>
      <w:r>
        <w:t xml:space="preserve"> </w:t>
      </w:r>
      <w:r>
        <w:t xml:space="preserve">operational and accessibility constraints, the sufficiency of the underlying</w:t>
      </w:r>
      <w:r>
        <w:t xml:space="preserve"> </w:t>
      </w:r>
      <w:r>
        <w:t xml:space="preserve">evidence, and the tested uncertainty — instead of collapsing them into a single</w:t>
      </w:r>
      <w:r>
        <w:t xml:space="preserve"> </w:t>
      </w:r>
      <w:r>
        <w:t xml:space="preserve">composite suitability score. The Madrid pilot is a case-based demonstration that</w:t>
      </w:r>
      <w:r>
        <w:t xml:space="preserve"> </w:t>
      </w:r>
      <w:r>
        <w:t xml:space="preserve">this separation is not cosmetic: changing one of those inputs, the thermal</w:t>
      </w:r>
      <w:r>
        <w:t xml:space="preserve"> </w:t>
      </w:r>
      <w:r>
        <w:t xml:space="preserve">representation, materially altered the feasible candidate set, and the architecture</w:t>
      </w:r>
      <w:r>
        <w:t xml:space="preserve"> </w:t>
      </w:r>
      <w:r>
        <w:t xml:space="preserve">made that change and its confidence auditable. The reproducible pipeline behind the</w:t>
      </w:r>
      <w:r>
        <w:t xml:space="preserve"> </w:t>
      </w:r>
      <w:r>
        <w:t xml:space="preserve">reported tables is part of this contribution; a read-only visual prototype exists as</w:t>
      </w:r>
      <w:r>
        <w:t xml:space="preserve"> </w:t>
      </w:r>
      <w:r>
        <w:t xml:space="preserve">a supplementary demonstration of implementation feasibility and is not itself a</w:t>
      </w:r>
      <w:r>
        <w:t xml:space="preserve"> </w:t>
      </w:r>
      <w:r>
        <w:t xml:space="preserve">result.</w:t>
      </w:r>
    </w:p>
    <w:p>
      <w:pPr>
        <w:pStyle w:val="BodyText"/>
      </w:pPr>
      <w:r>
        <w:t xml:space="preserve">Transferability should be read at two levels. The architecture — constraint-first</w:t>
      </w:r>
      <w:r>
        <w:t xml:space="preserve"> </w:t>
      </w:r>
      <w:r>
        <w:t xml:space="preserve">elimination with a first-failing-gate reason, explicit exclusions, confidence kept</w:t>
      </w:r>
      <w:r>
        <w:t xml:space="preserve"> </w:t>
      </w:r>
      <w:r>
        <w:t xml:space="preserve">separate from thermal state, an explicit method-sensitivity comparison, and an</w:t>
      </w:r>
      <w:r>
        <w:t xml:space="preserve"> </w:t>
      </w:r>
      <w:r>
        <w:t xml:space="preserve">explicit no-survivor state — is potentially transferable to other destinations and</w:t>
      </w:r>
      <w:r>
        <w:t xml:space="preserve"> </w:t>
      </w:r>
      <w:r>
        <w:t xml:space="preserve">episodes. Its operational parameters are not automatically transferable: the hazard</w:t>
      </w:r>
      <w:r>
        <w:t xml:space="preserve"> </w:t>
      </w:r>
      <w:r>
        <w:t xml:space="preserve">and UTCI thresholds, the accessibility distances, the curated assets and their</w:t>
      </w:r>
      <w:r>
        <w:t xml:space="preserve"> </w:t>
      </w:r>
      <w:r>
        <w:t xml:space="preserve">opening schedules, the local urban geometry and thermal forcing, and the specific</w:t>
      </w:r>
      <w:r>
        <w:t xml:space="preserve"> </w:t>
      </w:r>
      <w:r>
        <w:t xml:space="preserve">Madrid results are all setting-dependent. The architecture is therefore potentially</w:t>
      </w:r>
      <w:r>
        <w:t xml:space="preserve"> </w:t>
      </w:r>
      <w:r>
        <w:t xml:space="preserve">transferable, whereas its operational parameters require local calibration and</w:t>
      </w:r>
      <w:r>
        <w:t xml:space="preserve"> </w:t>
      </w:r>
      <w:r>
        <w:t xml:space="preserve">validation before use elsewhere.</w:t>
      </w:r>
    </w:p>
    <w:p>
      <w:pPr>
        <w:pStyle w:val="BodyText"/>
      </w:pPr>
      <w:r>
        <w:t xml:space="preserve">These interpretations rest on real boundaries that constrain how far they reach.</w:t>
      </w:r>
      <w:r>
        <w:t xml:space="preserve"> </w:t>
      </w:r>
      <w:r>
        <w:t xml:space="preserve">There is no direct field validation of Tmrt or UTCI; the evidence is one city, one</w:t>
      </w:r>
      <w:r>
        <w:t xml:space="preserve"> </w:t>
      </w:r>
      <w:r>
        <w:t xml:space="preserve">extreme-heat day, and twenty-seven assets; the canopy geometry is dated for part of</w:t>
      </w:r>
      <w:r>
        <w:t xml:space="preserve"> </w:t>
      </w:r>
      <w:r>
        <w:t xml:space="preserve">the domain; the uncertainty envelope is partial; accessibility is straight-line with</w:t>
      </w:r>
      <w:r>
        <w:t xml:space="preserve"> </w:t>
      </w:r>
      <w:r>
        <w:t xml:space="preserve">no en-route thermal exposure; the indoor-refuge assumption is unverified for</w:t>
      </w:r>
      <w:r>
        <w:t xml:space="preserve"> </w:t>
      </w:r>
      <w:r>
        <w:t xml:space="preserve">air-conditioning and approach exposure; and the opening hours are documented at a</w:t>
      </w:r>
      <w:r>
        <w:t xml:space="preserve"> </w:t>
      </w:r>
      <w:r>
        <w:t xml:space="preserve">later date than the study day. These limitations bound the interpretation to a</w:t>
      </w:r>
      <w:r>
        <w:t xml:space="preserve"> </w:t>
      </w:r>
      <w:r>
        <w:t xml:space="preserve">demonstration of method sensitivity and of a transparent screening architecture on a</w:t>
      </w:r>
      <w:r>
        <w:t xml:space="preserve"> </w:t>
      </w:r>
      <w:r>
        <w:t xml:space="preserve">single well-characterised pilot; they are set out in full in the following section.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limitations-and-scope-conditions"/>
    <w:p>
      <w:pPr>
        <w:pStyle w:val="Heading1"/>
      </w:pPr>
      <w:r>
        <w:t xml:space="preserve">5. Limitations and scope conditions</w:t>
      </w:r>
    </w:p>
    <w:p>
      <w:pPr>
        <w:pStyle w:val="FirstParagraph"/>
      </w:pPr>
      <w:r>
        <w:t xml:space="preserve">The findings should be read against a set of boundaries that fix what the study can</w:t>
      </w:r>
      <w:r>
        <w:t xml:space="preserve"> </w:t>
      </w:r>
      <w:r>
        <w:t xml:space="preserve">and cannot support. These are stated in order of consequence and are not argued away;</w:t>
      </w:r>
      <w:r>
        <w:t xml:space="preserve"> </w:t>
      </w:r>
      <w:r>
        <w:t xml:space="preserve">several are permanent properties of the design rather than gaps a minor extension</w:t>
      </w:r>
      <w:r>
        <w:t xml:space="preserve"> </w:t>
      </w:r>
      <w:r>
        <w:t xml:space="preserve">would close.</w:t>
      </w:r>
    </w:p>
    <w:bookmarkStart w:id="43" w:name="physical-model-validation-boundary"/>
    <w:p>
      <w:pPr>
        <w:pStyle w:val="Heading2"/>
      </w:pPr>
      <w:r>
        <w:t xml:space="preserve">5.1 Physical-model validation boundary</w:t>
      </w:r>
    </w:p>
    <w:p>
      <w:pPr>
        <w:pStyle w:val="FirstParagraph"/>
      </w:pPr>
      <w:r>
        <w:t xml:space="preserve">The most consequential boundary concerns the status of the physical thermal fields.</w:t>
      </w:r>
      <w:r>
        <w:t xml:space="preserve"> </w:t>
      </w:r>
      <w:r>
        <w:t xml:space="preserve">Mean radiant temperature and UTCI were model-derived at every asset; no direct field</w:t>
      </w:r>
      <w:r>
        <w:t xml:space="preserve"> </w:t>
      </w:r>
      <w:r>
        <w:t xml:space="preserve">measurements of Tmrt or UTCI were collected anywhere in the study. The available</w:t>
      </w:r>
      <w:r>
        <w:t xml:space="preserve"> </w:t>
      </w:r>
      <w:r>
        <w:t xml:space="preserve">station observations (air temperature, humidity, wind, pressure) support only the</w:t>
      </w:r>
      <w:r>
        <w:t xml:space="preserve"> </w:t>
      </w:r>
      <w:r>
        <w:t xml:space="preserve">meteorological forcing of the model, not the modelled radiant field: they constrain</w:t>
      </w:r>
      <w:r>
        <w:t xml:space="preserve"> </w:t>
      </w:r>
      <w:r>
        <w:t xml:space="preserve">the inputs, not the output. SOLWEIG was assessed through plausibility checks and</w:t>
      </w:r>
      <w:r>
        <w:t xml:space="preserve"> </w:t>
      </w:r>
      <w:r>
        <w:t xml:space="preserve">sensitivity analysis, not against in-situ radiant or comfort measurements, and</w:t>
      </w:r>
      <w:r>
        <w:t xml:space="preserve"> </w:t>
      </w:r>
      <w:r>
        <w:t xml:space="preserve">consistency with published SOLWEIG-class value ranges is a plausibility statement,</w:t>
      </w:r>
      <w:r>
        <w:t xml:space="preserve"> </w:t>
      </w:r>
      <w:r>
        <w:t xml:space="preserve">not a validation of this implementation — precedent for the model in general does</w:t>
      </w:r>
      <w:r>
        <w:t xml:space="preserve"> </w:t>
      </w:r>
      <w:r>
        <w:t xml:space="preserve">not certify the specific configuration used here.</w:t>
      </w:r>
    </w:p>
    <w:p>
      <w:pPr>
        <w:pStyle w:val="BodyText"/>
      </w:pPr>
      <w:r>
        <w:t xml:space="preserve">It follows that the proxy-versus-physical comparison evaluates decision sensitivity</w:t>
      </w:r>
      <w:r>
        <w:t xml:space="preserve"> </w:t>
      </w:r>
      <w:r>
        <w:t xml:space="preserve">to the choice of thermal method, not the accuracy of either method against ground</w:t>
      </w:r>
      <w:r>
        <w:t xml:space="preserve"> </w:t>
      </w:r>
      <w:r>
        <w:t xml:space="preserve">truth. A reclassified observation shows that the two representations disagree in a</w:t>
      </w:r>
      <w:r>
        <w:t xml:space="preserve"> </w:t>
      </w:r>
      <w:r>
        <w:t xml:space="preserve">way that changes the screening decision; it does not show that one representation is</w:t>
      </w:r>
      <w:r>
        <w:t xml:space="preserve"> </w:t>
      </w:r>
      <w:r>
        <w:t xml:space="preserve">correct and the other wrong. This boundary is load-bearing for the whole paper: the</w:t>
      </w:r>
      <w:r>
        <w:t xml:space="preserve"> </w:t>
      </w:r>
      <w:r>
        <w:t xml:space="preserve">contribution is the demonstration that method choice is decision-relevant, and it</w:t>
      </w:r>
      <w:r>
        <w:t xml:space="preserve"> </w:t>
      </w:r>
      <w:r>
        <w:t xml:space="preserve">does not require, or assert, that the physical configuration is the more accurate</w:t>
      </w:r>
      <w:r>
        <w:t xml:space="preserve"> </w:t>
      </w:r>
      <w:r>
        <w:t xml:space="preserve">account of on-site conditions.</w:t>
      </w:r>
    </w:p>
    <w:bookmarkEnd w:id="43"/>
    <w:bookmarkStart w:id="44" w:name="spatial-and-temporal-scope"/>
    <w:p>
      <w:pPr>
        <w:pStyle w:val="Heading2"/>
      </w:pPr>
      <w:r>
        <w:t xml:space="preserve">5.2 Spatial and temporal scope</w:t>
      </w:r>
    </w:p>
    <w:p>
      <w:pPr>
        <w:pStyle w:val="FirstParagraph"/>
      </w:pPr>
      <w:r>
        <w:t xml:space="preserve">The empirical evidence is a single case. It covers one city, one pilot area of</w:t>
      </w:r>
      <w:r>
        <w:t xml:space="preserve"> </w:t>
      </w:r>
      <w:r>
        <w:t xml:space="preserve">approximately 3.5 km², one documented extreme-heat day, three fixed timestamps, 27</w:t>
      </w:r>
      <w:r>
        <w:t xml:space="preserve"> </w:t>
      </w:r>
      <w:r>
        <w:t xml:space="preserve">curated tourism assets, and 42 outdoor asset × timestamp comparisons. The assets</w:t>
      </w:r>
      <w:r>
        <w:t xml:space="preserve"> </w:t>
      </w:r>
      <w:r>
        <w:t xml:space="preserve">were purposively selected to span a range of adaptation conditions rather than</w:t>
      </w:r>
      <w:r>
        <w:t xml:space="preserve"> </w:t>
      </w:r>
      <w:r>
        <w:t xml:space="preserve">sampled at random, so the set is not a statistically representative sample of Madrid</w:t>
      </w:r>
      <w:r>
        <w:t xml:space="preserve"> </w:t>
      </w:r>
      <w:r>
        <w:t xml:space="preserve">tourism sites, and the reported rates are properties of this configuration rather</w:t>
      </w:r>
      <w:r>
        <w:t xml:space="preserve"> </w:t>
      </w:r>
      <w:r>
        <w:t xml:space="preserve">than population estimates.</w:t>
      </w:r>
    </w:p>
    <w:p>
      <w:pPr>
        <w:pStyle w:val="BodyText"/>
      </w:pPr>
      <w:r>
        <w:t xml:space="preserve">Consequently the study cannot establish seasonal behaviour, climatological averages,</w:t>
      </w:r>
      <w:r>
        <w:t xml:space="preserve"> </w:t>
      </w:r>
      <w:r>
        <w:t xml:space="preserve">city-wide performance across Madrid, cross-city generalisability, or behaviour under</w:t>
      </w:r>
      <w:r>
        <w:t xml:space="preserve"> </w:t>
      </w:r>
      <w:r>
        <w:t xml:space="preserve">different meteorological regimes; a single extreme-heat day says nothing about milder</w:t>
      </w:r>
      <w:r>
        <w:t xml:space="preserve"> </w:t>
      </w:r>
      <w:r>
        <w:t xml:space="preserve">days or other synoptic conditions. This design is appropriate for demonstrating an</w:t>
      </w:r>
      <w:r>
        <w:t xml:space="preserve"> </w:t>
      </w:r>
      <w:r>
        <w:t xml:space="preserve">architecture and for quantifying method sensitivity on a well-characterised case; it</w:t>
      </w:r>
      <w:r>
        <w:t xml:space="preserve"> </w:t>
      </w:r>
      <w:r>
        <w:t xml:space="preserve">is not a basis for population-level or climatological inference, and none is drawn.</w:t>
      </w:r>
    </w:p>
    <w:bookmarkEnd w:id="44"/>
    <w:bookmarkStart w:id="45" w:name="input-and-uncertainty-limitations"/>
    <w:p>
      <w:pPr>
        <w:pStyle w:val="Heading2"/>
      </w:pPr>
      <w:r>
        <w:t xml:space="preserve">5.3 Input and uncertainty limitations</w:t>
      </w:r>
    </w:p>
    <w:p>
      <w:pPr>
        <w:pStyle w:val="FirstParagraph"/>
      </w:pPr>
      <w:r>
        <w:t xml:space="preserve">The uncertainty treatment is partial by construction. The reported confidence</w:t>
      </w:r>
      <w:r>
        <w:t xml:space="preserve"> </w:t>
      </w:r>
      <w:r>
        <w:t xml:space="preserve">classes rest on an envelope built from the realizations actually computed: solar</w:t>
      </w:r>
      <w:r>
        <w:t xml:space="preserve"> </w:t>
      </w:r>
      <w:r>
        <w:t xml:space="preserve">forcing across all outdoor rows (a clear-sky estimate, a satellite-derived</w:t>
      </w:r>
      <w:r>
        <w:t xml:space="preserve"> </w:t>
      </w:r>
      <w:r>
        <w:t xml:space="preserve">realization, and −10% and −20% irradiance perturbations) and, for two assets,</w:t>
      </w:r>
      <w:r>
        <w:t xml:space="preserve"> </w:t>
      </w:r>
      <w:r>
        <w:t xml:space="preserve">targeted vegetation-geometry variants. Several uncertainty sources were not</w:t>
      </w:r>
      <w:r>
        <w:t xml:space="preserve"> </w:t>
      </w:r>
      <w:r>
        <w:t xml:space="preserve">propagated — spatial variability in wind, humidity and air-temperature uncertainty,</w:t>
      </w:r>
      <w:r>
        <w:t xml:space="preserve"> </w:t>
      </w:r>
      <w:r>
        <w:t xml:space="preserve">full vegetation uncertainty across the domain, model-structural uncertainty, and the</w:t>
      </w:r>
      <w:r>
        <w:t xml:space="preserve"> </w:t>
      </w:r>
      <w:r>
        <w:t xml:space="preserve">range of possible radiation errors; wind and humidity in particular were applied as</w:t>
      </w:r>
      <w:r>
        <w:t xml:space="preserve"> </w:t>
      </w:r>
      <w:r>
        <w:t xml:space="preserve">single station values across the raster rather than resolved spatially.</w:t>
      </w:r>
    </w:p>
    <w:p>
      <w:pPr>
        <w:pStyle w:val="BodyText"/>
      </w:pPr>
      <w:r>
        <w:t xml:space="preserve">The vegetation geometry also carries a temporal-vintage limitation: the LiDAR canopy</w:t>
      </w:r>
      <w:r>
        <w:t xml:space="preserve"> </w:t>
      </w:r>
      <w:r>
        <w:t xml:space="preserve">is dated for parts of the study area, and the targeted corrections addressed the</w:t>
      </w:r>
      <w:r>
        <w:t xml:space="preserve"> </w:t>
      </w:r>
      <w:r>
        <w:t xml:space="preserve">identified decision-critical cases rather than reconstructing the entire urban</w:t>
      </w:r>
      <w:r>
        <w:t xml:space="preserve"> </w:t>
      </w:r>
      <w:r>
        <w:t xml:space="preserve">canopy, so some residual canopy uncertainty remains outside the two corrected sites.</w:t>
      </w:r>
    </w:p>
    <w:p>
      <w:pPr>
        <w:pStyle w:val="BodyText"/>
      </w:pPr>
      <w:r>
        <w:t xml:space="preserve">The confidence labels must be read accordingly. A ROBUST, BOUNDARY, or UNSTABLE</w:t>
      </w:r>
      <w:r>
        <w:t xml:space="preserve"> </w:t>
      </w:r>
      <w:r>
        <w:t xml:space="preserve">classification expresses robustness to the tested uncertainty space, not total</w:t>
      </w:r>
      <w:r>
        <w:t xml:space="preserve"> </w:t>
      </w:r>
      <w:r>
        <w:t xml:space="preserve">certainty; the per-row demonstrated sensitivity underlying these labels is a lower</w:t>
      </w:r>
      <w:r>
        <w:t xml:space="preserve"> </w:t>
      </w:r>
      <w:r>
        <w:t xml:space="preserve">bound on the true uncertainty, because it reflects only the dimensions that were</w:t>
      </w:r>
      <w:r>
        <w:t xml:space="preserve"> </w:t>
      </w:r>
      <w:r>
        <w:t xml:space="preserve">varied. A ROBUST label means robust against what was tested, not validated.</w:t>
      </w:r>
    </w:p>
    <w:bookmarkEnd w:id="45"/>
    <w:bookmarkStart w:id="46" w:name="tourism-and-accessibility-limitations"/>
    <w:p>
      <w:pPr>
        <w:pStyle w:val="Heading2"/>
      </w:pPr>
      <w:r>
        <w:t xml:space="preserve">5.4 Tourism and accessibility limitations</w:t>
      </w:r>
    </w:p>
    <w:p>
      <w:pPr>
        <w:pStyle w:val="FirstParagraph"/>
      </w:pPr>
      <w:r>
        <w:t xml:space="preserve">Accessibility was represented as straight-line distance converted to walking time.</w:t>
      </w:r>
      <w:r>
        <w:t xml:space="preserve"> </w:t>
      </w:r>
      <w:r>
        <w:t xml:space="preserve">The study used no pedestrian route geometry, modelled no thermal exposure during</w:t>
      </w:r>
      <w:r>
        <w:t xml:space="preserve"> </w:t>
      </w:r>
      <w:r>
        <w:t xml:space="preserve">travel, and included no slope or walking-cost model; straight-line distance is a</w:t>
      </w:r>
      <w:r>
        <w:t xml:space="preserve"> </w:t>
      </w:r>
      <w:r>
        <w:t xml:space="preserve">lower bound on true walking distance and an ordinary-reach constraint only. The</w:t>
      </w:r>
      <w:r>
        <w:t xml:space="preserve"> </w:t>
      </w:r>
      <w:r>
        <w:t xml:space="preserve">screening layer therefore operates on candidate opportunities and does not represent</w:t>
      </w:r>
      <w:r>
        <w:t xml:space="preserve"> </w:t>
      </w:r>
      <w:r>
        <w:t xml:space="preserve">the journey to them.</w:t>
      </w:r>
    </w:p>
    <w:p>
      <w:pPr>
        <w:pStyle w:val="BodyText"/>
      </w:pPr>
      <w:r>
        <w:t xml:space="preserve">The framework is likewise bounded away from behaviour. It used no behavioural</w:t>
      </w:r>
      <w:r>
        <w:t xml:space="preserve"> </w:t>
      </w:r>
      <w:r>
        <w:t xml:space="preserve">response data, observed no visitor substitution, and was not validated against</w:t>
      </w:r>
      <w:r>
        <w:t xml:space="preserve"> </w:t>
      </w:r>
      <w:r>
        <w:t xml:space="preserve">revealed or stated preferences. It screens the set of candidate opportunities under</w:t>
      </w:r>
      <w:r>
        <w:t xml:space="preserve"> </w:t>
      </w:r>
      <w:r>
        <w:t xml:space="preserve">explicit constraints; it does not predict what tourists will choose, whether they</w:t>
      </w:r>
      <w:r>
        <w:t xml:space="preserve"> </w:t>
      </w:r>
      <w:r>
        <w:t xml:space="preserve">will follow a surviving alternative, whether visitor flows would redistribute, or</w:t>
      </w:r>
      <w:r>
        <w:t xml:space="preserve"> </w:t>
      </w:r>
      <w:r>
        <w:t xml:space="preserve">whether exposure or health outcomes would improve. Those quantities are outside the</w:t>
      </w:r>
      <w:r>
        <w:t xml:space="preserve"> </w:t>
      </w:r>
      <w:r>
        <w:t xml:space="preserve">evidence and are not claimed.</w:t>
      </w:r>
    </w:p>
    <w:p>
      <w:pPr>
        <w:pStyle w:val="BodyText"/>
      </w:pPr>
      <w:r>
        <w:t xml:space="preserve">Indoor opportunities require particular caution. Indoor status was handled through a</w:t>
      </w:r>
      <w:r>
        <w:t xml:space="preserve"> </w:t>
      </w:r>
      <w:r>
        <w:t xml:space="preserve">refuge-bypass logic that assumes thermal buffering; indoor air temperature, air</w:t>
      </w:r>
      <w:r>
        <w:t xml:space="preserve"> </w:t>
      </w:r>
      <w:r>
        <w:t xml:space="preserve">conditioning, queue and entrance-waiting exposure, and actual indoor comfort were</w:t>
      </w:r>
      <w:r>
        <w:t xml:space="preserve"> </w:t>
      </w:r>
      <w:r>
        <w:t xml:space="preserve">not observed, and indoor thermal evidence was capped below the highest confidence</w:t>
      </w:r>
      <w:r>
        <w:t xml:space="preserve"> </w:t>
      </w:r>
      <w:r>
        <w:t xml:space="preserve">level by design for this reason. Surviving indoor alternatives should therefore be</w:t>
      </w:r>
      <w:r>
        <w:t xml:space="preserve"> </w:t>
      </w:r>
      <w:r>
        <w:t xml:space="preserve">read as assumed refuges under this logic, not as physically verified cool refuges.</w:t>
      </w:r>
    </w:p>
    <w:bookmarkEnd w:id="46"/>
    <w:bookmarkStart w:id="47" w:name="Xb8930834023aeafaee92ee95a2278aa9f37e554"/>
    <w:p>
      <w:pPr>
        <w:pStyle w:val="Heading2"/>
      </w:pPr>
      <w:r>
        <w:t xml:space="preserve">5.5 Operational-data and retrospective-alignment limitations</w:t>
      </w:r>
    </w:p>
    <w:p>
      <w:pPr>
        <w:pStyle w:val="FirstParagraph"/>
      </w:pPr>
      <w:r>
        <w:t xml:space="preserve">Opening hours were captured and documented at a later date and applied</w:t>
      </w:r>
      <w:r>
        <w:t xml:space="preserve"> </w:t>
      </w:r>
      <w:r>
        <w:t xml:space="preserve">retrospectively to the 2023 study day; where machine-readable tags were absent, hours</w:t>
      </w:r>
      <w:r>
        <w:t xml:space="preserve"> </w:t>
      </w:r>
      <w:r>
        <w:t xml:space="preserve">were filled from documented institutional schedules, each recorded with its source</w:t>
      </w:r>
      <w:r>
        <w:t xml:space="preserve"> </w:t>
      </w:r>
      <w:r>
        <w:t xml:space="preserve">and a completeness flag. This is sufficient for a reproducible screening</w:t>
      </w:r>
      <w:r>
        <w:t xml:space="preserve"> </w:t>
      </w:r>
      <w:r>
        <w:t xml:space="preserve">demonstration but is not proof that every establishment kept the same schedule on 21</w:t>
      </w:r>
      <w:r>
        <w:t xml:space="preserve"> </w:t>
      </w:r>
      <w:r>
        <w:t xml:space="preserve">August 2023 — the real Monday-in-August closures used are cited, but a specific</w:t>
      </w:r>
      <w:r>
        <w:t xml:space="preserve"> </w:t>
      </w:r>
      <w:r>
        <w:t xml:space="preserve">establishment could have deviated — and the contextual open-data layers carry their</w:t>
      </w:r>
      <w:r>
        <w:t xml:space="preserve"> </w:t>
      </w:r>
      <w:r>
        <w:t xml:space="preserve">own vintage and completeness limitations of the same kind. This boundary affects the</w:t>
      </w:r>
      <w:r>
        <w:t xml:space="preserve"> </w:t>
      </w:r>
      <w:r>
        <w:t xml:space="preserve">interpretation of a specific candidate’s availability at a given hour, not the</w:t>
      </w:r>
      <w:r>
        <w:t xml:space="preserve"> </w:t>
      </w:r>
      <w:r>
        <w:t xml:space="preserve">thermal modelling, which is driven by the observed meteorology for the study day.</w:t>
      </w:r>
    </w:p>
    <w:bookmarkEnd w:id="47"/>
    <w:bookmarkStart w:id="48" w:name="scope-conditions-and-transferability"/>
    <w:p>
      <w:pPr>
        <w:pStyle w:val="Heading2"/>
      </w:pPr>
      <w:r>
        <w:t xml:space="preserve">5.6 Scope conditions and transferability</w:t>
      </w:r>
    </w:p>
    <w:p>
      <w:pPr>
        <w:pStyle w:val="FirstParagraph"/>
      </w:pPr>
      <w:r>
        <w:t xml:space="preserve">These boundaries separate what may transfer from what does not. The potentially</w:t>
      </w:r>
      <w:r>
        <w:t xml:space="preserve"> </w:t>
      </w:r>
      <w:r>
        <w:t xml:space="preserve">transferable part is the architecture: constraint-first screening, first-failing-gate</w:t>
      </w:r>
      <w:r>
        <w:t xml:space="preserve"> </w:t>
      </w:r>
      <w:r>
        <w:t xml:space="preserve">explanations, thermal state kept separate from decision confidence, explicit</w:t>
      </w:r>
      <w:r>
        <w:t xml:space="preserve"> </w:t>
      </w:r>
      <w:r>
        <w:t xml:space="preserve">machine-readable exclusion reasons, an explicit no-survivor state, and the direct</w:t>
      </w:r>
      <w:r>
        <w:t xml:space="preserve"> </w:t>
      </w:r>
      <w:r>
        <w:t xml:space="preserve">comparison of alternative thermal representations. Its operational components are</w:t>
      </w:r>
      <w:r>
        <w:t xml:space="preserve"> </w:t>
      </w:r>
      <w:r>
        <w:t xml:space="preserve">setting-specific and do not transfer automatically: the thermal thresholds, the</w:t>
      </w:r>
      <w:r>
        <w:t xml:space="preserve"> </w:t>
      </w:r>
      <w:r>
        <w:t xml:space="preserve">accessibility radius, the opening-hours schedules, the asset set and its</w:t>
      </w:r>
      <w:r>
        <w:t xml:space="preserve"> </w:t>
      </w:r>
      <w:r>
        <w:t xml:space="preserve">tourism-relevance judgements, the local urban geometry, the meteorological forcing,</w:t>
      </w:r>
      <w:r>
        <w:t xml:space="preserve"> </w:t>
      </w:r>
      <w:r>
        <w:t xml:space="preserve">and the local adaptation resources. The architecture is therefore potentially</w:t>
      </w:r>
      <w:r>
        <w:t xml:space="preserve"> </w:t>
      </w:r>
      <w:r>
        <w:t xml:space="preserve">transferable, whereas its operational parameters and empirical performance require</w:t>
      </w:r>
      <w:r>
        <w:t xml:space="preserve"> </w:t>
      </w:r>
      <w:r>
        <w:t xml:space="preserve">local calibration and validation before use in another setting.</w:t>
      </w:r>
    </w:p>
    <w:p>
      <w:pPr>
        <w:pStyle w:val="BodyText"/>
      </w:pPr>
      <w:r>
        <w:t xml:space="preserve">Taken together, these limitations bound the interpretation to a demonstration, on a</w:t>
      </w:r>
      <w:r>
        <w:t xml:space="preserve"> </w:t>
      </w:r>
      <w:r>
        <w:t xml:space="preserve">single well-characterised pilot, that thermal-method choice is decision-relevant for</w:t>
      </w:r>
      <w:r>
        <w:t xml:space="preserve"> </w:t>
      </w:r>
      <w:r>
        <w:t xml:space="preserve">heat-adaptive tourism screening and that a constraint-first architecture can expose</w:t>
      </w:r>
      <w:r>
        <w:t xml:space="preserve"> </w:t>
      </w:r>
      <w:r>
        <w:t xml:space="preserve">that sensitivity, its constraints, and its confidence.</w:t>
      </w:r>
    </w:p>
    <w:bookmarkEnd w:id="48"/>
    <w:bookmarkStart w:id="49" w:name="future-work"/>
    <w:p>
      <w:pPr>
        <w:pStyle w:val="Heading2"/>
      </w:pPr>
      <w:r>
        <w:t xml:space="preserve">5.7 Future work</w:t>
      </w:r>
    </w:p>
    <w:p>
      <w:pPr>
        <w:pStyle w:val="FirstParagraph"/>
      </w:pPr>
      <w:r>
        <w:t xml:space="preserve">The clearest extensions are those that would raise the evidence ceiling rather than</w:t>
      </w:r>
      <w:r>
        <w:t xml:space="preserve"> </w:t>
      </w:r>
      <w:r>
        <w:t xml:space="preserve">add features. Direct field measurement of Tmrt and UTCI would move the physical</w:t>
      </w:r>
      <w:r>
        <w:t xml:space="preserve"> </w:t>
      </w:r>
      <w:r>
        <w:t xml:space="preserve">configuration from plausibility toward accuracy assessment and is the single</w:t>
      </w:r>
      <w:r>
        <w:t xml:space="preserve"> </w:t>
      </w:r>
      <w:r>
        <w:t xml:space="preserve">highest-value next step. Multi-day and seasonal evaluation, and additional city</w:t>
      </w:r>
      <w:r>
        <w:t xml:space="preserve"> </w:t>
      </w:r>
      <w:r>
        <w:t xml:space="preserve">contexts, would test whether the method-sensitivity pattern holds beyond one extreme</w:t>
      </w:r>
      <w:r>
        <w:t xml:space="preserve"> </w:t>
      </w:r>
      <w:r>
        <w:t xml:space="preserve">day and one urban core. Route-level thermal exposure would replace the straight-line</w:t>
      </w:r>
      <w:r>
        <w:t xml:space="preserve"> </w:t>
      </w:r>
      <w:r>
        <w:t xml:space="preserve">reach constraint with a modelled journey; observed tourist behaviour would test</w:t>
      </w:r>
      <w:r>
        <w:t xml:space="preserve"> </w:t>
      </w:r>
      <w:r>
        <w:t xml:space="preserve">whether screening relates to any realised choice; and verified indoor thermal</w:t>
      </w:r>
      <w:r>
        <w:t xml:space="preserve"> </w:t>
      </w:r>
      <w:r>
        <w:t xml:space="preserve">conditions would replace the refuge assumption with measurement. Each targets a</w:t>
      </w:r>
      <w:r>
        <w:t xml:space="preserve"> </w:t>
      </w:r>
      <w:r>
        <w:t xml:space="preserve">specific boundary named above; none is required for the present claim, and none is</w:t>
      </w:r>
      <w:r>
        <w:t xml:space="preserve"> </w:t>
      </w:r>
      <w:r>
        <w:t xml:space="preserve">assumed here.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This study examined whether the choice of thermal representation affects</w:t>
      </w:r>
      <w:r>
        <w:t xml:space="preserve"> </w:t>
      </w:r>
      <w:r>
        <w:t xml:space="preserve">time-specific screening of urban tourism opportunities under extreme heat, and</w:t>
      </w:r>
      <w:r>
        <w:t xml:space="preserve"> </w:t>
      </w:r>
      <w:r>
        <w:t xml:space="preserve">whether a constraint-first architecture changes the set of feasible alternatives a</w:t>
      </w:r>
      <w:r>
        <w:t xml:space="preserve"> </w:t>
      </w:r>
      <w:r>
        <w:t xml:space="preserve">conventional proximity tool would return. On a single documented extreme-heat day in</w:t>
      </w:r>
      <w:r>
        <w:t xml:space="preserve"> </w:t>
      </w:r>
      <w:r>
        <w:t xml:space="preserve">central Madrid, changing the thermal representation from a simple operational proxy</w:t>
      </w:r>
      <w:r>
        <w:t xml:space="preserve"> </w:t>
      </w:r>
      <w:r>
        <w:t xml:space="preserve">to a physically based (SOLWEIG/UTCI) configuration altered one third of outdoor</w:t>
      </w:r>
      <w:r>
        <w:t xml:space="preserve"> </w:t>
      </w:r>
      <w:r>
        <w:t xml:space="preserve">asset-time feasibility classifications, and the change ran in both directions and was</w:t>
      </w:r>
      <w:r>
        <w:t xml:space="preserve"> </w:t>
      </w:r>
      <w:r>
        <w:t xml:space="preserve">concentrated at particular hours rather than spread evenly through the day. Because</w:t>
      </w:r>
      <w:r>
        <w:t xml:space="preserve"> </w:t>
      </w:r>
      <w:r>
        <w:t xml:space="preserve">it moves in both directions, the divergence is a matter of thermal-method</w:t>
      </w:r>
      <w:r>
        <w:t xml:space="preserve"> </w:t>
      </w:r>
      <w:r>
        <w:t xml:space="preserve">sensitivity, not of one representation being validated against the other; neither was</w:t>
      </w:r>
      <w:r>
        <w:t xml:space="preserve"> </w:t>
      </w:r>
      <w:r>
        <w:t xml:space="preserve">field-measured here. Relative to a conventional nearest-open baseline, the</w:t>
      </w:r>
      <w:r>
        <w:t xml:space="preserve"> </w:t>
      </w:r>
      <w:r>
        <w:t xml:space="preserve">constraint-first screening changed the feasible-alternative set in seven of eight</w:t>
      </w:r>
      <w:r>
        <w:t xml:space="preserve"> </w:t>
      </w:r>
      <w:r>
        <w:t xml:space="preserve">decision scenarios.</w:t>
      </w:r>
    </w:p>
    <w:p>
      <w:pPr>
        <w:pStyle w:val="BodyText"/>
      </w:pPr>
      <w:r>
        <w:t xml:space="preserve">The architecture is what makes these differences legible. It keeps the thermal state,</w:t>
      </w:r>
      <w:r>
        <w:t xml:space="preserve"> </w:t>
      </w:r>
      <w:r>
        <w:t xml:space="preserve">the implied decision state, the confidence in that decision, the sufficiency of the</w:t>
      </w:r>
      <w:r>
        <w:t xml:space="preserve"> </w:t>
      </w:r>
      <w:r>
        <w:t xml:space="preserve">underlying evidence, and the reason for each exclusion as separate fields rather than</w:t>
      </w:r>
      <w:r>
        <w:t xml:space="preserve"> </w:t>
      </w:r>
      <w:r>
        <w:t xml:space="preserve">folding them into a single composite suitability score. Because each candidate is</w:t>
      </w:r>
      <w:r>
        <w:t xml:space="preserve"> </w:t>
      </w:r>
      <w:r>
        <w:t xml:space="preserve">eliminated by the first constraint it fails, every exclusion carries a single</w:t>
      </w:r>
      <w:r>
        <w:t xml:space="preserve"> </w:t>
      </w:r>
      <w:r>
        <w:t xml:space="preserve">traceable reason, and the architecture preserves an explicit no-defensible-alternative</w:t>
      </w:r>
      <w:r>
        <w:t xml:space="preserve"> </w:t>
      </w:r>
      <w:r>
        <w:t xml:space="preserve">state for cases in which no accessible option satisfies the constraints rather than</w:t>
      </w:r>
      <w:r>
        <w:t xml:space="preserve"> </w:t>
      </w:r>
      <w:r>
        <w:t xml:space="preserve">returning a weak option by default. This screening step sits upstream of route or reachability calculations:</w:t>
      </w:r>
      <w:r>
        <w:t xml:space="preserve"> </w:t>
      </w:r>
      <w:r>
        <w:t xml:space="preserve">it produces and filters the candidate set that downstream heat-aware routing and</w:t>
      </w:r>
      <w:r>
        <w:t xml:space="preserve"> </w:t>
      </w:r>
      <w:r>
        <w:t xml:space="preserve">accessibility methods presuppose, and it complements rather than replaces them.</w:t>
      </w:r>
    </w:p>
    <w:p>
      <w:pPr>
        <w:pStyle w:val="BodyText"/>
      </w:pPr>
      <w:r>
        <w:t xml:space="preserve">Within these bounds, the implication for building heat-adaptive tourism</w:t>
      </w:r>
      <w:r>
        <w:t xml:space="preserve"> </w:t>
      </w:r>
      <w:r>
        <w:t xml:space="preserve">decision-support is that thermal representation should be treated as a substantive</w:t>
      </w:r>
      <w:r>
        <w:t xml:space="preserve"> </w:t>
      </w:r>
      <w:r>
        <w:t xml:space="preserve">modelling choice rather than a technical preprocessing detail. That implication is</w:t>
      </w:r>
      <w:r>
        <w:t xml:space="preserve"> </w:t>
      </w:r>
      <w:r>
        <w:t xml:space="preserve">drawn from a single Madrid pilot, without field validation of the modelled Tmrt or</w:t>
      </w:r>
      <w:r>
        <w:t xml:space="preserve"> </w:t>
      </w:r>
      <w:r>
        <w:t xml:space="preserve">UTCI and without any observation of tourist behaviour, and it is bounded accordingly:</w:t>
      </w:r>
      <w:r>
        <w:t xml:space="preserve"> </w:t>
      </w:r>
      <w:r>
        <w:t xml:space="preserve">the reported rates are properties of this case, not general performance. Multi-day and</w:t>
      </w:r>
      <w:r>
        <w:t xml:space="preserve"> </w:t>
      </w:r>
      <w:r>
        <w:t xml:space="preserve">multi-site evaluation, direct thermal measurement, and observed visitor behaviour</w:t>
      </w:r>
      <w:r>
        <w:t xml:space="preserve"> </w:t>
      </w:r>
      <w:r>
        <w:t xml:space="preserve">would be needed to test how far the pattern and the architecture transfer and whether</w:t>
      </w:r>
      <w:r>
        <w:t xml:space="preserve"> </w:t>
      </w:r>
      <w:r>
        <w:t xml:space="preserve">they relate to any realised outcome. For destination management, the practical point</w:t>
      </w:r>
      <w:r>
        <w:t xml:space="preserve"> </w:t>
      </w:r>
      <w:r>
        <w:t xml:space="preserve">is not that one thermal representation is universally preferable, but that the</w:t>
      </w:r>
      <w:r>
        <w:t xml:space="preserve"> </w:t>
      </w:r>
      <w:r>
        <w:t xml:space="preserve">representation chosen can materially shape which tourism opportunities remain feasible</w:t>
      </w:r>
      <w:r>
        <w:t xml:space="preserve"> </w:t>
      </w:r>
      <w:r>
        <w:t xml:space="preserve">under heat, and should therefore be made explicit, testable, and uncertainty-aware.</w:t>
      </w:r>
    </w:p>
    <w:p>
      <w:r>
        <w:pict>
          <v:rect style="width:0;height:1.5pt" o:hralign="center" o:hrstd="t" o:hr="t"/>
        </w:pict>
      </w:r>
    </w:p>
    <w:bookmarkEnd w:id="51"/>
    <w:bookmarkStart w:id="52" w:name="declarations"/>
    <w:p>
      <w:pPr>
        <w:pStyle w:val="Heading1"/>
      </w:pPr>
      <w:r>
        <w:t xml:space="preserve">Declarations</w:t>
      </w:r>
    </w:p>
    <w:p>
      <w:pPr>
        <w:pStyle w:val="FirstParagraph"/>
      </w:pPr>
      <w:r>
        <w:rPr>
          <w:bCs/>
          <w:b/>
        </w:rPr>
        <w:t xml:space="preserve">Funding.</w:t>
      </w:r>
      <w:r>
        <w:t xml:space="preserve"> </w:t>
      </w:r>
      <w:r>
        <w:t xml:space="preserve">[FUNDING STATEMENT TO VERIFY — list any grant/support, or state</w:t>
      </w:r>
      <w:r>
        <w:t xml:space="preserve"> </w:t>
      </w:r>
      <w:r>
        <w:t xml:space="preserve">“</w:t>
      </w:r>
      <w:r>
        <w:t xml:space="preserve">This</w:t>
      </w:r>
      <w:r>
        <w:t xml:space="preserve"> </w:t>
      </w:r>
      <w:r>
        <w:t xml:space="preserve">research received no specific grant from any funding agency in the public, commercial,</w:t>
      </w:r>
      <w:r>
        <w:t xml:space="preserve"> </w:t>
      </w:r>
      <w:r>
        <w:t xml:space="preserve">or not-for-profit sectors.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Declaration of competing interest.</w:t>
      </w:r>
      <w:r>
        <w:t xml:space="preserve"> </w:t>
      </w:r>
      <w:r>
        <w:t xml:space="preserve">[COMPETING-INTEREST STATEMENT TO VERIFY — e.g.</w:t>
      </w:r>
      <w:r>
        <w:t xml:space="preserve"> </w:t>
      </w:r>
      <w:r>
        <w:t xml:space="preserve">“</w:t>
      </w:r>
      <w:r>
        <w:t xml:space="preserve">The authors declare that they have no known competing financial interests or personal</w:t>
      </w:r>
      <w:r>
        <w:t xml:space="preserve"> </w:t>
      </w:r>
      <w:r>
        <w:t xml:space="preserve">relationships that could have appeared to influence the work reported in this paper.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Data availability.</w:t>
      </w:r>
      <w:r>
        <w:t xml:space="preserve"> </w:t>
      </w:r>
      <w:r>
        <w:t xml:space="preserve">This study uses only open data: meteorological observations from</w:t>
      </w:r>
      <w:r>
        <w:t xml:space="preserve"> </w:t>
      </w:r>
      <w:r>
        <w:t xml:space="preserve">AEMET (Madrid/Barajas station); three-dimensional urban geometry from Spanish national</w:t>
      </w:r>
      <w:r>
        <w:t xml:space="preserve"> </w:t>
      </w:r>
      <w:r>
        <w:t xml:space="preserve">LiDAR products (IGN/CNIG); and tourism assets, tree points, park/garden polygons, and</w:t>
      </w:r>
      <w:r>
        <w:t xml:space="preserve"> </w:t>
      </w:r>
      <w:r>
        <w:t xml:space="preserve">opening-hours tags from OpenStreetMap (ODbL). The derived analytical tables and figures</w:t>
      </w:r>
      <w:r>
        <w:t xml:space="preserve"> </w:t>
      </w:r>
      <w:r>
        <w:t xml:space="preserve">reported here are produced by the project pipeline from these locked inputs. [PUBLIC</w:t>
      </w:r>
      <w:r>
        <w:t xml:space="preserve"> </w:t>
      </w:r>
      <w:r>
        <w:t xml:space="preserve">REPOSITORY / DOI FOR DERIVED OUTPUTS TO VERIFY — a persistent public archive URL/DOI has</w:t>
      </w:r>
      <w:r>
        <w:t xml:space="preserve"> </w:t>
      </w:r>
      <w:r>
        <w:t xml:space="preserve">not yet been established; until then, availability is</w:t>
      </w:r>
      <w:r>
        <w:t xml:space="preserve"> </w:t>
      </w:r>
      <w:r>
        <w:t xml:space="preserve">“</w:t>
      </w:r>
      <w:r>
        <w:t xml:space="preserve">on reasonable request.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Code availability.</w:t>
      </w:r>
      <w:r>
        <w:t xml:space="preserve"> </w:t>
      </w:r>
      <w:r>
        <w:t xml:space="preserve">The screening pipeline and figure-rendering scripts are held in</w:t>
      </w:r>
      <w:r>
        <w:t xml:space="preserve"> </w:t>
      </w:r>
      <w:r>
        <w:t xml:space="preserve">the project repository. [PUBLIC CODE REPOSITORY URL / LICENCE / RELEASE DOI TO VERIFY.]</w:t>
      </w:r>
    </w:p>
    <w:p>
      <w:pPr>
        <w:pStyle w:val="BodyText"/>
      </w:pPr>
      <w:r>
        <w:rPr>
          <w:bCs/>
          <w:b/>
        </w:rPr>
        <w:t xml:space="preserve">Author contributions (CRediT).</w:t>
      </w:r>
      <w:r>
        <w:t xml:space="preserve"> </w:t>
      </w:r>
      <w:r>
        <w:t xml:space="preserve">[CREDIT ROLES TO VERIFY per author — e.g.</w:t>
      </w:r>
      <w:r>
        <w:t xml:space="preserve"> </w:t>
      </w:r>
      <w:r>
        <w:t xml:space="preserve">Conceptualization; Methodology; Software; Formal analysis; Data curation; Writing –</w:t>
      </w:r>
      <w:r>
        <w:t xml:space="preserve"> </w:t>
      </w:r>
      <w:r>
        <w:t xml:space="preserve">original draft; Writing – review &amp; editing; Visualization.]</w:t>
      </w:r>
    </w:p>
    <w:p>
      <w:pPr>
        <w:pStyle w:val="BodyText"/>
      </w:pPr>
      <w:r>
        <w:rPr>
          <w:bCs/>
          <w:b/>
        </w:rPr>
        <w:t xml:space="preserve">Acknowledgements.</w:t>
      </w:r>
      <w:r>
        <w:t xml:space="preserve"> </w:t>
      </w:r>
      <w:r>
        <w:t xml:space="preserve">[ACKNOWLEDGEMENTS TO VERIFY, or</w:t>
      </w:r>
      <w:r>
        <w:t xml:space="preserve"> </w:t>
      </w:r>
      <w:r>
        <w:t xml:space="preserve">“</w:t>
      </w:r>
      <w:r>
        <w:t xml:space="preserve">Not applicable.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Ethics.</w:t>
      </w:r>
      <w:r>
        <w:t xml:space="preserve"> </w:t>
      </w:r>
      <w:r>
        <w:t xml:space="preserve">This study involved no human participants, no personal data, and no</w:t>
      </w:r>
      <w:r>
        <w:t xml:space="preserve"> </w:t>
      </w:r>
      <w:r>
        <w:t xml:space="preserve">human-subject research; it analyses open environmental and open geographic data only. No</w:t>
      </w:r>
      <w:r>
        <w:t xml:space="preserve"> </w:t>
      </w:r>
      <w:r>
        <w:t xml:space="preserve">ethics approval was therefore required. [CONFIRM against the target journal’s policy.]</w:t>
      </w:r>
    </w:p>
    <w:p>
      <w:pPr>
        <w:pStyle w:val="BodyText"/>
      </w:pPr>
      <w:r>
        <w:rPr>
          <w:bCs/>
          <w:b/>
        </w:rPr>
        <w:t xml:space="preserve">Generative-AI disclosure.</w:t>
      </w:r>
      <w:r>
        <w:t xml:space="preserve"> </w:t>
      </w:r>
      <w:r>
        <w:t xml:space="preserve">[PUBLISHER-POLICY PLACEHOLDER — the target publisher</w:t>
      </w:r>
      <w:r>
        <w:t xml:space="preserve"> </w:t>
      </w:r>
      <w:r>
        <w:t xml:space="preserve">requires authors to disclose any use of generative-AI tools in preparing the manuscript.</w:t>
      </w:r>
      <w:r>
        <w:t xml:space="preserve"> </w:t>
      </w:r>
      <w:r>
        <w:t xml:space="preserve">The authors’ actual tool-use disclosure is to be inserted here verbatim once decided; it</w:t>
      </w:r>
      <w:r>
        <w:t xml:space="preserve"> </w:t>
      </w:r>
      <w:r>
        <w:t xml:space="preserve">is not drafted on the authors’ behalf.]</w:t>
      </w:r>
    </w:p>
    <w:p>
      <w:r>
        <w:pict>
          <v:rect style="width:0;height:1.5pt" o:hralign="center" o:hrstd="t" o:hr="t"/>
        </w:pict>
      </w:r>
    </w:p>
    <w:bookmarkEnd w:id="52"/>
    <w:bookmarkStart w:id="53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iCs/>
          <w:i/>
        </w:rPr>
        <w:t xml:space="preserve">Verified author–year list (23 references). All metadata confirmed from authoritative sources;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docs/PHASE5_4B1_REFERENCE_VERIFICATION.csv</w:t>
      </w:r>
      <w:r>
        <w:rPr>
          <w:iCs/>
          <w:i/>
        </w:rPr>
        <w:t xml:space="preserve">.</w:t>
      </w:r>
    </w:p>
    <w:p>
      <w:pPr>
        <w:numPr>
          <w:ilvl w:val="0"/>
          <w:numId w:val="1002"/>
        </w:numPr>
      </w:pPr>
      <w:r>
        <w:t xml:space="preserve">Aydin, E. E., Chen, Z., Ortner, F. P., Tay, J. Z., Li, K., &amp; Chua, R. (2026). Universal Thermal Climate Index (UTCI)-adjusted pedestrian accessibility: Urban design exploration for climate-resilience in tropical climates.</w:t>
      </w:r>
      <w:r>
        <w:t xml:space="preserve"> </w:t>
      </w:r>
      <w:r>
        <w:rPr>
          <w:iCs/>
          <w:i/>
        </w:rPr>
        <w:t xml:space="preserve">Sustainable Cities and Society</w:t>
      </w:r>
      <w:r>
        <w:t xml:space="preserve">, 143, 107335. https://doi.org/10.1016/j.scs.2026.107335</w:t>
      </w:r>
    </w:p>
    <w:p>
      <w:pPr>
        <w:numPr>
          <w:ilvl w:val="0"/>
          <w:numId w:val="1002"/>
        </w:numPr>
      </w:pPr>
      <w:r>
        <w:t xml:space="preserve">Bröde, P., Fiala, D., Błażejczyk, K., Holmér, I., Jendritzky, G., Kampmann, B., Tinz, B., &amp; Havenith, G. (2012). Deriving the operational procedure for the Universal Thermal Climate Index (UTCI).</w:t>
      </w:r>
      <w:r>
        <w:t xml:space="preserve"> </w:t>
      </w:r>
      <w:r>
        <w:rPr>
          <w:iCs/>
          <w:i/>
        </w:rPr>
        <w:t xml:space="preserve">International Journal of Biometeorology</w:t>
      </w:r>
      <w:r>
        <w:t xml:space="preserve">, 56(3), 481-494. https://doi.org/10.1007/s00484-011-0454-1</w:t>
      </w:r>
    </w:p>
    <w:p>
      <w:pPr>
        <w:numPr>
          <w:ilvl w:val="0"/>
          <w:numId w:val="1002"/>
        </w:numPr>
      </w:pPr>
      <w:r>
        <w:t xml:space="preserve">Bunruamkaew, K., &amp; Murayama, Y. (2011). Site suitability evaluation for ecotourism using GIS &amp; AHP: A case study of Surat Thani Province, Thailand.</w:t>
      </w:r>
      <w:r>
        <w:t xml:space="preserve"> </w:t>
      </w:r>
      <w:r>
        <w:rPr>
          <w:iCs/>
          <w:i/>
        </w:rPr>
        <w:t xml:space="preserve">Procedia - Social and Behavioral Sciences</w:t>
      </w:r>
      <w:r>
        <w:t xml:space="preserve">, 21, 269-278. https://doi.org/10.1016/j.sbspro.2011.07.024</w:t>
      </w:r>
    </w:p>
    <w:p>
      <w:pPr>
        <w:numPr>
          <w:ilvl w:val="0"/>
          <w:numId w:val="1002"/>
        </w:numPr>
      </w:pPr>
      <w:r>
        <w:t xml:space="preserve">Buo, I., Khan, W. H., Crabtree, E., Emmott, F., Hariyani, D., &amp; Middel, A. (2026). Cool routes: Real-time human thermal exposure routing.</w:t>
      </w:r>
      <w:r>
        <w:t xml:space="preserve"> </w:t>
      </w:r>
      <w:r>
        <w:rPr>
          <w:iCs/>
          <w:i/>
        </w:rPr>
        <w:t xml:space="preserve">Building and Environment</w:t>
      </w:r>
      <w:r>
        <w:t xml:space="preserve">, 298, 114622. https://doi.org/10.1016/j.buildenv.2026.114622</w:t>
      </w:r>
    </w:p>
    <w:p>
      <w:pPr>
        <w:numPr>
          <w:ilvl w:val="0"/>
          <w:numId w:val="1002"/>
        </w:numPr>
      </w:pPr>
      <w:r>
        <w:t xml:space="preserve">Camatti, N., Hrast Essenfelder, A., &amp; Giove, S. (2024). Mapping the exposure of tourism to weather extremes: the need for a spatially-explicit gridded dataset for disaster risk reduction.</w:t>
      </w:r>
      <w:r>
        <w:t xml:space="preserve"> </w:t>
      </w:r>
      <w:r>
        <w:rPr>
          <w:iCs/>
          <w:i/>
        </w:rPr>
        <w:t xml:space="preserve">Environmental Research Letters</w:t>
      </w:r>
      <w:r>
        <w:t xml:space="preserve">, 19(6), 064008. https://doi.org/10.1088/1748-9326/ad3e91</w:t>
      </w:r>
    </w:p>
    <w:p>
      <w:pPr>
        <w:numPr>
          <w:ilvl w:val="0"/>
          <w:numId w:val="1002"/>
        </w:numPr>
      </w:pPr>
      <w:r>
        <w:t xml:space="preserve">Colaninno, N., Basu, R., Hosseini, M., Alhassan, A., Liu, L., &amp; Sevtsuk, A. (2025). A sidewalk-level urban heat risk assessment framework using pedestrian mobility and urban microclimate modeling.</w:t>
      </w:r>
      <w:r>
        <w:t xml:space="preserve"> </w:t>
      </w:r>
      <w:r>
        <w:rPr>
          <w:iCs/>
          <w:i/>
        </w:rPr>
        <w:t xml:space="preserve">Environment and Planning B: Urban Analytics and City Science</w:t>
      </w:r>
      <w:r>
        <w:t xml:space="preserve">, 52(5), 1071-1090. https://doi.org/10.1177/23998083241280746</w:t>
      </w:r>
    </w:p>
    <w:p>
      <w:pPr>
        <w:numPr>
          <w:ilvl w:val="0"/>
          <w:numId w:val="1002"/>
        </w:numPr>
      </w:pPr>
      <w:r>
        <w:t xml:space="preserve">Ding, X., Zhao, Y., Strebel, D., Fan, Y., Ge, J., &amp; Carmeliet, J. (2024). A WRF-UCM-SOLWEIG framework for mapping thermal comfort and quantifying urban climate drivers: Advancing spatial and temporal resolutions at city scale.</w:t>
      </w:r>
      <w:r>
        <w:t xml:space="preserve"> </w:t>
      </w:r>
      <w:r>
        <w:rPr>
          <w:iCs/>
          <w:i/>
        </w:rPr>
        <w:t xml:space="preserve">Sustainable Cities and Society</w:t>
      </w:r>
      <w:r>
        <w:t xml:space="preserve">, 112, 105628. https://doi.org/10.1016/j.scs.2024.105628</w:t>
      </w:r>
    </w:p>
    <w:p>
      <w:pPr>
        <w:numPr>
          <w:ilvl w:val="0"/>
          <w:numId w:val="1002"/>
        </w:numPr>
      </w:pPr>
      <w:r>
        <w:t xml:space="preserve">Dubois, G., Ceron, J. P., Dubois, C., Frías, M. D., &amp; Herrera, S. (2016). Reliability and usability of tourism climate indices.</w:t>
      </w:r>
      <w:r>
        <w:t xml:space="preserve"> </w:t>
      </w:r>
      <w:r>
        <w:rPr>
          <w:iCs/>
          <w:i/>
        </w:rPr>
        <w:t xml:space="preserve">Earth Perspectives</w:t>
      </w:r>
      <w:r>
        <w:t xml:space="preserve">, 3(1), 2. https://doi.org/10.1186/s40322-016-0034-y</w:t>
      </w:r>
    </w:p>
    <w:p>
      <w:pPr>
        <w:numPr>
          <w:ilvl w:val="0"/>
          <w:numId w:val="1002"/>
        </w:numPr>
      </w:pPr>
      <w:r>
        <w:t xml:space="preserve">Gössling, S., &amp; Scott, D. (2025). Tourist demand and destination development under climate change: complexities and perspectives.</w:t>
      </w:r>
      <w:r>
        <w:t xml:space="preserve"> </w:t>
      </w:r>
      <w:r>
        <w:rPr>
          <w:iCs/>
          <w:i/>
        </w:rPr>
        <w:t xml:space="preserve">Journal of Sustainable Tourism</w:t>
      </w:r>
      <w:r>
        <w:t xml:space="preserve">, 34(5), 1193-1223. https://doi.org/10.1080/09669582.2025.2543953</w:t>
      </w:r>
    </w:p>
    <w:p>
      <w:pPr>
        <w:numPr>
          <w:ilvl w:val="0"/>
          <w:numId w:val="1002"/>
        </w:numPr>
      </w:pPr>
      <w:r>
        <w:t xml:space="preserve">Gál, C. V., &amp; Kántor, N. (2019). Modeling mean radiant temperature in outdoor spaces, A comparative numerical simulation and validation study.</w:t>
      </w:r>
      <w:r>
        <w:t xml:space="preserve"> </w:t>
      </w:r>
      <w:r>
        <w:rPr>
          <w:iCs/>
          <w:i/>
        </w:rPr>
        <w:t xml:space="preserve">Urban Climate</w:t>
      </w:r>
      <w:r>
        <w:t xml:space="preserve">, 32, 100571. https://doi.org/10.1016/j.uclim.2019.100571</w:t>
      </w:r>
    </w:p>
    <w:p>
      <w:pPr>
        <w:numPr>
          <w:ilvl w:val="0"/>
          <w:numId w:val="1002"/>
        </w:numPr>
      </w:pPr>
      <w:r>
        <w:t xml:space="preserve">Huck, J. J., Denwood, T., &amp; Taylor, J. E. (2025). Decision making under uncertainty: increasing the impact of public Participatory GIS.</w:t>
      </w:r>
      <w:r>
        <w:t xml:space="preserve"> </w:t>
      </w:r>
      <w:r>
        <w:rPr>
          <w:iCs/>
          <w:i/>
        </w:rPr>
        <w:t xml:space="preserve">International Journal of Geographical Information Science</w:t>
      </w:r>
      <w:r>
        <w:t xml:space="preserve">, 40(1), 237-257. https://doi.org/10.1080/13658816.2025.2518556</w:t>
      </w:r>
    </w:p>
    <w:p>
      <w:pPr>
        <w:numPr>
          <w:ilvl w:val="0"/>
          <w:numId w:val="1002"/>
        </w:numPr>
      </w:pPr>
      <w:r>
        <w:t xml:space="preserve">Karimi, A., &amp; Mohammad, P. (2022). Effect of outdoor thermal comfort condition on visit of tourists in historical urban plazas of Sevilla and Madrid.</w:t>
      </w:r>
      <w:r>
        <w:t xml:space="preserve"> </w:t>
      </w:r>
      <w:r>
        <w:rPr>
          <w:iCs/>
          <w:i/>
        </w:rPr>
        <w:t xml:space="preserve">Environmental Science and Pollution Research</w:t>
      </w:r>
      <w:r>
        <w:t xml:space="preserve">, 29(40), 60641-60661. https://doi.org/10.1007/s11356-022-20058-8</w:t>
      </w:r>
    </w:p>
    <w:p>
      <w:pPr>
        <w:numPr>
          <w:ilvl w:val="0"/>
          <w:numId w:val="1002"/>
        </w:numPr>
      </w:pPr>
      <w:r>
        <w:t xml:space="preserve">Ketter, E., &amp; Farkash, D. (2026). Tourism in a warming climate: tourist experiences and adaptive responses to rising temperatures in Southern Europe destinations.</w:t>
      </w:r>
      <w:r>
        <w:t xml:space="preserve"> </w:t>
      </w:r>
      <w:r>
        <w:rPr>
          <w:iCs/>
          <w:i/>
        </w:rPr>
        <w:t xml:space="preserve">Sustainability</w:t>
      </w:r>
      <w:r>
        <w:t xml:space="preserve">, 18(7), 3454. https://doi.org/10.3390/su18073454</w:t>
      </w:r>
    </w:p>
    <w:p>
      <w:pPr>
        <w:numPr>
          <w:ilvl w:val="0"/>
          <w:numId w:val="1002"/>
        </w:numPr>
      </w:pPr>
      <w:r>
        <w:t xml:space="preserve">Kovács, A., Molnár, G., &amp; Megyeri-Korotaj, O. A. (2025). Projected climate suitability for Hungarian tourism in the 21st century: application of the Holiday Climate Index and modified Tourism Climate Index.</w:t>
      </w:r>
      <w:r>
        <w:t xml:space="preserve"> </w:t>
      </w:r>
      <w:r>
        <w:rPr>
          <w:iCs/>
          <w:i/>
        </w:rPr>
        <w:t xml:space="preserve">International Journal of Biometeorology</w:t>
      </w:r>
      <w:r>
        <w:t xml:space="preserve">, 69(6), 1429-1442. https://doi.org/10.1007/s00484-025-02901-y</w:t>
      </w:r>
    </w:p>
    <w:p>
      <w:pPr>
        <w:numPr>
          <w:ilvl w:val="0"/>
          <w:numId w:val="1002"/>
        </w:numPr>
      </w:pPr>
      <w:r>
        <w:t xml:space="preserve">Lindberg, F., Holmer, B., &amp; Thorsson, S. (2008). SOLWEIG 1.0 – Modelling spatial variations of 3D radiant fluxes and mean radiant temperature in complex urban settings.</w:t>
      </w:r>
      <w:r>
        <w:t xml:space="preserve"> </w:t>
      </w:r>
      <w:r>
        <w:rPr>
          <w:iCs/>
          <w:i/>
        </w:rPr>
        <w:t xml:space="preserve">International Journal of Biometeorology</w:t>
      </w:r>
      <w:r>
        <w:t xml:space="preserve">, 52(7), 697-713. https://doi.org/10.1007/s00484-008-0162-7</w:t>
      </w:r>
    </w:p>
    <w:p>
      <w:pPr>
        <w:numPr>
          <w:ilvl w:val="0"/>
          <w:numId w:val="1002"/>
        </w:numPr>
      </w:pPr>
      <w:r>
        <w:t xml:space="preserve">Mombelli, S., González March, R., Cucchietti, F., Marquet, O., &amp; Reyes, P. (2025). Are Barcelona’s climate shelters accessible to vulnerable residents? A mobility justice analysis.</w:t>
      </w:r>
      <w:r>
        <w:t xml:space="preserve"> </w:t>
      </w:r>
      <w:r>
        <w:rPr>
          <w:iCs/>
          <w:i/>
        </w:rPr>
        <w:t xml:space="preserve">Cities</w:t>
      </w:r>
      <w:r>
        <w:t xml:space="preserve">, 168, 106487. https://doi.org/10.1016/j.cities.2025.106487</w:t>
      </w:r>
    </w:p>
    <w:p>
      <w:pPr>
        <w:numPr>
          <w:ilvl w:val="0"/>
          <w:numId w:val="1002"/>
        </w:numPr>
      </w:pPr>
      <w:r>
        <w:t xml:space="preserve">OECD (2026).</w:t>
      </w:r>
      <w:r>
        <w:t xml:space="preserve"> </w:t>
      </w:r>
      <w:r>
        <w:rPr>
          <w:iCs/>
          <w:i/>
        </w:rPr>
        <w:t xml:space="preserve">OECD Tourism Trends and Policies 2026</w:t>
      </w:r>
      <w:r>
        <w:t xml:space="preserve">. OECD Publishing, Paris. https://doi.org/10.1787/3fd3cd75-en</w:t>
      </w:r>
    </w:p>
    <w:p>
      <w:pPr>
        <w:numPr>
          <w:ilvl w:val="0"/>
          <w:numId w:val="1002"/>
        </w:numPr>
      </w:pPr>
      <w:r>
        <w:t xml:space="preserve">Renninger, A., &amp; Cabrera, C. (2026). Extreme heat reduces and reshapes urban mobility.</w:t>
      </w:r>
      <w:r>
        <w:t xml:space="preserve"> </w:t>
      </w:r>
      <w:r>
        <w:rPr>
          <w:iCs/>
          <w:i/>
        </w:rPr>
        <w:t xml:space="preserve">PNAS Nexus</w:t>
      </w:r>
      <w:r>
        <w:t xml:space="preserve">, 5(4), pgag078. https://doi.org/10.1093/pnasnexus/pgag078</w:t>
      </w:r>
    </w:p>
    <w:p>
      <w:pPr>
        <w:numPr>
          <w:ilvl w:val="0"/>
          <w:numId w:val="1002"/>
        </w:numPr>
      </w:pPr>
      <w:r>
        <w:t xml:space="preserve">Sargazi, M. A., Heidari, A., Davtalab, J., &amp; Piri, J. (2025). Comparative reliability assessment of PET and UTCI thermal comfort indices using Monte Carlo simulation in urban microclimates.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, 16, 3431. https://doi.org/10.1038/s41598-025-33440-6</w:t>
      </w:r>
    </w:p>
    <w:p>
      <w:pPr>
        <w:numPr>
          <w:ilvl w:val="0"/>
          <w:numId w:val="1002"/>
        </w:numPr>
      </w:pPr>
      <w:r>
        <w:t xml:space="preserve">Scott, D. (2026). A framework for heat risk action planning for tourism.</w:t>
      </w:r>
      <w:r>
        <w:t xml:space="preserve"> </w:t>
      </w:r>
      <w:r>
        <w:rPr>
          <w:iCs/>
          <w:i/>
        </w:rPr>
        <w:t xml:space="preserve">Annals of Tourism Research</w:t>
      </w:r>
      <w:r>
        <w:t xml:space="preserve">, 118, 104141. https://doi.org/10.1016/j.annals.2026.104141</w:t>
      </w:r>
    </w:p>
    <w:p>
      <w:pPr>
        <w:numPr>
          <w:ilvl w:val="0"/>
          <w:numId w:val="1002"/>
        </w:numPr>
      </w:pPr>
      <w:r>
        <w:t xml:space="preserve">Scott, D., Rutty, M., Amelung, B., &amp; Tang, M. (2016). An inter-comparison of the Holiday Climate Index (HCI) and the Tourism Climate Index (TCI) in Europe.</w:t>
      </w:r>
      <w:r>
        <w:t xml:space="preserve"> </w:t>
      </w:r>
      <w:r>
        <w:rPr>
          <w:iCs/>
          <w:i/>
        </w:rPr>
        <w:t xml:space="preserve">Atmosphere</w:t>
      </w:r>
      <w:r>
        <w:t xml:space="preserve">, 7(6), 80. https://doi.org/10.3390/atmos7060080</w:t>
      </w:r>
    </w:p>
    <w:p>
      <w:pPr>
        <w:numPr>
          <w:ilvl w:val="0"/>
          <w:numId w:val="1002"/>
        </w:numPr>
      </w:pPr>
      <w:r>
        <w:t xml:space="preserve">Wang, Y., Yi, S., Li, X., Liu, P., Yang, Z., Bardhan, R., &amp; Stouffs, R. (2026). From physical surfaces to human-centric heat stress: LST and UTCI heat mapping reveals nonlinear effects of urban morphology.</w:t>
      </w:r>
      <w:r>
        <w:t xml:space="preserve"> </w:t>
      </w:r>
      <w:r>
        <w:rPr>
          <w:iCs/>
          <w:i/>
        </w:rPr>
        <w:t xml:space="preserve">arXiv preprint</w:t>
      </w:r>
      <w:r>
        <w:t xml:space="preserve"> </w:t>
      </w:r>
      <w:r>
        <w:t xml:space="preserve">arXiv:2604.22433. https://arxiv.org/abs/2604.22433</w:t>
      </w:r>
    </w:p>
    <w:p>
      <w:pPr>
        <w:numPr>
          <w:ilvl w:val="0"/>
          <w:numId w:val="1002"/>
        </w:numPr>
      </w:pPr>
      <w:r>
        <w:t xml:space="preserve">Wolf, H., Vierø, A. R., &amp; Szell, M. (2025). CoolWalks for active mobility in urban street networks.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, 15, 14911. https://doi.org/10.1038/s41598-025-97200-2</w:t>
      </w:r>
    </w:p>
    <w:bookmarkEnd w:id="53"/>
    <w:bookmarkStart w:id="54" w:name="figure-captions"/>
    <w:p>
      <w:pPr>
        <w:pStyle w:val="Heading1"/>
      </w:pPr>
      <w:r>
        <w:t xml:space="preserve">Figure captions</w:t>
      </w:r>
    </w:p>
    <w:p>
      <w:pPr>
        <w:pStyle w:val="FirstParagraph"/>
      </w:pPr>
      <w:r>
        <w:rPr>
          <w:bCs/>
          <w:b/>
        </w:rPr>
        <w:t xml:space="preserve">Figure 1. Study design and constraint-first screening architecture.</w:t>
      </w:r>
      <w:r>
        <w:t xml:space="preserve"> </w:t>
      </w:r>
      <w:r>
        <w:t xml:space="preserve">(a) The</w:t>
      </w:r>
      <w:r>
        <w:t xml:space="preserve"> </w:t>
      </w:r>
      <w:r>
        <w:t xml:space="preserve">Prado–Retiro–Atocha Madrid pilot study area (approximately 3.5 km² in central Madrid),</w:t>
      </w:r>
      <w:r>
        <w:t xml:space="preserve"> </w:t>
      </w:r>
      <w:r>
        <w:t xml:space="preserve">with the 27 curated tourism assets marked as outdoor (n = 14) or indoor (n = 13); the</w:t>
      </w:r>
      <w:r>
        <w:t xml:space="preserve"> </w:t>
      </w:r>
      <w:r>
        <w:t xml:space="preserve">extent is a bounded pilot and does not represent city-wide Madrid. (b) The analytical</w:t>
      </w:r>
      <w:r>
        <w:t xml:space="preserve"> </w:t>
      </w:r>
      <w:r>
        <w:t xml:space="preserve">architecture: 27 tourism assets are screened with two alternative thermal</w:t>
      </w:r>
      <w:r>
        <w:t xml:space="preserve"> </w:t>
      </w:r>
      <w:r>
        <w:t xml:space="preserve">representations — a simple operational proxy (ambient air-temperature hazard band +</w:t>
      </w:r>
      <w:r>
        <w:t xml:space="preserve"> </w:t>
      </w:r>
      <w:r>
        <w:t xml:space="preserve">nearby tree presence) and a physically based model (SOLWEIG → Tmrt → UTCI) — through one</w:t>
      </w:r>
      <w:r>
        <w:t xml:space="preserve"> </w:t>
      </w:r>
      <w:r>
        <w:t xml:space="preserve">ordered, constraint-first gate chain (open? → reachable? → thermally feasible? → evidence</w:t>
      </w:r>
      <w:r>
        <w:t xml:space="preserve"> </w:t>
      </w:r>
      <w:r>
        <w:t xml:space="preserve">sufficient? → meaningful improvement?), returning either surviving alternatives or an</w:t>
      </w:r>
      <w:r>
        <w:t xml:space="preserve"> </w:t>
      </w:r>
      <w:r>
        <w:t xml:space="preserve">explicit no-defensible-alternative outcome. Thermal state, decision confidence, evidence</w:t>
      </w:r>
      <w:r>
        <w:t xml:space="preserve"> </w:t>
      </w:r>
      <w:r>
        <w:t xml:space="preserve">confidence, and exclusion reason are kept as separate fields; no composite score is used.</w:t>
      </w:r>
    </w:p>
    <w:p>
      <w:pPr>
        <w:pStyle w:val="BodyText"/>
      </w:pPr>
      <w:r>
        <w:rPr>
          <w:bCs/>
          <w:b/>
        </w:rPr>
        <w:t xml:space="preserve">Figure 2. Thermal-method choice changes feasibility classifications, in both</w:t>
      </w:r>
      <w:r>
        <w:rPr>
          <w:bCs/>
          <w:b/>
        </w:rPr>
        <w:t xml:space="preserve"> </w:t>
      </w:r>
      <w:r>
        <w:rPr>
          <w:bCs/>
          <w:b/>
        </w:rPr>
        <w:t xml:space="preserve">directions.</w:t>
      </w:r>
      <w:r>
        <w:t xml:space="preserve"> </w:t>
      </w:r>
      <w:r>
        <w:t xml:space="preserve">Unit of analysis: the outdoor asset × timestamp observation (14 outdoor</w:t>
      </w:r>
      <w:r>
        <w:t xml:space="preserve"> </w:t>
      </w:r>
      <w:r>
        <w:t xml:space="preserve">assets × 3 timestamps = 42 observations). (a) Agreement matrix; each cell is one of three</w:t>
      </w:r>
      <w:r>
        <w:t xml:space="preserve"> </w:t>
      </w:r>
      <w:r>
        <w:t xml:space="preserve">states — agreement (both methods assign the same feasibility state), physical</w:t>
      </w:r>
      <w:r>
        <w:t xml:space="preserve"> </w:t>
      </w:r>
      <w:r>
        <w:t xml:space="preserve">configuration more restrictive than the proxy, or physical configuration less restrictive</w:t>
      </w:r>
      <w:r>
        <w:t xml:space="preserve"> </w:t>
      </w:r>
      <w:r>
        <w:t xml:space="preserve">than the proxy.</w:t>
      </w:r>
      <w:r>
        <w:t xml:space="preserve"> </w:t>
      </w:r>
      <w:r>
        <w:t xml:space="preserve">“</w:t>
      </w:r>
      <w:r>
        <w:t xml:space="preserve">More restrictive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less restrictive</w:t>
      </w:r>
      <w:r>
        <w:t xml:space="preserve">”</w:t>
      </w:r>
      <w:r>
        <w:t xml:space="preserve"> </w:t>
      </w:r>
      <w:r>
        <w:t xml:space="preserve">describe the</w:t>
      </w:r>
      <w:r>
        <w:t xml:space="preserve"> </w:t>
      </w:r>
      <w:r>
        <w:rPr>
          <w:iCs/>
          <w:i/>
        </w:rPr>
        <w:t xml:space="preserve">direction of</w:t>
      </w:r>
      <w:r>
        <w:rPr>
          <w:iCs/>
          <w:i/>
        </w:rPr>
        <w:t xml:space="preserve"> </w:t>
      </w:r>
      <w:r>
        <w:rPr>
          <w:iCs/>
          <w:i/>
        </w:rPr>
        <w:t xml:space="preserve">classification divergence between the two methods, not the correctness of either</w:t>
      </w:r>
      <w:r>
        <w:t xml:space="preserve">; neither</w:t>
      </w:r>
      <w:r>
        <w:t xml:space="preserve"> </w:t>
      </w:r>
      <w:r>
        <w:t xml:space="preserve">method is field-validated. (b) Direction of divergence by timestamp as a share of the 14</w:t>
      </w:r>
      <w:r>
        <w:t xml:space="preserve"> </w:t>
      </w:r>
      <w:r>
        <w:t xml:space="preserve">outdoor assets, with the reclassification rate per timestamp (12:00 = 64.3%, 15:00 = 0.0%,</w:t>
      </w:r>
      <w:r>
        <w:t xml:space="preserve"> </w:t>
      </w:r>
      <w:r>
        <w:t xml:space="preserve">18:00 = 35.7%). Overall, 14/42 observations (33.3%) were reclassified — 9 physical more</w:t>
      </w:r>
      <w:r>
        <w:t xml:space="preserve"> </w:t>
      </w:r>
      <w:r>
        <w:t xml:space="preserve">restrictive, 5 physical less restrictive, 28 in agreement.</w:t>
      </w:r>
    </w:p>
    <w:p>
      <w:pPr>
        <w:pStyle w:val="BodyText"/>
      </w:pPr>
      <w:r>
        <w:rPr>
          <w:bCs/>
          <w:b/>
        </w:rPr>
        <w:t xml:space="preserve">Figure 3. Heat-aware screening changes the option set relative to a conventional</w:t>
      </w:r>
      <w:r>
        <w:rPr>
          <w:bCs/>
          <w:b/>
        </w:rPr>
        <w:t xml:space="preserve"> </w:t>
      </w:r>
      <w:r>
        <w:rPr>
          <w:bCs/>
          <w:b/>
        </w:rPr>
        <w:t xml:space="preserve">nearest-open baseline.</w:t>
      </w:r>
      <w:r>
        <w:t xml:space="preserve"> </w:t>
      </w:r>
      <w:r>
        <w:t xml:space="preserve">Eight pre-registered decision scenarios (S1–S8), each a real</w:t>
      </w:r>
      <w:r>
        <w:t xml:space="preserve"> </w:t>
      </w:r>
      <w:r>
        <w:t xml:space="preserve">source asset at one timestamp and walking reach. For each scenario: the nearest-open</w:t>
      </w:r>
      <w:r>
        <w:t xml:space="preserve"> </w:t>
      </w:r>
      <w:r>
        <w:t xml:space="preserve">baseline pick and whether it passes the constraint-first screen (● passes; ○ removed, with</w:t>
      </w:r>
      <w:r>
        <w:t xml:space="preserve"> </w:t>
      </w:r>
      <w:r>
        <w:t xml:space="preserve">the machine-readable exclusion reason); the number of surviving alternatives (0–9); and the</w:t>
      </w:r>
      <w:r>
        <w:t xml:space="preserve"> </w:t>
      </w:r>
      <w:r>
        <w:t xml:space="preserve">count of open, in-radius options removed on thermal or evidence grounds. Across the eight</w:t>
      </w:r>
      <w:r>
        <w:t xml:space="preserve"> </w:t>
      </w:r>
      <w:r>
        <w:t xml:space="preserve">scenarios the candidate set changed in 7 of 8, the nearest-open pick was removed by</w:t>
      </w:r>
      <w:r>
        <w:t xml:space="preserve"> </w:t>
      </w:r>
      <w:r>
        <w:t xml:space="preserve">screening in 3 of 8 (each</w:t>
      </w:r>
      <w:r>
        <w:t xml:space="preserve"> </w:t>
      </w:r>
      <w:r>
        <w:rPr>
          <w:rStyle w:val="VerbatimChar"/>
        </w:rPr>
        <w:t xml:space="preserve">OUTDOOR_EXPOSURE_TOO_HIGH</w:t>
      </w:r>
      <w:r>
        <w:t xml:space="preserve">), and 23 open, in-radius options were</w:t>
      </w:r>
      <w:r>
        <w:t xml:space="preserve"> </w:t>
      </w:r>
      <w:r>
        <w:t xml:space="preserve">removed in total. S8 (outlined; Parque del Retiro, 15:00, 500 m reach) evaluated 26</w:t>
      </w:r>
      <w:r>
        <w:t xml:space="preserve"> </w:t>
      </w:r>
      <w:r>
        <w:t xml:space="preserve">candidates, of which 0 survived, resolving to</w:t>
      </w:r>
      <w:r>
        <w:t xml:space="preserve"> </w:t>
      </w:r>
      <w:r>
        <w:rPr>
          <w:rStyle w:val="VerbatimChar"/>
        </w:rPr>
        <w:t xml:space="preserve">NO_DEFENSIBLE_ALTERNATIVE</w:t>
      </w:r>
      <w:r>
        <w:t xml:space="preserve">; this is an</w:t>
      </w:r>
      <w:r>
        <w:t xml:space="preserve"> </w:t>
      </w:r>
      <w:r>
        <w:t xml:space="preserve">architectural outcome of the locked constraints, not a ranked recommendation.</w:t>
      </w:r>
    </w:p>
    <w:p>
      <w:pPr>
        <w:pStyle w:val="BodyText"/>
      </w:pPr>
      <w:r>
        <w:rPr>
          <w:bCs/>
          <w:b/>
        </w:rPr>
        <w:t xml:space="preserve">Figure 4. Decision robustness under tested uncertainty.</w:t>
      </w:r>
      <w:r>
        <w:t xml:space="preserve"> </w:t>
      </w:r>
      <w:r>
        <w:t xml:space="preserve">(a) Number of the 42 outdoor</w:t>
      </w:r>
      <w:r>
        <w:t xml:space="preserve"> </w:t>
      </w:r>
      <w:r>
        <w:t xml:space="preserve">decisions that changed under each tested solar-forcing realization relative to the</w:t>
      </w:r>
      <w:r>
        <w:t xml:space="preserve"> </w:t>
      </w:r>
      <w:r>
        <w:t xml:space="preserve">clear-sky baseline: a satellite-derived irradiance realization changed 1/42 (2.4%), and</w:t>
      </w:r>
      <w:r>
        <w:t xml:space="preserve"> </w:t>
      </w:r>
      <w:r>
        <w:t xml:space="preserve">−10% and −20% irradiance perturbations changed 0/42 each. (b) Distribution of the</w:t>
      </w:r>
      <w:r>
        <w:t xml:space="preserve"> </w:t>
      </w:r>
      <w:r>
        <w:t xml:space="preserve">categorical decision-confidence class over the 42 outdoor observations — ROBUST 35 (83.3%),</w:t>
      </w:r>
      <w:r>
        <w:t xml:space="preserve"> </w:t>
      </w:r>
      <w:r>
        <w:t xml:space="preserve">BOUNDARY 6 (14.3%), UNSTABLE 1 (2.4%) — with the single UNSTABLE case (A24, 18:00) at the</w:t>
      </w:r>
      <w:r>
        <w:t xml:space="preserve"> </w:t>
      </w:r>
      <w:r>
        <w:t xml:space="preserve">46 °C feasibility boundary annotated. Robustness here refers only to the tested uncertainty</w:t>
      </w:r>
      <w:r>
        <w:t xml:space="preserve"> </w:t>
      </w:r>
      <w:r>
        <w:t xml:space="preserve">dimensions (solar forcing across all outdoor rows plus targeted canopy geometry for two</w:t>
      </w:r>
      <w:r>
        <w:t xml:space="preserve"> </w:t>
      </w:r>
      <w:r>
        <w:t xml:space="preserve">assets); it is not total uncertainty and is not a validation of the modelled field.</w:t>
      </w:r>
    </w:p>
    <w:p>
      <w:r>
        <w:pict>
          <v:rect style="width:0;height:1.5pt" o:hralign="center" o:hrstd="t" o:hr="t"/>
        </w:pict>
      </w:r>
    </w:p>
    <w:bookmarkEnd w:id="54"/>
    <w:bookmarkStart w:id="55" w:name="table-captions"/>
    <w:p>
      <w:pPr>
        <w:pStyle w:val="Heading1"/>
      </w:pPr>
      <w:r>
        <w:t xml:space="preserve">Table captions</w:t>
      </w:r>
    </w:p>
    <w:p>
      <w:pPr>
        <w:pStyle w:val="FirstParagraph"/>
      </w:pPr>
      <w:r>
        <w:rPr>
          <w:bCs/>
          <w:b/>
        </w:rPr>
        <w:t xml:space="preserve">Table 1. Data sources and provenance.</w:t>
      </w:r>
      <w:r>
        <w:t xml:space="preserve"> </w:t>
      </w:r>
      <w:r>
        <w:t xml:space="preserve">Open-data layers used in the analytical chain,</w:t>
      </w:r>
      <w:r>
        <w:t xml:space="preserve"> </w:t>
      </w:r>
      <w:r>
        <w:t xml:space="preserve">their provider, spatial/temporal support, licence, and what each layer does and does not</w:t>
      </w:r>
      <w:r>
        <w:t xml:space="preserve"> </w:t>
      </w:r>
      <w:r>
        <w:t xml:space="preserve">measure. See</w:t>
      </w:r>
      <w:r>
        <w:t xml:space="preserve"> </w:t>
      </w:r>
      <w:r>
        <w:rPr>
          <w:rStyle w:val="VerbatimChar"/>
        </w:rPr>
        <w:t xml:space="preserve">manuscript/tables/TABLE01_data_sources.md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Table 2. Constraint-first screening architecture.</w:t>
      </w:r>
      <w:r>
        <w:t xml:space="preserve"> </w:t>
      </w:r>
      <w:r>
        <w:t xml:space="preserve">The ordered gate chain, the</w:t>
      </w:r>
      <w:r>
        <w:t xml:space="preserve"> </w:t>
      </w:r>
      <w:r>
        <w:t xml:space="preserve">threshold for each gate, the machine-readable exclusion vocabulary, and the separate</w:t>
      </w:r>
      <w:r>
        <w:t xml:space="preserve"> </w:t>
      </w:r>
      <w:r>
        <w:t xml:space="preserve">decision fields (thermal state, decision confidence, evidence confidence, exclusion</w:t>
      </w:r>
      <w:r>
        <w:t xml:space="preserve"> </w:t>
      </w:r>
      <w:r>
        <w:t xml:space="preserve">reason). See</w:t>
      </w:r>
      <w:r>
        <w:t xml:space="preserve"> </w:t>
      </w:r>
      <w:r>
        <w:rPr>
          <w:rStyle w:val="VerbatimChar"/>
        </w:rPr>
        <w:t xml:space="preserve">manuscript/tables/TABLE02_screening_rules.md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Table 3. Scenario comparison: constraint-first screening versus nearest-open baseline</w:t>
      </w:r>
      <w:r>
        <w:rPr>
          <w:bCs/>
          <w:b/>
        </w:rPr>
        <w:t xml:space="preserve"> </w:t>
      </w:r>
      <w:r>
        <w:rPr>
          <w:bCs/>
          <w:b/>
        </w:rPr>
        <w:t xml:space="preserve">(S1–S8).</w:t>
      </w:r>
      <w:r>
        <w:t xml:space="preserve"> </w:t>
      </w:r>
      <w:r>
        <w:t xml:space="preserve">For each scenario, the source asset, timestamp and reach, the nearest-open</w:t>
      </w:r>
      <w:r>
        <w:t xml:space="preserve"> </w:t>
      </w:r>
      <w:r>
        <w:t xml:space="preserve">baseline pick and whether it survives screening, the number of surviving alternatives, the</w:t>
      </w:r>
      <w:r>
        <w:t xml:space="preserve"> </w:t>
      </w:r>
      <w:r>
        <w:t xml:space="preserve">count removed on thermal/evidence grounds, and the outcome state. See</w:t>
      </w:r>
      <w:r>
        <w:t xml:space="preserve"> </w:t>
      </w:r>
      <w:r>
        <w:rPr>
          <w:rStyle w:val="VerbatimChar"/>
        </w:rPr>
        <w:t xml:space="preserve">manuscript/tables/TABLE03_scenarios.md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Supplementary Figure S1 and Supplementary Tables S1–S4 are described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supplementary/SUPPLEMENTARY_MATERIAL_v0.1.md</w:t>
      </w:r>
      <w:r>
        <w:rPr>
          <w:iCs/>
          <w:i/>
        </w:rPr>
        <w:t xml:space="preserve">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2026-08-22T08:15:33Z</dcterms:created>
  <dcterms:modified xsi:type="dcterms:W3CDTF">2026-08-22T08:15:33Z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