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Free to use</w:t>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company — employees, contractors, consultants, and interns. It applies regardless of what device you're using, where you're working, or whether the company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GitHub Copilot, Google Workspace Gemini features)</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third-party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regulatory requirement is stricter than this policy, the stricter rule wins. If a client agreement says "no AI," that means no AI — even if this policy would otherwise allow it. When in doubt, check with your manager before using AI tools on that client's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company or client data. The company also looks at things like where the data is stored, what admin controls are available, and what our clients require of us. The bottom line: if the tool doesn't have written protections under your company's subscription, don't use it with any client, project, or confidential company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client and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company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company's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Company-managed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Google Workspace Gemini</w:t>
            </w:r>
          </w:p>
        </w:tc>
        <w:tc>
          <w:tcPr>
            <w:tcW w:type="dxa" w:w="3120"/>
            <w:shd w:fill="F2F2F2" w:val="clear"/>
          </w:tcPr>
          <w:p>
            <w:r/>
            <w:r>
              <w:rPr>
                <w:rFonts w:ascii="Arial" w:hAnsi="Arial"/>
                <w:b w:val="0"/>
                <w:i w:val="0"/>
                <w:color w:val="333333"/>
                <w:sz w:val="19"/>
              </w:rPr>
              <w:t>Accessed through the company's managed Google Workspace Business/Enterprise plan</w:t>
            </w:r>
          </w:p>
        </w:tc>
        <w:tc>
          <w:tcPr>
            <w:tcW w:type="dxa" w:w="3120"/>
            <w:shd w:fill="F2F2F2" w:val="clear"/>
          </w:tcPr>
          <w:p>
            <w:r/>
            <w:r>
              <w:rPr>
                <w:rFonts w:ascii="Arial" w:hAnsi="Arial"/>
                <w:b w:val="0"/>
                <w:i w:val="0"/>
                <w:color w:val="333333"/>
                <w:sz w:val="19"/>
              </w:rPr>
              <w:t>Enterprise protections only apply through a managed Workspace account. See Gemini for Workspace data protection and Google Workspace DPA.</w:t>
            </w:r>
          </w:p>
        </w:tc>
      </w:tr>
    </w:tbl>
    <w:p>
      <w:pPr>
        <w:spacing w:before="40" w:after="40"/>
      </w:pPr>
    </w:p>
    <w:p>
      <w:pPr>
        <w:spacing w:before="120" w:after="120"/>
        <w:ind w:left="360"/>
      </w:pPr>
      <w:r>
        <w:rPr>
          <w:rFonts w:ascii="Arial" w:hAnsi="Arial"/>
          <w:b w:val="0"/>
          <w:i/>
          <w:color w:val="666666"/>
          <w:sz w:val="20"/>
        </w:rPr>
      </w:r>
      <w:r>
        <w:rPr>
          <w:rFonts w:ascii="Arial" w:hAnsi="Arial"/>
          <w:b/>
          <w:i w:val="0"/>
          <w:color w:val="666666"/>
          <w:sz w:val="20"/>
        </w:rPr>
        <w:t>Company administrators:</w:t>
      </w:r>
      <w:r>
        <w:rPr>
          <w:rFonts w:ascii="Arial" w:hAnsi="Arial"/>
          <w:b w:val="0"/>
          <w:i/>
          <w:color w:val="666666"/>
          <w:sz w:val="20"/>
        </w:rPr>
        <w:t xml:space="preserve"> Update this table to match your actual subscriptions. A tool is only Tier 1 if your company has the specific license that includes enterprise data protections and IT has set it up and approved it.</w:t>
      </w: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company's core software. They can be used with client and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Company-managed only</w:t>
            </w:r>
          </w:p>
        </w:tc>
        <w:tc>
          <w:tcPr>
            <w:tcW w:type="dxa" w:w="3120"/>
          </w:tcPr>
          <w:p>
            <w:r/>
            <w:r>
              <w:rPr>
                <w:rFonts w:ascii="Arial" w:hAnsi="Arial"/>
                <w:b w:val="0"/>
                <w:i w:val="0"/>
                <w:color w:val="333333"/>
                <w:sz w:val="19"/>
              </w:rPr>
              <w:t>Your data is not used for training by default. Must be set up and managed by the company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client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Company-managed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client data.</w:t>
            </w:r>
          </w:p>
        </w:tc>
      </w:tr>
      <w:tr>
        <w:tc>
          <w:tcPr>
            <w:tcW w:type="dxa" w:w="3120"/>
            <w:shd w:fill="F2F2F2" w:val="clear"/>
          </w:tcPr>
          <w:p>
            <w:r/>
            <w:r>
              <w:rPr>
                <w:rFonts w:ascii="Arial" w:hAnsi="Arial"/>
                <w:b w:val="0"/>
                <w:i w:val="0"/>
                <w:color w:val="333333"/>
                <w:sz w:val="19"/>
              </w:rPr>
              <w:t>Gemini for Google Workspace (non-managed)</w:t>
            </w:r>
          </w:p>
        </w:tc>
        <w:tc>
          <w:tcPr>
            <w:tcW w:type="dxa" w:w="3120"/>
            <w:shd w:fill="F2F2F2" w:val="clear"/>
          </w:tcPr>
          <w:p>
            <w:r/>
            <w:r>
              <w:rPr>
                <w:rFonts w:ascii="Arial" w:hAnsi="Arial"/>
                <w:b w:val="0"/>
                <w:i w:val="0"/>
                <w:color w:val="333333"/>
                <w:sz w:val="19"/>
              </w:rPr>
              <w:t>Set up by IT</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client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company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company needs for client or business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company's server. Your data never leaves the device. Examples: locally installed LLMs (Ollama, LM Studio), on-device transcription (Whisper running locally), and some features in desktop software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company's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company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120" w:after="120"/>
      </w:pPr>
      <w:r>
        <w:rPr>
          <w:rFonts w:ascii="Arial" w:hAnsi="Arial"/>
          <w:b w:val="0"/>
          <w:i w:val="0"/>
          <w:color w:val="333333"/>
          <w:sz w:val="21"/>
        </w:rPr>
        <w:t>Examples: publicly available industry information, general regulatory questions, published research, publicly posted company marketing materials, general "how do I do this?" questions</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Company information that isn't public but wouldn't cause real harm if it got out.</w:t>
      </w:r>
    </w:p>
    <w:p>
      <w:pPr>
        <w:spacing w:before="120" w:after="120"/>
      </w:pPr>
      <w:r>
        <w:rPr>
          <w:rFonts w:ascii="Arial" w:hAnsi="Arial"/>
          <w:b w:val="0"/>
          <w:i w:val="0"/>
          <w:color w:val="333333"/>
          <w:sz w:val="21"/>
        </w:rPr>
        <w:t>Examples: internal meeting agendas (non-client), company process documentation, general templates, training materials, draft marketing content, non-confidential proposal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Client Data</w:t>
      </w:r>
    </w:p>
    <w:p>
      <w:pPr>
        <w:spacing w:before="120" w:after="120"/>
      </w:pPr>
      <w:r>
        <w:rPr>
          <w:rFonts w:ascii="Arial" w:hAnsi="Arial"/>
          <w:b w:val="0"/>
          <w:i w:val="0"/>
          <w:color w:val="333333"/>
          <w:sz w:val="21"/>
        </w:rPr>
        <w:t>Client information, project work, and business data that the company is professionally or contractually obligated to protect.</w:t>
      </w:r>
    </w:p>
    <w:p>
      <w:pPr>
        <w:spacing w:before="120" w:after="120"/>
      </w:pPr>
      <w:r>
        <w:rPr>
          <w:rFonts w:ascii="Arial" w:hAnsi="Arial"/>
          <w:b w:val="0"/>
          <w:i w:val="0"/>
          <w:color w:val="333333"/>
          <w:sz w:val="21"/>
        </w:rPr>
        <w:t>Examples: client project files, work product and deliverables, client correspondence, client budgets and pricing, proposals with client-specific terms, internal financial data, vendor contracts, employee compensation data, strategic plans</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120" w:after="120"/>
      </w:pPr>
      <w:r>
        <w:rPr>
          <w:rFonts w:ascii="Arial" w:hAnsi="Arial"/>
          <w:b w:val="0"/>
          <w:i w:val="0"/>
          <w:color w:val="333333"/>
          <w:sz w:val="21"/>
        </w:rPr>
        <w:t>Examples: NDA-protected work (e.g., pre-announcement projects), security-sensitive materials, personally identifiable information (PII) of clients or their customers, protected health information (PHI), legal correspondence related to disputes or litigation, sealed or confidential bid documents, data subject to regulatory compliance requirements (HIPAA, SOX, GLBA, etc.)</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executive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misleading. You're responsible for anything you put your name on, no matter how it was produced.</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business decision, or being shared outside the company, a qualified person must review it first.</w:t>
      </w:r>
    </w:p>
    <w:p>
      <w:pPr>
        <w:spacing w:before="80" w:after="80"/>
        <w:ind w:left="360"/>
      </w:pPr>
      <w:r>
        <w:rPr>
          <w:rFonts w:ascii="Arial" w:hAnsi="Arial"/>
          <w:b w:val="0"/>
          <w:i/>
          <w:color w:val="666666"/>
          <w:sz w:val="20"/>
        </w:rPr>
      </w:r>
      <w:r>
        <w:rPr>
          <w:rFonts w:ascii="Arial" w:hAnsi="Arial"/>
          <w:b/>
          <w:i w:val="0"/>
          <w:color w:val="666666"/>
          <w:sz w:val="20"/>
        </w:rPr>
        <w:t>Companies:</w:t>
      </w:r>
      <w:r>
        <w:rPr>
          <w:rFonts w:ascii="Arial" w:hAnsi="Arial"/>
          <w:b w:val="0"/>
          <w:i/>
          <w:color w:val="666666"/>
          <w:sz w:val="20"/>
        </w:rPr>
        <w:t xml:space="preserve"> Define your review requirements based on your industry and risk tolerance. At a minimum, consider this framework:</w:t>
      </w:r>
    </w:p>
    <w:p>
      <w:pPr>
        <w:pStyle w:val="ListBullet"/>
        <w:spacing w:before="40" w:after="40"/>
        <w:ind w:left="1080"/>
      </w:pPr>
      <w:r>
        <w:rPr>
          <w:rFonts w:ascii="Arial" w:hAnsi="Arial"/>
          <w:b w:val="0"/>
          <w:i/>
          <w:color w:val="666666"/>
          <w:sz w:val="20"/>
        </w:rPr>
      </w:r>
      <w:r>
        <w:rPr>
          <w:rFonts w:ascii="Arial" w:hAnsi="Arial"/>
          <w:b/>
          <w:i w:val="0"/>
          <w:color w:val="666666"/>
          <w:sz w:val="20"/>
        </w:rPr>
        <w:t>Internal and informal use</w:t>
      </w:r>
      <w:r>
        <w:rPr>
          <w:rFonts w:ascii="Arial" w:hAnsi="Arial"/>
          <w:b w:val="0"/>
          <w:i/>
          <w:color w:val="666666"/>
          <w:sz w:val="20"/>
        </w:rPr>
        <w:t xml:space="preserve"> (brainstorming, internal memos, research summaries): Check for factual accuracy before relying on the output.</w:t>
      </w:r>
    </w:p>
    <w:p>
      <w:pPr>
        <w:pStyle w:val="ListBullet"/>
        <w:spacing w:before="40" w:after="40"/>
        <w:ind w:left="1080"/>
      </w:pPr>
      <w:r>
        <w:rPr>
          <w:rFonts w:ascii="Arial" w:hAnsi="Arial"/>
          <w:b w:val="0"/>
          <w:i/>
          <w:color w:val="666666"/>
          <w:sz w:val="20"/>
        </w:rPr>
      </w:r>
      <w:r>
        <w:rPr>
          <w:rFonts w:ascii="Arial" w:hAnsi="Arial"/>
          <w:b/>
          <w:i w:val="0"/>
          <w:color w:val="666666"/>
          <w:sz w:val="20"/>
        </w:rPr>
        <w:t>Client-facing deliverables</w:t>
      </w:r>
      <w:r>
        <w:rPr>
          <w:rFonts w:ascii="Arial" w:hAnsi="Arial"/>
          <w:b w:val="0"/>
          <w:i/>
          <w:color w:val="666666"/>
          <w:sz w:val="20"/>
        </w:rPr>
        <w:t xml:space="preserve"> (reports, presentations, proposals): Have a manager or senior team member review before delivery.</w:t>
      </w:r>
    </w:p>
    <w:p>
      <w:pPr>
        <w:pStyle w:val="ListBullet"/>
        <w:spacing w:before="40" w:after="40"/>
        <w:ind w:left="1080"/>
      </w:pPr>
      <w:r>
        <w:rPr>
          <w:rFonts w:ascii="Arial" w:hAnsi="Arial"/>
          <w:b w:val="0"/>
          <w:i/>
          <w:color w:val="666666"/>
          <w:sz w:val="20"/>
        </w:rPr>
      </w:r>
      <w:r>
        <w:rPr>
          <w:rFonts w:ascii="Arial" w:hAnsi="Arial"/>
          <w:b/>
          <w:i w:val="0"/>
          <w:color w:val="666666"/>
          <w:sz w:val="20"/>
        </w:rPr>
        <w:t>Technical or compliance-sensitive work</w:t>
      </w:r>
      <w:r>
        <w:rPr>
          <w:rFonts w:ascii="Arial" w:hAnsi="Arial"/>
          <w:b w:val="0"/>
          <w:i/>
          <w:color w:val="666666"/>
          <w:sz w:val="20"/>
        </w:rPr>
        <w:t xml:space="preserve"> (financial analysis, regulatory filings, legal-adjacent content): Have a qualified subject matter expert review before it goes out.</w:t>
      </w:r>
    </w:p>
    <w:p>
      <w:pPr>
        <w:pStyle w:val="ListBullet"/>
        <w:spacing w:before="40" w:after="40"/>
        <w:ind w:left="1080"/>
      </w:pPr>
      <w:r>
        <w:rPr>
          <w:rFonts w:ascii="Arial" w:hAnsi="Arial"/>
          <w:b w:val="0"/>
          <w:i/>
          <w:color w:val="666666"/>
          <w:sz w:val="20"/>
        </w:rPr>
      </w:r>
      <w:r>
        <w:rPr>
          <w:rFonts w:ascii="Arial" w:hAnsi="Arial"/>
          <w:b/>
          <w:i w:val="0"/>
          <w:color w:val="666666"/>
          <w:sz w:val="20"/>
        </w:rPr>
        <w:t>Documents requiring signatures or certifications:</w:t>
      </w:r>
      <w:r>
        <w:rPr>
          <w:rFonts w:ascii="Arial" w:hAnsi="Arial"/>
          <w:b w:val="0"/>
          <w:i/>
          <w:color w:val="666666"/>
          <w:sz w:val="20"/>
        </w:rPr>
        <w:t xml:space="preserve"> The responsible party must independently verify any AI-assisted content.</w:t>
      </w: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proprietary documents, copyrighted reference materials, and published content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Technical Work</w:t>
      </w:r>
    </w:p>
    <w:p>
      <w:pPr>
        <w:spacing w:before="120" w:after="120"/>
      </w:pPr>
      <w:r>
        <w:rPr>
          <w:rFonts w:ascii="Arial" w:hAnsi="Arial"/>
          <w:b w:val="0"/>
          <w:i w:val="0"/>
          <w:color w:val="333333"/>
          <w:sz w:val="21"/>
        </w:rPr>
        <w:t>If your team uses AI code assistants like GitHub Copilot, you must review and test any generated code before using it in production. Don't run AI-generated scripts in live systems without testing them in an isolated environment first and getting approval from a technical lead or manager.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dollar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decisions, inform deliverables, or contain information relevant to client work. Don't assume AI chats are casual and private. If AI output contributed to a business decision, save that output in the company's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client or company information, copy it into the company's approved systems (project folders, document management, approved cloud storage). Don't leave it sitting in a third-party AI chat indefinitely. Once you've saved the relevant output to company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large volumes of client files, complete project databases, or entire document libraries to any AI tool without written approval from management and confirmation that the tool is approved for that type of data</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signatures, certifications, or attestations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financial calculations, tax filings, or regulatory submissions without a qualified professional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company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p>
      <w:pPr>
        <w:spacing w:before="120" w:after="120"/>
        <w:ind w:left="360"/>
      </w:pPr>
      <w:r>
        <w:rPr>
          <w:rFonts w:ascii="Arial" w:hAnsi="Arial"/>
          <w:b w:val="0"/>
          <w:i/>
          <w:color w:val="666666"/>
          <w:sz w:val="20"/>
        </w:rPr>
      </w:r>
      <w:r>
        <w:rPr>
          <w:rFonts w:ascii="Arial" w:hAnsi="Arial"/>
          <w:b/>
          <w:i w:val="0"/>
          <w:color w:val="666666"/>
          <w:sz w:val="20"/>
        </w:rPr>
        <w:t>Companies:</w:t>
      </w:r>
      <w:r>
        <w:rPr>
          <w:rFonts w:ascii="Arial" w:hAnsi="Arial"/>
          <w:b w:val="0"/>
          <w:i/>
          <w:color w:val="666666"/>
          <w:sz w:val="20"/>
        </w:rPr>
        <w:t xml:space="preserve"> Insert your actual IT contact method above.</w:t>
      </w: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client 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An executive or department head</w:t>
      </w:r>
      <w:r>
        <w:rPr>
          <w:rFonts w:ascii="Arial" w:hAnsi="Arial"/>
          <w:b w:val="0"/>
          <w:i w:val="0"/>
          <w:color w:val="333333"/>
          <w:sz w:val="21"/>
        </w:rPr>
        <w:t xml:space="preserve"> must approve Level 4 data use, client-specific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manager.</w:t>
      </w:r>
    </w:p>
    <w:p>
      <w:pPr>
        <w:pBdr>
          <w:bottom w:val="single" w:sz="6" w:space="1" w:color="D6E4F0"/>
        </w:pBdr>
        <w:spacing w:before="200" w:after="200"/>
      </w:pPr>
    </w:p>
    <w:p>
      <w:pPr>
        <w:pStyle w:val="Heading2"/>
      </w:pPr>
      <w:r>
        <w:t>12. Training</w:t>
      </w:r>
    </w:p>
    <w:p>
      <w:pPr>
        <w:spacing w:before="120" w:after="120"/>
        <w:ind w:left="360"/>
      </w:pPr>
      <w:r>
        <w:rPr>
          <w:rFonts w:ascii="Arial" w:hAnsi="Arial"/>
          <w:b w:val="0"/>
          <w:i/>
          <w:color w:val="666666"/>
          <w:sz w:val="20"/>
        </w:rPr>
      </w:r>
      <w:r>
        <w:rPr>
          <w:rFonts w:ascii="Arial" w:hAnsi="Arial"/>
          <w:b/>
          <w:i w:val="0"/>
          <w:color w:val="666666"/>
          <w:sz w:val="20"/>
        </w:rPr>
        <w:t>Companies:</w:t>
      </w:r>
      <w:r>
        <w:rPr>
          <w:rFonts w:ascii="Arial" w:hAnsi="Arial"/>
          <w:b w:val="0"/>
          <w:i/>
          <w:color w:val="666666"/>
          <w:sz w:val="20"/>
        </w:rPr>
        <w:t xml:space="preserve"> 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company devices), network logs, and software inventory.</w:t>
      </w:r>
    </w:p>
    <w:p>
      <w:pPr>
        <w:pStyle w:val="ListBullet"/>
        <w:spacing w:before="60" w:after="60"/>
      </w:pPr>
      <w:r>
        <w:rPr>
          <w:rFonts w:ascii="Arial" w:hAnsi="Arial"/>
          <w:b w:val="0"/>
          <w:i w:val="0"/>
          <w:color w:val="333333"/>
          <w:sz w:val="21"/>
        </w:rPr>
        <w:t>Violations will be handled through the company's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company's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company's internal use of AI tools. It doesn't replace client-specific contract requirements, legal advice, or professional licensing obligations. AI vendor terms and features change frequently — the company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