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Firm administrators:</w:t>
      </w:r>
      <w:r>
        <w:rPr>
          <w:rFonts w:ascii="Arial" w:hAnsi="Arial"/>
          <w:b w:val="0"/>
          <w:i/>
          <w:color w:val="666666"/>
          <w:sz w:val="20"/>
        </w:rPr>
        <w:t xml:space="preserve"> Update this table to match your actual subscriptions. A tool is only Tier 1 if your firm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p>
      <w:pPr>
        <w:spacing w:before="80" w:after="8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Define your review requirements based on your practice areas and risk tolerance. Some insurance carriers are issuing specific guidance on AI-generated work product — check with your broker.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Conceptual and internal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renderings shown to clients): Have a project manager or senior staff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and code-compliance work</w:t>
      </w:r>
      <w:r>
        <w:rPr>
          <w:rFonts w:ascii="Arial" w:hAnsi="Arial"/>
          <w:b w:val="0"/>
          <w:i/>
          <w:color w:val="666666"/>
          <w:sz w:val="20"/>
        </w:rPr>
        <w:t xml:space="preserve"> (calculations, code analysis, specification language, drawing annotations): Have a licensed professional in the appropriate discipline review before it goes into documents of record.</w:t>
      </w:r>
    </w:p>
    <w:p>
      <w:pPr>
        <w:pStyle w:val="ListBullet"/>
        <w:spacing w:before="40" w:after="40"/>
        <w:ind w:left="1080"/>
      </w:pPr>
      <w:r>
        <w:rPr>
          <w:rFonts w:ascii="Arial" w:hAnsi="Arial"/>
          <w:b w:val="0"/>
          <w:i/>
          <w:color w:val="666666"/>
          <w:sz w:val="20"/>
        </w:rPr>
      </w:r>
      <w:r>
        <w:rPr>
          <w:rFonts w:ascii="Arial" w:hAnsi="Arial"/>
          <w:b/>
          <w:i w:val="0"/>
          <w:color w:val="666666"/>
          <w:sz w:val="20"/>
        </w:rPr>
        <w:t>Stamped or sealed documents:</w:t>
      </w:r>
      <w:r>
        <w:rPr>
          <w:rFonts w:ascii="Arial" w:hAnsi="Arial"/>
          <w:b w:val="0"/>
          <w:i/>
          <w:color w:val="666666"/>
          <w:sz w:val="20"/>
        </w:rPr>
        <w:t xml:space="preserve"> The professional of record must independently verify any AI-assisted content before it's incorporated.</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