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4E5BC" w14:textId="77777777" w:rsidR="00602FD3" w:rsidRPr="00DB3A4C" w:rsidRDefault="00602FD3" w:rsidP="00DD648E">
      <w:pPr>
        <w:pStyle w:val="Title"/>
        <w:rPr>
          <w:sz w:val="44"/>
          <w:szCs w:val="44"/>
        </w:rPr>
      </w:pPr>
    </w:p>
    <w:p w14:paraId="55D70500" w14:textId="77777777" w:rsidR="00612A6F" w:rsidRDefault="00223A7B" w:rsidP="00602FD3">
      <w:pPr>
        <w:pStyle w:val="Title"/>
        <w:jc w:val="center"/>
        <w:rPr>
          <w:rFonts w:ascii="Arial" w:hAnsi="Arial" w:cs="Arial"/>
          <w:b/>
          <w:bCs/>
          <w:sz w:val="32"/>
          <w:szCs w:val="32"/>
        </w:rPr>
      </w:pPr>
      <w:r w:rsidRPr="00602FD3">
        <w:rPr>
          <w:rFonts w:ascii="Arial" w:hAnsi="Arial" w:cs="Arial"/>
          <w:b/>
          <w:bCs/>
          <w:sz w:val="32"/>
          <w:szCs w:val="32"/>
        </w:rPr>
        <w:t>L</w:t>
      </w:r>
      <w:r w:rsidR="00602FD3">
        <w:rPr>
          <w:rFonts w:ascii="Arial" w:hAnsi="Arial" w:cs="Arial"/>
          <w:b/>
          <w:bCs/>
          <w:sz w:val="32"/>
          <w:szCs w:val="32"/>
        </w:rPr>
        <w:t>IMIT</w:t>
      </w:r>
      <w:r w:rsidRPr="00602FD3">
        <w:rPr>
          <w:rFonts w:ascii="Arial" w:hAnsi="Arial" w:cs="Arial"/>
          <w:b/>
          <w:bCs/>
          <w:sz w:val="32"/>
          <w:szCs w:val="32"/>
        </w:rPr>
        <w:t xml:space="preserve"> R</w:t>
      </w:r>
      <w:r w:rsidR="00602FD3">
        <w:rPr>
          <w:rFonts w:ascii="Arial" w:hAnsi="Arial" w:cs="Arial"/>
          <w:b/>
          <w:bCs/>
          <w:sz w:val="32"/>
          <w:szCs w:val="32"/>
        </w:rPr>
        <w:t>EFERENCE</w:t>
      </w:r>
      <w:r w:rsidRPr="00602FD3">
        <w:rPr>
          <w:rFonts w:ascii="Arial" w:hAnsi="Arial" w:cs="Arial"/>
          <w:b/>
          <w:bCs/>
          <w:sz w:val="32"/>
          <w:szCs w:val="32"/>
        </w:rPr>
        <w:t xml:space="preserve"> </w:t>
      </w:r>
      <w:r w:rsidR="00602FD3">
        <w:rPr>
          <w:rFonts w:ascii="Arial" w:hAnsi="Arial" w:cs="Arial"/>
          <w:b/>
          <w:bCs/>
          <w:sz w:val="32"/>
          <w:szCs w:val="32"/>
        </w:rPr>
        <w:t>POINTS</w:t>
      </w:r>
      <w:r w:rsidRPr="00602FD3">
        <w:rPr>
          <w:rFonts w:ascii="Arial" w:hAnsi="Arial" w:cs="Arial"/>
          <w:b/>
          <w:bCs/>
          <w:sz w:val="32"/>
          <w:szCs w:val="32"/>
        </w:rPr>
        <w:t xml:space="preserve"> </w:t>
      </w:r>
      <w:r w:rsidR="00602FD3">
        <w:rPr>
          <w:rFonts w:ascii="Arial" w:hAnsi="Arial" w:cs="Arial"/>
          <w:b/>
          <w:bCs/>
          <w:sz w:val="32"/>
          <w:szCs w:val="32"/>
        </w:rPr>
        <w:t>AND WILD SALMON POLICY RAPID STATUS SUMMARY</w:t>
      </w:r>
      <w:r w:rsidR="00612A6F">
        <w:rPr>
          <w:rFonts w:ascii="Arial" w:hAnsi="Arial" w:cs="Arial"/>
          <w:b/>
          <w:bCs/>
          <w:sz w:val="32"/>
          <w:szCs w:val="32"/>
        </w:rPr>
        <w:t>:</w:t>
      </w:r>
    </w:p>
    <w:p w14:paraId="32C8D1B6" w14:textId="122073F0" w:rsidR="003D27F2" w:rsidRPr="00602FD3" w:rsidRDefault="00602FD3" w:rsidP="00602FD3">
      <w:pPr>
        <w:pStyle w:val="Title"/>
        <w:jc w:val="center"/>
        <w:rPr>
          <w:rFonts w:ascii="Arial" w:hAnsi="Arial" w:cs="Arial"/>
          <w:b/>
          <w:bCs/>
          <w:sz w:val="32"/>
          <w:szCs w:val="32"/>
        </w:rPr>
      </w:pPr>
      <w:r>
        <w:rPr>
          <w:rFonts w:ascii="Arial" w:hAnsi="Arial" w:cs="Arial"/>
          <w:b/>
          <w:bCs/>
          <w:sz w:val="32"/>
          <w:szCs w:val="32"/>
        </w:rPr>
        <w:t xml:space="preserve"> </w:t>
      </w:r>
      <w:r w:rsidR="00DB3A4C">
        <w:rPr>
          <w:rFonts w:ascii="Arial" w:hAnsi="Arial" w:cs="Arial"/>
          <w:b/>
          <w:bCs/>
          <w:sz w:val="32"/>
          <w:szCs w:val="32"/>
        </w:rPr>
        <w:t xml:space="preserve">2023 </w:t>
      </w:r>
      <w:r w:rsidR="00D80197">
        <w:rPr>
          <w:rFonts w:ascii="Arial" w:hAnsi="Arial" w:cs="Arial"/>
          <w:b/>
          <w:bCs/>
          <w:sz w:val="32"/>
          <w:szCs w:val="32"/>
        </w:rPr>
        <w:t>FRASER PINK</w:t>
      </w:r>
      <w:r>
        <w:rPr>
          <w:rFonts w:ascii="Arial" w:hAnsi="Arial" w:cs="Arial"/>
          <w:b/>
          <w:bCs/>
          <w:sz w:val="32"/>
          <w:szCs w:val="32"/>
        </w:rPr>
        <w:t xml:space="preserve"> </w:t>
      </w:r>
      <w:r w:rsidR="00BF5A64">
        <w:rPr>
          <w:rFonts w:ascii="Arial" w:hAnsi="Arial" w:cs="Arial"/>
          <w:b/>
          <w:bCs/>
          <w:sz w:val="32"/>
          <w:szCs w:val="32"/>
        </w:rPr>
        <w:t xml:space="preserve">SALMON-ODD </w:t>
      </w:r>
      <w:r>
        <w:rPr>
          <w:rFonts w:ascii="Arial" w:hAnsi="Arial" w:cs="Arial"/>
          <w:b/>
          <w:bCs/>
          <w:sz w:val="32"/>
          <w:szCs w:val="32"/>
        </w:rPr>
        <w:t>STOCK MANAGEMENT UNIT</w:t>
      </w:r>
    </w:p>
    <w:p w14:paraId="6D1FF14E" w14:textId="77777777" w:rsidR="00526CAE" w:rsidRDefault="00526CAE" w:rsidP="00526CAE">
      <w:pPr>
        <w:pStyle w:val="Heading1"/>
      </w:pPr>
      <w:r>
        <w:t>Executive Summary</w:t>
      </w:r>
    </w:p>
    <w:p w14:paraId="7D79263B" w14:textId="77777777" w:rsidR="00526CAE" w:rsidRDefault="00526CAE" w:rsidP="00526CAE">
      <w:r w:rsidRPr="005F6FA4">
        <w:t xml:space="preserve">There is one CU in the Fraser Pink SMU and it is designed </w:t>
      </w:r>
      <w:r w:rsidRPr="005F6FA4">
        <w:rPr>
          <w:b/>
          <w:bCs/>
        </w:rPr>
        <w:t>Green</w:t>
      </w:r>
      <w:r w:rsidRPr="005F6FA4">
        <w:t xml:space="preserve">, placing this SMU </w:t>
      </w:r>
      <w:r w:rsidRPr="005F6FA4">
        <w:rPr>
          <w:b/>
          <w:bCs/>
        </w:rPr>
        <w:t>above the LRP</w:t>
      </w:r>
      <w:r w:rsidRPr="005F6FA4">
        <w:t xml:space="preserve"> in terms of WSP rapid status (Figures 1 &amp; Tables 3 - 5).</w:t>
      </w:r>
      <w:r>
        <w:t xml:space="preserve"> </w:t>
      </w:r>
    </w:p>
    <w:p w14:paraId="2BBCB107" w14:textId="77777777" w:rsidR="00526CAE" w:rsidRPr="0009505D" w:rsidRDefault="00526CAE" w:rsidP="00526CAE">
      <w:r>
        <w:t xml:space="preserve">The Fraser Pink-Odd CU was assessed as </w:t>
      </w:r>
      <w:r w:rsidRPr="0009505D">
        <w:rPr>
          <w:b/>
          <w:bCs/>
          <w:color w:val="538135" w:themeColor="accent6" w:themeShade="BF"/>
        </w:rPr>
        <w:t>Green</w:t>
      </w:r>
      <w:r w:rsidRPr="0009505D">
        <w:rPr>
          <w:color w:val="538135" w:themeColor="accent6" w:themeShade="BF"/>
        </w:rPr>
        <w:t xml:space="preserve"> </w:t>
      </w:r>
      <w:r>
        <w:t>based on its recent generational average (</w:t>
      </w:r>
      <w:r>
        <w:rPr>
          <w:rFonts w:cstheme="minorHAnsi"/>
        </w:rPr>
        <w:t>9.6 Million</w:t>
      </w:r>
      <w:r>
        <w:t xml:space="preserve">) being above the upper Absolute-Abundance threshold (5.17 Million). </w:t>
      </w:r>
    </w:p>
    <w:p w14:paraId="19FB585F" w14:textId="77777777" w:rsidR="001773C4" w:rsidRPr="004D7AF4" w:rsidRDefault="001773C4" w:rsidP="001773C4">
      <w:pPr>
        <w:pStyle w:val="Heading1"/>
      </w:pPr>
      <w:r>
        <w:t>Context</w:t>
      </w:r>
    </w:p>
    <w:p w14:paraId="5A7A049C" w14:textId="77777777" w:rsidR="001773C4" w:rsidRDefault="001773C4" w:rsidP="001773C4">
      <w:r w:rsidRPr="00602FD3">
        <w:rPr>
          <w:b/>
          <w:bCs/>
        </w:rPr>
        <w:t xml:space="preserve">A key recommendation from a CSAS peer review process on Pacific Salmon Limit Reference Points (LRPs) is ‘CU [conservation-unit] status-based LRPs’ be used to meet the Fish Stocks provisions of the </w:t>
      </w:r>
      <w:r w:rsidRPr="00602FD3">
        <w:rPr>
          <w:b/>
          <w:bCs/>
          <w:i/>
          <w:iCs/>
        </w:rPr>
        <w:t>Fisheries Act</w:t>
      </w:r>
      <w:r w:rsidRPr="00602FD3">
        <w:rPr>
          <w:b/>
          <w:bCs/>
        </w:rPr>
        <w:t xml:space="preserve"> </w:t>
      </w:r>
      <w:r w:rsidRPr="00602FD3">
        <w:rPr>
          <w:b/>
          <w:bCs/>
        </w:rPr>
        <w:fldChar w:fldCharType="begin" w:fldLock="1"/>
      </w:r>
      <w:r w:rsidRPr="00602FD3">
        <w:rPr>
          <w:b/>
          <w:bCs/>
        </w:rPr>
        <w:instrText>ADDIN CSL_CITATION {"citationItems":[{"id":"ITEM-1","itemData":{"author":[{"dropping-particle":"","family":"DFO","given":"","non-dropping-particle":"","parse-names":false,"suffix":""}],"id":"ITEM-1","issued":{"date-parts":[["2022"]]},"title":"Methodologies and guidelines for defining limit reference points for Pacific Salmon. CSAS SAR 2022/030. pp. 16","type":"article-journal"},"uris":["http://www.mendeley.com/documents/?uuid=71c80d16-a32b-4ff6-a0d6-80003df154c5"]},{"id":"ITEM-2","itemData":{"author":[{"dropping-particle":"","family":"Holt","given":"Kendra","non-dropping-particle":"","parse-names":false,"suffix":""},{"dropping-particle":"","family":"Holt","given":"Carrie A.","non-dropping-particle":"","parse-names":false,"suffix":""},{"dropping-particle":"","family":"Warkentin","given":"Luke","non-dropping-particle":"","parse-names":false,"suffix":""},{"dropping-particle":"","family":"Wor","given":"Catarina","non-dropping-particle":"","parse-names":false,"suffix":""},{"dropping-particle":"","family":"Davis","given":"Brooke","non-dropping-particle":"","parse-names":false,"suffix":""},{"dropping-particle":"","family":"Arbeider","given":"Michael","non-dropping-particle":"","parse-names":false,"suffix":""},{"dropping-particle":"","family":"Bokvist","given":"Jessy","non-dropping-particle":"","parse-names":false,"suffix":""},{"dropping-particle":"","family":"Crowley","given":"Sabrina","non-dropping-particle":"","parse-names":false,"suffix":""},{"dropping-particle":"","family":"Grant","given":"Sue C.H.","non-dropping-particle":"","parse-names":false,"suffix":""},{"dropping-particle":"","family":"Luedke","given":"Wilf","non-dropping-particle":"","parse-names":false,"suffix":""},{"dropping-particle":"","family":"McHugh","given":"Diana","non-dropping-particle":"","parse-names":false,"suffix":""},{"dropping-particle":"","family":"Picco","given":"Candace","non-dropping-particle":"","parse-names":false,"suffix":""},{"dropping-particle":"Van","family":"Will","given":"Pieter","non-dropping-particle":"","parse-names":false,"suffix":""}],"container-title":"Can. Sci. Advis. Sec. Res. Doc.","id":"ITEM-2","issued":{"date-parts":[["2023"]]},"page":"iv + 129","title":"Case Study Applications of LRP Estimation Methods to Pacific Salmon Stock Management Units","type":"article-journal","volume":"2023/010"},"uris":["http://www.mendeley.com/documents/?uuid=872db543-6b9b-446f-a3c8-54b606428684"]},{"id":"ITEM-3","itemData":{"author":[{"dropping-particle":"","family":"Holt","given":"Carrie. A.","non-dropping-particle":"","parse-names":false,"suffix":""},{"dropping-particle":"","family":"Holt","given":"Kendra","non-dropping-particle":"","parse-names":false,"suffix":""},{"dropping-particle":"","family":"Wor","given":"Catarina","non-dropping-particle":"","parse-names":false,"suffix":""},{"dropping-particle":"","family":"Warkentin","given":"Luke","non-dropping-particle":"","parse-names":false,"suffix":""},{"dropping-particle":"","family":"Connors","given":"Brendan","non-dropping-particle":"","parse-names":false,"suffix":""},{"dropping-particle":"","family":"Grant","given":"Sue C.H.","non-dropping-particle":"","parse-names":false,"suffix":""},{"dropping-particle":"","family":"Huang","given":"Ann-Marie","non-dropping-particle":"","parse-names":false,"suffix":""}],"container-title":"Can. Sci. Adv. Sec. Res. Doc.","id":"ITEM-3","issued":{"date-parts":[["2023"]]},"page":"iv + 66","title":"Guidelines for Defining Limit Reference Points for Pacific Salmon Stock Management Units","type":"article-journal","volume":"2023/009"},"uris":["http://www.mendeley.com/documents/?uuid=e66cbee3-bd18-4f40-98ca-9aef743fadf2"]}],"mendeley":{"formattedCitation":"(DFO 2022; Holt et al. 2023a, 2023b)","plainTextFormattedCitation":"(DFO 2022; Holt et al. 2023a, 2023b)","previouslyFormattedCitation":"(DFO 2022; Holt et al. 2023a, 2023b)"},"properties":{"noteIndex":0},"schema":"https://github.com/citation-style-language/schema/raw/master/csl-citation.json"}</w:instrText>
      </w:r>
      <w:r w:rsidRPr="00602FD3">
        <w:rPr>
          <w:b/>
          <w:bCs/>
        </w:rPr>
        <w:fldChar w:fldCharType="separate"/>
      </w:r>
      <w:r w:rsidRPr="00602FD3">
        <w:rPr>
          <w:b/>
          <w:bCs/>
          <w:noProof/>
        </w:rPr>
        <w:t>(DFO 2022; Holt et al. 2023a, 2023b)</w:t>
      </w:r>
      <w:r w:rsidRPr="00602FD3">
        <w:rPr>
          <w:b/>
          <w:bCs/>
        </w:rPr>
        <w:fldChar w:fldCharType="end"/>
      </w:r>
      <w:r w:rsidRPr="00602FD3">
        <w:rPr>
          <w:b/>
          <w:bCs/>
        </w:rPr>
        <w:t xml:space="preserve">, which was supported nationally </w:t>
      </w:r>
      <w:r w:rsidRPr="00602FD3">
        <w:rPr>
          <w:b/>
          <w:bCs/>
        </w:rPr>
        <w:fldChar w:fldCharType="begin" w:fldLock="1"/>
      </w:r>
      <w:r w:rsidRPr="00602FD3">
        <w:rPr>
          <w:b/>
          <w:bCs/>
        </w:rPr>
        <w:instrText>ADDIN CSL_CITATION {"citationItems":[{"id":"ITEM-1","itemData":{"author":[{"dropping-particle":"","family":"DFO","given":"","non-dropping-particle":"","parse-names":false,"suffix":""}],"container-title":"Canadian Science Advisory Secretariat Science Advisory Report","id":"ITEM-1","issue":"February","issued":{"date-parts":[["2023"]]},"title":"Science advice on guidance for limit reference points under the fish stocks provisions","type":"article-journal","volume":"2023/009"},"uris":["http://www.mendeley.com/documents/?uuid=02fe8fec-6ce6-4420-9787-ae339392c60f"]}],"mendeley":{"formattedCitation":"(DFO 2023)","plainTextFormattedCitation":"(DFO 2023)","previouslyFormattedCitation":"(DFO 2023)"},"properties":{"noteIndex":0},"schema":"https://github.com/citation-style-language/schema/raw/master/csl-citation.json"}</w:instrText>
      </w:r>
      <w:r w:rsidRPr="00602FD3">
        <w:rPr>
          <w:b/>
          <w:bCs/>
        </w:rPr>
        <w:fldChar w:fldCharType="separate"/>
      </w:r>
      <w:r w:rsidRPr="00602FD3">
        <w:rPr>
          <w:b/>
          <w:bCs/>
          <w:noProof/>
        </w:rPr>
        <w:t>(DFO 2023)</w:t>
      </w:r>
      <w:r w:rsidRPr="00602FD3">
        <w:rPr>
          <w:b/>
          <w:bCs/>
        </w:rPr>
        <w:fldChar w:fldCharType="end"/>
      </w:r>
      <w:r w:rsidRPr="00602FD3">
        <w:rPr>
          <w:b/>
          <w:bCs/>
        </w:rPr>
        <w:t>.</w:t>
      </w:r>
      <w:r w:rsidRPr="00602FD3">
        <w:t xml:space="preserve"> LRP's are assessed for Stock Management Units (SMUs), which can include one or more conservation units (CUs) (i.e., CUs are nested within SMUs). Using this approach, serious harm to a SMU is identified when any component CU zone drops into the Wild Salmon Policy (WSP) </w:t>
      </w:r>
      <w:r w:rsidRPr="00602FD3">
        <w:rPr>
          <w:i/>
          <w:iCs/>
        </w:rPr>
        <w:t>Red</w:t>
      </w:r>
      <w:r w:rsidRPr="00602FD3">
        <w:t xml:space="preserve"> zone. Under this definition, the CU status-LRP is ‘100% of CUs with statuses above </w:t>
      </w:r>
      <w:r w:rsidRPr="00602FD3">
        <w:rPr>
          <w:i/>
          <w:iCs/>
        </w:rPr>
        <w:t xml:space="preserve">Red </w:t>
      </w:r>
      <w:r w:rsidRPr="00602FD3">
        <w:t xml:space="preserve">status’. The implications are that if a single CU is the </w:t>
      </w:r>
      <w:r w:rsidRPr="00602FD3">
        <w:rPr>
          <w:i/>
          <w:iCs/>
        </w:rPr>
        <w:t xml:space="preserve">Red </w:t>
      </w:r>
      <w:r w:rsidRPr="00602FD3">
        <w:t>status zone, the SMU is assessed as being below its LRP, which in turn triggers a DFO rebuilding plan for the SMU.</w:t>
      </w:r>
    </w:p>
    <w:p w14:paraId="160FB52F" w14:textId="77777777" w:rsidR="001773C4" w:rsidRPr="0062047B" w:rsidRDefault="001773C4" w:rsidP="001773C4">
      <w:pPr>
        <w:pStyle w:val="Heading1"/>
      </w:pPr>
      <w:r w:rsidRPr="0062047B">
        <w:t>Forewords</w:t>
      </w:r>
    </w:p>
    <w:p w14:paraId="73A67DC0" w14:textId="77777777" w:rsidR="001773C4" w:rsidRDefault="001773C4" w:rsidP="001773C4">
      <w:pPr>
        <w:rPr>
          <w:b/>
          <w:bCs/>
        </w:rPr>
      </w:pPr>
      <w:r w:rsidRPr="00CC6947">
        <w:rPr>
          <w:color w:val="FF0000"/>
          <w:highlight w:val="yellow"/>
        </w:rPr>
        <w:t>Please fill in with perspectives or values that are not captured through the Rapid Status Assessment algorithm. Include whom the foreword</w:t>
      </w:r>
      <w:r>
        <w:rPr>
          <w:color w:val="FF0000"/>
          <w:highlight w:val="yellow"/>
        </w:rPr>
        <w:t>s</w:t>
      </w:r>
      <w:r w:rsidRPr="00CC6947">
        <w:rPr>
          <w:color w:val="FF0000"/>
          <w:highlight w:val="yellow"/>
        </w:rPr>
        <w:t xml:space="preserve"> should be attributed to (may be a group or individual</w:t>
      </w:r>
      <w:r>
        <w:rPr>
          <w:color w:val="FF0000"/>
          <w:highlight w:val="yellow"/>
        </w:rPr>
        <w:t>s</w:t>
      </w:r>
      <w:r w:rsidRPr="00CC6947">
        <w:rPr>
          <w:color w:val="FF0000"/>
          <w:highlight w:val="yellow"/>
        </w:rPr>
        <w:t>).</w:t>
      </w:r>
    </w:p>
    <w:p w14:paraId="4093BE1C" w14:textId="3F8E1393" w:rsidR="00EE3081" w:rsidRPr="004D7AF4" w:rsidRDefault="00EE3081" w:rsidP="00EE3081">
      <w:pPr>
        <w:pStyle w:val="Heading1"/>
      </w:pPr>
      <w:r>
        <w:t>Data</w:t>
      </w:r>
    </w:p>
    <w:p w14:paraId="5726BD8B" w14:textId="08F6A1C5" w:rsidR="005F1362" w:rsidRDefault="00EE3081" w:rsidP="005F1362">
      <w:pPr>
        <w:pStyle w:val="Caption"/>
        <w:keepNext/>
        <w:rPr>
          <w:rFonts w:asciiTheme="minorHAnsi" w:eastAsiaTheme="minorHAnsi" w:hAnsiTheme="minorHAnsi" w:cstheme="minorHAnsi"/>
          <w:bCs w:val="0"/>
          <w:sz w:val="22"/>
          <w:szCs w:val="22"/>
          <w:lang w:val="en-US"/>
        </w:rPr>
      </w:pPr>
      <w:r w:rsidRPr="001773C4">
        <w:rPr>
          <w:rFonts w:asciiTheme="minorHAnsi" w:hAnsiTheme="minorHAnsi" w:cstheme="minorHAnsi"/>
          <w:sz w:val="22"/>
          <w:szCs w:val="22"/>
        </w:rPr>
        <w:t xml:space="preserve">There </w:t>
      </w:r>
      <w:r w:rsidR="00C76AF8" w:rsidRPr="001773C4">
        <w:rPr>
          <w:rFonts w:asciiTheme="minorHAnsi" w:hAnsiTheme="minorHAnsi" w:cstheme="minorHAnsi"/>
          <w:sz w:val="22"/>
          <w:szCs w:val="22"/>
        </w:rPr>
        <w:t>is one</w:t>
      </w:r>
      <w:r w:rsidRPr="001773C4">
        <w:rPr>
          <w:rFonts w:asciiTheme="minorHAnsi" w:hAnsiTheme="minorHAnsi" w:cstheme="minorHAnsi"/>
          <w:sz w:val="22"/>
          <w:szCs w:val="22"/>
        </w:rPr>
        <w:t xml:space="preserve"> CU</w:t>
      </w:r>
      <w:r w:rsidR="00C76AF8" w:rsidRPr="001773C4">
        <w:rPr>
          <w:rFonts w:asciiTheme="minorHAnsi" w:hAnsiTheme="minorHAnsi" w:cstheme="minorHAnsi"/>
          <w:sz w:val="22"/>
          <w:szCs w:val="22"/>
        </w:rPr>
        <w:t xml:space="preserve"> </w:t>
      </w:r>
      <w:r w:rsidRPr="001773C4">
        <w:rPr>
          <w:rFonts w:asciiTheme="minorHAnsi" w:hAnsiTheme="minorHAnsi" w:cstheme="minorHAnsi"/>
          <w:sz w:val="22"/>
          <w:szCs w:val="22"/>
        </w:rPr>
        <w:t xml:space="preserve">within the </w:t>
      </w:r>
      <w:r w:rsidR="00C76AF8" w:rsidRPr="001773C4">
        <w:rPr>
          <w:rFonts w:asciiTheme="minorHAnsi" w:hAnsiTheme="minorHAnsi" w:cstheme="minorHAnsi"/>
          <w:sz w:val="22"/>
          <w:szCs w:val="22"/>
        </w:rPr>
        <w:t>Fraser Pink</w:t>
      </w:r>
      <w:r w:rsidR="00495C72" w:rsidRPr="001773C4">
        <w:rPr>
          <w:rFonts w:asciiTheme="minorHAnsi" w:hAnsiTheme="minorHAnsi" w:cstheme="minorHAnsi"/>
          <w:sz w:val="22"/>
          <w:szCs w:val="22"/>
        </w:rPr>
        <w:t xml:space="preserve"> </w:t>
      </w:r>
      <w:r w:rsidR="00BF5A64">
        <w:rPr>
          <w:rFonts w:asciiTheme="minorHAnsi" w:hAnsiTheme="minorHAnsi" w:cstheme="minorHAnsi"/>
          <w:sz w:val="22"/>
          <w:szCs w:val="22"/>
        </w:rPr>
        <w:t>Salmon-</w:t>
      </w:r>
      <w:r w:rsidR="00495C72" w:rsidRPr="001773C4">
        <w:rPr>
          <w:rFonts w:asciiTheme="minorHAnsi" w:hAnsiTheme="minorHAnsi" w:cstheme="minorHAnsi"/>
          <w:sz w:val="22"/>
          <w:szCs w:val="22"/>
        </w:rPr>
        <w:t>Odd</w:t>
      </w:r>
      <w:r w:rsidRPr="001773C4">
        <w:rPr>
          <w:rFonts w:asciiTheme="minorHAnsi" w:hAnsiTheme="minorHAnsi" w:cstheme="minorHAnsi"/>
          <w:sz w:val="22"/>
          <w:szCs w:val="22"/>
        </w:rPr>
        <w:t xml:space="preserve"> SMU</w:t>
      </w:r>
      <w:r w:rsidR="00495C72" w:rsidRPr="001773C4">
        <w:rPr>
          <w:rFonts w:asciiTheme="minorHAnsi" w:hAnsiTheme="minorHAnsi" w:cstheme="minorHAnsi"/>
          <w:sz w:val="22"/>
          <w:szCs w:val="22"/>
        </w:rPr>
        <w:t>: Fraser Pink</w:t>
      </w:r>
      <w:r w:rsidR="00BF5A64">
        <w:rPr>
          <w:rFonts w:asciiTheme="minorHAnsi" w:hAnsiTheme="minorHAnsi" w:cstheme="minorHAnsi"/>
          <w:sz w:val="22"/>
          <w:szCs w:val="22"/>
        </w:rPr>
        <w:t>0Odd</w:t>
      </w:r>
      <w:r w:rsidR="00621A4D">
        <w:rPr>
          <w:rFonts w:asciiTheme="minorHAnsi" w:hAnsiTheme="minorHAnsi" w:cstheme="minorHAnsi"/>
          <w:sz w:val="22"/>
          <w:szCs w:val="22"/>
        </w:rPr>
        <w:t>A</w:t>
      </w:r>
      <w:r w:rsidR="00495C72" w:rsidRPr="001773C4">
        <w:rPr>
          <w:rFonts w:asciiTheme="minorHAnsi" w:hAnsiTheme="minorHAnsi" w:cstheme="minorHAnsi"/>
          <w:sz w:val="22"/>
          <w:szCs w:val="22"/>
        </w:rPr>
        <w:t xml:space="preserve"> (PKO-1)</w:t>
      </w:r>
      <w:r w:rsidR="00C54A28" w:rsidRPr="001773C4">
        <w:rPr>
          <w:rFonts w:asciiTheme="minorHAnsi" w:hAnsiTheme="minorHAnsi" w:cstheme="minorHAnsi"/>
          <w:sz w:val="22"/>
          <w:szCs w:val="22"/>
        </w:rPr>
        <w:t xml:space="preserve"> (Table 1)</w:t>
      </w:r>
      <w:r w:rsidRPr="001773C4">
        <w:rPr>
          <w:rFonts w:asciiTheme="minorHAnsi" w:hAnsiTheme="minorHAnsi" w:cstheme="minorHAnsi"/>
          <w:sz w:val="22"/>
          <w:szCs w:val="22"/>
        </w:rPr>
        <w:t xml:space="preserve">. </w:t>
      </w:r>
      <w:r w:rsidRPr="001773C4">
        <w:rPr>
          <w:rFonts w:asciiTheme="minorHAnsi" w:eastAsiaTheme="minorHAnsi" w:hAnsiTheme="minorHAnsi" w:cstheme="minorHAnsi"/>
          <w:bCs w:val="0"/>
          <w:sz w:val="22"/>
          <w:szCs w:val="22"/>
          <w:lang w:val="en-US"/>
        </w:rPr>
        <w:t xml:space="preserve">The data sets used in this assessment are documented </w:t>
      </w:r>
      <w:r w:rsidR="00C76AF8" w:rsidRPr="001773C4">
        <w:rPr>
          <w:rFonts w:asciiTheme="minorHAnsi" w:eastAsiaTheme="minorHAnsi" w:hAnsiTheme="minorHAnsi" w:cstheme="minorHAnsi"/>
          <w:bCs w:val="0"/>
          <w:sz w:val="22"/>
          <w:szCs w:val="22"/>
          <w:lang w:val="en-US"/>
        </w:rPr>
        <w:t xml:space="preserve">in </w:t>
      </w:r>
      <w:r w:rsidR="00C76AF8" w:rsidRPr="001773C4">
        <w:rPr>
          <w:rFonts w:asciiTheme="minorHAnsi" w:eastAsiaTheme="minorHAnsi" w:hAnsiTheme="minorHAnsi" w:cstheme="minorHAnsi"/>
          <w:bCs w:val="0"/>
          <w:sz w:val="22"/>
          <w:szCs w:val="22"/>
          <w:lang w:val="en-US"/>
        </w:rPr>
        <w:fldChar w:fldCharType="begin" w:fldLock="1"/>
      </w:r>
      <w:r w:rsidR="00CC0878" w:rsidRPr="001773C4">
        <w:rPr>
          <w:rFonts w:asciiTheme="minorHAnsi" w:eastAsiaTheme="minorHAnsi" w:hAnsiTheme="minorHAnsi" w:cstheme="minorHAnsi"/>
          <w:bCs w:val="0"/>
          <w:sz w:val="22"/>
          <w:szCs w:val="22"/>
          <w:lang w:val="en-US"/>
        </w:rPr>
        <w:instrText>ADDIN CSL_CITATION {"citationItems":[{"id":"ITEM-1","itemData":{"author":[{"dropping-particle":"","family":"Grant","given":"S.C.H.","non-dropping-particle":"","parse-names":false,"suffix":""},{"dropping-particle":"","family":"Townsend","given":"M.","non-dropping-particle":"","parse-names":false,"suffix":""},{"dropping-particle":"","family":"White","given":"B.","non-dropping-particle":"","parse-names":false,"suffix":""},{"dropping-particle":"","family":"Lapointe","given":"M.","non-dropping-particle":"","parse-names":false,"suffix":""}],"id":"ITEM-1","issued":{"date-parts":[["2014"]]},"number-of-pages":"viii + 90 pp.","title":"Fraser River Pink Salmon (&lt;i&gt;Oncorhynchus gorbuscha&lt;/i&gt;) data review: inputs for biological status and escapement goals. Final project report to Southern Boundary Restoration and Enhancement Fund","type":"book"},"uris":["http://www.mendeley.com/documents/?uuid=b91286c9-2e1b-4221-825b-2730e35cffe9"]}],"mendeley":{"formattedCitation":"(Grant et al. 2014)","plainTextFormattedCitation":"(Grant et al. 2014)","previouslyFormattedCitation":"(Grant et al. 2014)"},"properties":{"noteIndex":0},"schema":"https://github.com/citation-style-language/schema/raw/master/csl-citation.json"}</w:instrText>
      </w:r>
      <w:r w:rsidR="00C76AF8" w:rsidRPr="001773C4">
        <w:rPr>
          <w:rFonts w:asciiTheme="minorHAnsi" w:eastAsiaTheme="minorHAnsi" w:hAnsiTheme="minorHAnsi" w:cstheme="minorHAnsi"/>
          <w:bCs w:val="0"/>
          <w:sz w:val="22"/>
          <w:szCs w:val="22"/>
          <w:lang w:val="en-US"/>
        </w:rPr>
        <w:fldChar w:fldCharType="separate"/>
      </w:r>
      <w:r w:rsidR="00763ABF" w:rsidRPr="001773C4">
        <w:rPr>
          <w:rFonts w:asciiTheme="minorHAnsi" w:eastAsiaTheme="minorHAnsi" w:hAnsiTheme="minorHAnsi" w:cstheme="minorHAnsi"/>
          <w:bCs w:val="0"/>
          <w:noProof/>
          <w:sz w:val="22"/>
          <w:szCs w:val="22"/>
          <w:lang w:val="en-US"/>
        </w:rPr>
        <w:t>(Grant et al. 2014)</w:t>
      </w:r>
      <w:r w:rsidR="00C76AF8" w:rsidRPr="001773C4">
        <w:rPr>
          <w:rFonts w:asciiTheme="minorHAnsi" w:eastAsiaTheme="minorHAnsi" w:hAnsiTheme="minorHAnsi" w:cstheme="minorHAnsi"/>
          <w:bCs w:val="0"/>
          <w:sz w:val="22"/>
          <w:szCs w:val="22"/>
          <w:lang w:val="en-US"/>
        </w:rPr>
        <w:fldChar w:fldCharType="end"/>
      </w:r>
      <w:r w:rsidR="009C1C9C" w:rsidRPr="001773C4">
        <w:rPr>
          <w:rFonts w:asciiTheme="minorHAnsi" w:eastAsiaTheme="minorHAnsi" w:hAnsiTheme="minorHAnsi" w:cstheme="minorHAnsi"/>
          <w:bCs w:val="0"/>
          <w:sz w:val="22"/>
          <w:szCs w:val="22"/>
          <w:lang w:val="en-US"/>
        </w:rPr>
        <w:t xml:space="preserve"> and were updated through 2023 with data form the Pacific Salmon Commission</w:t>
      </w:r>
      <w:r w:rsidRPr="001773C4">
        <w:rPr>
          <w:rFonts w:asciiTheme="minorHAnsi" w:eastAsiaTheme="minorHAnsi" w:hAnsiTheme="minorHAnsi" w:cstheme="minorHAnsi"/>
          <w:bCs w:val="0"/>
          <w:sz w:val="22"/>
          <w:szCs w:val="22"/>
          <w:lang w:val="en-US"/>
        </w:rPr>
        <w:t>.</w:t>
      </w:r>
      <w:r w:rsidR="00CC0878" w:rsidRPr="001773C4">
        <w:rPr>
          <w:rFonts w:asciiTheme="minorHAnsi" w:eastAsiaTheme="minorHAnsi" w:hAnsiTheme="minorHAnsi" w:cstheme="minorHAnsi"/>
          <w:bCs w:val="0"/>
          <w:sz w:val="22"/>
          <w:szCs w:val="22"/>
          <w:lang w:val="en-US"/>
        </w:rPr>
        <w:t xml:space="preserve"> It was determined that these data cannot be used for the absolute abundance metric, though can be applied to the relative abundance metric.</w:t>
      </w:r>
      <w:r w:rsidR="005F1362" w:rsidRPr="001773C4">
        <w:rPr>
          <w:rFonts w:asciiTheme="minorHAnsi" w:eastAsiaTheme="minorHAnsi" w:hAnsiTheme="minorHAnsi" w:cstheme="minorHAnsi"/>
          <w:bCs w:val="0"/>
          <w:sz w:val="22"/>
          <w:szCs w:val="22"/>
          <w:lang w:val="en-US"/>
        </w:rPr>
        <w:t xml:space="preserve"> Fraser Pinks return in odd years, so status assessments are conducted for odd years only. Pink even year returns are negligible, and therefore, there is no corresponding Fraser Pink CU for these years.</w:t>
      </w:r>
    </w:p>
    <w:p w14:paraId="55A2BAB9" w14:textId="3350A8CA" w:rsidR="003E7E61" w:rsidRPr="003E7E61" w:rsidRDefault="003E7E61" w:rsidP="003E7E61">
      <w:r>
        <w:t xml:space="preserve">Spawner abundance methods have changed over the time series, with no inter-calibration between years (Grant et al. 2014) (Table 1). Since 1993, spawner abundances are not available for individual Fraser tributaries. Therefore, the underlying distribution of spawners cannot be determined. Spawner distribution may be particularly important for the Fraser Pink CU, given their broad distribution in the Fraser watershed. Fraser Pink salmon have recently been observed in several tributaries of the upper Fraser River where they haven’t been consistently observed for many years.  The broad distribution </w:t>
      </w:r>
      <w:r>
        <w:lastRenderedPageBreak/>
        <w:t>throughout the Fraser River likely increases the uncertainty of the relative-abundance benchmarks as there is potential stock structure that is currently unaccounted for.</w:t>
      </w:r>
    </w:p>
    <w:p w14:paraId="77A4FC25" w14:textId="3C6943ED" w:rsidR="00EE3081" w:rsidRPr="001773C4" w:rsidRDefault="00EE3081" w:rsidP="00E43885">
      <w:pPr>
        <w:pStyle w:val="Caption"/>
        <w:keepNext/>
        <w:spacing w:before="240"/>
        <w:rPr>
          <w:rFonts w:asciiTheme="minorHAnsi" w:hAnsiTheme="minorHAnsi" w:cstheme="minorHAnsi"/>
          <w:sz w:val="22"/>
          <w:szCs w:val="22"/>
        </w:rPr>
      </w:pPr>
      <w:r w:rsidRPr="001773C4">
        <w:rPr>
          <w:rFonts w:asciiTheme="minorHAnsi" w:hAnsiTheme="minorHAnsi" w:cstheme="minorHAnsi"/>
          <w:sz w:val="22"/>
          <w:szCs w:val="22"/>
        </w:rPr>
        <w:t xml:space="preserve">Table </w:t>
      </w:r>
      <w:r w:rsidRPr="001773C4">
        <w:rPr>
          <w:rFonts w:asciiTheme="minorHAnsi" w:hAnsiTheme="minorHAnsi" w:cstheme="minorHAnsi"/>
          <w:sz w:val="22"/>
          <w:szCs w:val="22"/>
        </w:rPr>
        <w:fldChar w:fldCharType="begin"/>
      </w:r>
      <w:r w:rsidRPr="001773C4">
        <w:rPr>
          <w:rFonts w:asciiTheme="minorHAnsi" w:hAnsiTheme="minorHAnsi" w:cstheme="minorHAnsi"/>
          <w:sz w:val="22"/>
          <w:szCs w:val="22"/>
        </w:rPr>
        <w:instrText xml:space="preserve"> SEQ Table \* ARABIC </w:instrText>
      </w:r>
      <w:r w:rsidRPr="001773C4">
        <w:rPr>
          <w:rFonts w:asciiTheme="minorHAnsi" w:hAnsiTheme="minorHAnsi" w:cstheme="minorHAnsi"/>
          <w:sz w:val="22"/>
          <w:szCs w:val="22"/>
        </w:rPr>
        <w:fldChar w:fldCharType="separate"/>
      </w:r>
      <w:r w:rsidRPr="001773C4">
        <w:rPr>
          <w:rFonts w:asciiTheme="minorHAnsi" w:hAnsiTheme="minorHAnsi" w:cstheme="minorHAnsi"/>
          <w:noProof/>
          <w:sz w:val="22"/>
          <w:szCs w:val="22"/>
        </w:rPr>
        <w:t>1</w:t>
      </w:r>
      <w:r w:rsidRPr="001773C4">
        <w:rPr>
          <w:rFonts w:asciiTheme="minorHAnsi" w:hAnsiTheme="minorHAnsi" w:cstheme="minorHAnsi"/>
          <w:sz w:val="22"/>
          <w:szCs w:val="22"/>
        </w:rPr>
        <w:fldChar w:fldCharType="end"/>
      </w:r>
      <w:r w:rsidRPr="001773C4">
        <w:rPr>
          <w:rFonts w:asciiTheme="minorHAnsi" w:hAnsiTheme="minorHAnsi" w:cstheme="minorHAnsi"/>
          <w:sz w:val="22"/>
          <w:szCs w:val="22"/>
        </w:rPr>
        <w:t>. Conservation Units included in this Stock Management Unit and lists of the most abundant populations within each Conservation Unit.</w:t>
      </w:r>
    </w:p>
    <w:tbl>
      <w:tblPr>
        <w:tblStyle w:val="TableGrid"/>
        <w:tblW w:w="9445" w:type="dxa"/>
        <w:tblLook w:val="04A0" w:firstRow="1" w:lastRow="0" w:firstColumn="1" w:lastColumn="0" w:noHBand="0" w:noVBand="1"/>
      </w:tblPr>
      <w:tblGrid>
        <w:gridCol w:w="985"/>
        <w:gridCol w:w="3240"/>
        <w:gridCol w:w="5220"/>
      </w:tblGrid>
      <w:tr w:rsidR="00EE3081" w:rsidRPr="001773C4" w14:paraId="53261DD1" w14:textId="77777777" w:rsidTr="00E43885">
        <w:tc>
          <w:tcPr>
            <w:tcW w:w="985" w:type="dxa"/>
          </w:tcPr>
          <w:p w14:paraId="0F6A213D" w14:textId="77777777" w:rsidR="00EE3081" w:rsidRPr="001773C4" w:rsidRDefault="00EE3081" w:rsidP="00D34291">
            <w:pPr>
              <w:rPr>
                <w:rFonts w:cstheme="minorHAnsi"/>
                <w:b/>
                <w:bCs/>
              </w:rPr>
            </w:pPr>
            <w:r w:rsidRPr="001773C4">
              <w:rPr>
                <w:rFonts w:cstheme="minorHAnsi"/>
                <w:b/>
                <w:bCs/>
              </w:rPr>
              <w:t>CU No#</w:t>
            </w:r>
          </w:p>
        </w:tc>
        <w:tc>
          <w:tcPr>
            <w:tcW w:w="3240" w:type="dxa"/>
          </w:tcPr>
          <w:p w14:paraId="7589D622" w14:textId="77777777" w:rsidR="00EE3081" w:rsidRPr="001773C4" w:rsidRDefault="00EE3081" w:rsidP="00D34291">
            <w:pPr>
              <w:rPr>
                <w:rFonts w:cstheme="minorHAnsi"/>
                <w:b/>
                <w:bCs/>
              </w:rPr>
            </w:pPr>
            <w:r w:rsidRPr="001773C4">
              <w:rPr>
                <w:rFonts w:cstheme="minorHAnsi"/>
                <w:b/>
                <w:bCs/>
              </w:rPr>
              <w:t>CU name</w:t>
            </w:r>
          </w:p>
        </w:tc>
        <w:tc>
          <w:tcPr>
            <w:tcW w:w="5220" w:type="dxa"/>
          </w:tcPr>
          <w:p w14:paraId="43E8C04D" w14:textId="77777777" w:rsidR="00EE3081" w:rsidRPr="001773C4" w:rsidRDefault="00EE3081" w:rsidP="00D34291">
            <w:pPr>
              <w:rPr>
                <w:rFonts w:cstheme="minorHAnsi"/>
                <w:b/>
                <w:bCs/>
              </w:rPr>
            </w:pPr>
            <w:r w:rsidRPr="001773C4">
              <w:rPr>
                <w:rFonts w:cstheme="minorHAnsi"/>
                <w:b/>
                <w:bCs/>
              </w:rPr>
              <w:t>Populations</w:t>
            </w:r>
          </w:p>
        </w:tc>
      </w:tr>
      <w:tr w:rsidR="00EE3081" w:rsidRPr="001773C4" w14:paraId="2A9FCDDD" w14:textId="77777777" w:rsidTr="00E43885">
        <w:tc>
          <w:tcPr>
            <w:tcW w:w="985" w:type="dxa"/>
          </w:tcPr>
          <w:p w14:paraId="7852BE94" w14:textId="4E67B977" w:rsidR="00EE3081" w:rsidRPr="001773C4" w:rsidRDefault="00495C72" w:rsidP="00D34291">
            <w:pPr>
              <w:rPr>
                <w:rFonts w:cstheme="minorHAnsi"/>
                <w:b/>
                <w:bCs/>
              </w:rPr>
            </w:pPr>
            <w:r w:rsidRPr="001773C4">
              <w:rPr>
                <w:rFonts w:cstheme="minorHAnsi"/>
                <w:b/>
                <w:bCs/>
              </w:rPr>
              <w:t>PKO-1</w:t>
            </w:r>
          </w:p>
        </w:tc>
        <w:tc>
          <w:tcPr>
            <w:tcW w:w="3240" w:type="dxa"/>
          </w:tcPr>
          <w:p w14:paraId="785E021B" w14:textId="751A2982" w:rsidR="005F1362" w:rsidRPr="001773C4" w:rsidRDefault="00C76AF8" w:rsidP="00D34291">
            <w:pPr>
              <w:rPr>
                <w:rFonts w:cstheme="minorHAnsi"/>
                <w:b/>
                <w:bCs/>
              </w:rPr>
            </w:pPr>
            <w:r w:rsidRPr="001773C4">
              <w:rPr>
                <w:rFonts w:cstheme="minorHAnsi"/>
                <w:b/>
                <w:bCs/>
              </w:rPr>
              <w:t>Fraser Pink</w:t>
            </w:r>
            <w:r w:rsidR="00BF5A64">
              <w:rPr>
                <w:rFonts w:cstheme="minorHAnsi"/>
                <w:b/>
                <w:bCs/>
              </w:rPr>
              <w:t>-</w:t>
            </w:r>
            <w:r w:rsidR="005F1362" w:rsidRPr="001773C4">
              <w:rPr>
                <w:rFonts w:cstheme="minorHAnsi"/>
                <w:b/>
                <w:bCs/>
              </w:rPr>
              <w:t xml:space="preserve">Odd </w:t>
            </w:r>
          </w:p>
          <w:p w14:paraId="196623F0" w14:textId="480BFB23" w:rsidR="00EE3081" w:rsidRPr="001773C4" w:rsidRDefault="00EE3081" w:rsidP="00D34291">
            <w:pPr>
              <w:rPr>
                <w:rFonts w:cstheme="minorHAnsi"/>
                <w:b/>
                <w:bCs/>
              </w:rPr>
            </w:pPr>
          </w:p>
        </w:tc>
        <w:tc>
          <w:tcPr>
            <w:tcW w:w="5220" w:type="dxa"/>
          </w:tcPr>
          <w:p w14:paraId="62CC5E5F" w14:textId="06E0DBC4" w:rsidR="001268B0" w:rsidRPr="001773C4" w:rsidRDefault="003E7E61" w:rsidP="00D34291">
            <w:pPr>
              <w:rPr>
                <w:rFonts w:cstheme="minorHAnsi"/>
              </w:rPr>
            </w:pPr>
            <w:r>
              <w:rPr>
                <w:rFonts w:cstheme="minorHAnsi"/>
              </w:rPr>
              <w:t>Spawner abundance</w:t>
            </w:r>
            <w:r w:rsidR="001268B0" w:rsidRPr="001773C4">
              <w:rPr>
                <w:rFonts w:cstheme="minorHAnsi"/>
              </w:rPr>
              <w:t xml:space="preserve"> methods</w:t>
            </w:r>
            <w:r w:rsidR="005F1362" w:rsidRPr="001773C4">
              <w:rPr>
                <w:rFonts w:cstheme="minorHAnsi"/>
              </w:rPr>
              <w:t xml:space="preserve"> conducted in odd years</w:t>
            </w:r>
            <w:r w:rsidR="001268B0" w:rsidRPr="001773C4">
              <w:rPr>
                <w:rFonts w:cstheme="minorHAnsi"/>
              </w:rPr>
              <w:t xml:space="preserve"> changed over the time series</w:t>
            </w:r>
            <w:r w:rsidR="0002555C" w:rsidRPr="001773C4">
              <w:rPr>
                <w:rFonts w:cstheme="minorHAnsi"/>
              </w:rPr>
              <w:t xml:space="preserve"> (Grant et al. 2014)</w:t>
            </w:r>
            <w:r w:rsidR="001268B0" w:rsidRPr="001773C4">
              <w:rPr>
                <w:rFonts w:cstheme="minorHAnsi"/>
              </w:rPr>
              <w:t>:</w:t>
            </w:r>
          </w:p>
          <w:p w14:paraId="57C7975E" w14:textId="17D83A44" w:rsidR="001268B0" w:rsidRPr="001773C4" w:rsidRDefault="001268B0" w:rsidP="00D34291">
            <w:pPr>
              <w:rPr>
                <w:rFonts w:cstheme="minorHAnsi"/>
              </w:rPr>
            </w:pPr>
            <w:r w:rsidRPr="001773C4">
              <w:rPr>
                <w:rFonts w:cstheme="minorHAnsi"/>
              </w:rPr>
              <w:t>1961-1991: stream-specific methods</w:t>
            </w:r>
            <w:r w:rsidR="00CC0878" w:rsidRPr="001773C4">
              <w:rPr>
                <w:rFonts w:cstheme="minorHAnsi"/>
              </w:rPr>
              <w:t xml:space="preserve"> (Lower Fraser; Fraser Canyon; Upper Fraser; Seton-Anderson; Thompson; Harrison; Vedder-Chilliwack)</w:t>
            </w:r>
          </w:p>
          <w:p w14:paraId="53C1C032" w14:textId="3A0091BA" w:rsidR="00E43885" w:rsidRPr="001773C4" w:rsidRDefault="001268B0" w:rsidP="00D34291">
            <w:pPr>
              <w:rPr>
                <w:rFonts w:cstheme="minorHAnsi"/>
              </w:rPr>
            </w:pPr>
            <w:r w:rsidRPr="001773C4">
              <w:rPr>
                <w:rFonts w:cstheme="minorHAnsi"/>
              </w:rPr>
              <w:t xml:space="preserve">1993-2001: system-wide mark recaptures </w:t>
            </w:r>
          </w:p>
          <w:p w14:paraId="55B0A1B3" w14:textId="77777777" w:rsidR="00E43885" w:rsidRPr="001773C4" w:rsidRDefault="00E43885" w:rsidP="00D34291">
            <w:pPr>
              <w:rPr>
                <w:rFonts w:cstheme="minorHAnsi"/>
              </w:rPr>
            </w:pPr>
            <w:r w:rsidRPr="001773C4">
              <w:rPr>
                <w:rFonts w:cstheme="minorHAnsi"/>
              </w:rPr>
              <w:t xml:space="preserve">2003-2007: </w:t>
            </w:r>
            <w:r w:rsidR="001268B0" w:rsidRPr="001773C4">
              <w:rPr>
                <w:rFonts w:cstheme="minorHAnsi"/>
              </w:rPr>
              <w:t xml:space="preserve">indirect system-wide test-fishery estimates </w:t>
            </w:r>
          </w:p>
          <w:p w14:paraId="7E7D5E83" w14:textId="1B4E6A60" w:rsidR="00EE3081" w:rsidRPr="001773C4" w:rsidRDefault="00E43885" w:rsidP="00D34291">
            <w:pPr>
              <w:rPr>
                <w:rFonts w:cstheme="minorHAnsi"/>
              </w:rPr>
            </w:pPr>
            <w:r w:rsidRPr="001773C4">
              <w:rPr>
                <w:rFonts w:cstheme="minorHAnsi"/>
              </w:rPr>
              <w:t>2009-20</w:t>
            </w:r>
            <w:r w:rsidR="0002555C" w:rsidRPr="001773C4">
              <w:rPr>
                <w:rFonts w:cstheme="minorHAnsi"/>
              </w:rPr>
              <w:t>23</w:t>
            </w:r>
            <w:r w:rsidRPr="001773C4">
              <w:rPr>
                <w:rFonts w:cstheme="minorHAnsi"/>
              </w:rPr>
              <w:t xml:space="preserve">: </w:t>
            </w:r>
            <w:r w:rsidR="001268B0" w:rsidRPr="001773C4">
              <w:rPr>
                <w:rFonts w:cstheme="minorHAnsi"/>
              </w:rPr>
              <w:t xml:space="preserve">system-wide hydroacoustic estimates </w:t>
            </w:r>
          </w:p>
        </w:tc>
      </w:tr>
    </w:tbl>
    <w:p w14:paraId="6E867D8F" w14:textId="77777777" w:rsidR="00EE3081" w:rsidRPr="001773C4" w:rsidRDefault="00EE3081" w:rsidP="00EE3081">
      <w:pPr>
        <w:rPr>
          <w:rFonts w:cstheme="minorHAnsi"/>
          <w:b/>
          <w:bCs/>
        </w:rPr>
      </w:pPr>
    </w:p>
    <w:p w14:paraId="6F9B20D1" w14:textId="64452235" w:rsidR="00612A6F" w:rsidRPr="001773C4" w:rsidRDefault="00EE3081" w:rsidP="001D28BB">
      <w:pPr>
        <w:spacing w:before="120" w:line="240" w:lineRule="auto"/>
        <w:rPr>
          <w:rFonts w:cstheme="minorHAnsi"/>
          <w:lang w:val="en-CA"/>
        </w:rPr>
      </w:pPr>
      <w:bookmarkStart w:id="0" w:name="_Hlk184708900"/>
      <w:bookmarkStart w:id="1" w:name="_Hlk184709202"/>
      <w:r w:rsidRPr="001773C4">
        <w:rPr>
          <w:rFonts w:cstheme="minorHAnsi"/>
          <w:b/>
          <w:bCs/>
        </w:rPr>
        <w:t>Relative Abundance Benchmarks:</w:t>
      </w:r>
      <w:bookmarkEnd w:id="0"/>
      <w:r w:rsidRPr="001773C4">
        <w:rPr>
          <w:rFonts w:cstheme="minorHAnsi"/>
          <w:b/>
          <w:bCs/>
        </w:rPr>
        <w:t xml:space="preserve"> </w:t>
      </w:r>
      <w:bookmarkEnd w:id="1"/>
      <w:r w:rsidR="00C54A28" w:rsidRPr="001773C4">
        <w:rPr>
          <w:rFonts w:cstheme="minorHAnsi"/>
        </w:rPr>
        <w:t>R</w:t>
      </w:r>
      <w:r w:rsidRPr="001773C4">
        <w:rPr>
          <w:rFonts w:cstheme="minorHAnsi"/>
        </w:rPr>
        <w:t>elative abundance lower (</w:t>
      </w:r>
      <w:proofErr w:type="spellStart"/>
      <w:r w:rsidRPr="001773C4">
        <w:rPr>
          <w:rFonts w:cstheme="minorHAnsi"/>
        </w:rPr>
        <w:t>S</w:t>
      </w:r>
      <w:r w:rsidRPr="001773C4">
        <w:rPr>
          <w:rFonts w:cstheme="minorHAnsi"/>
          <w:vertAlign w:val="subscript"/>
        </w:rPr>
        <w:t>gen</w:t>
      </w:r>
      <w:proofErr w:type="spellEnd"/>
      <w:r w:rsidRPr="001773C4">
        <w:rPr>
          <w:rFonts w:cstheme="minorHAnsi"/>
        </w:rPr>
        <w:t>: recovery to spawners at maximum sustainable yield (S</w:t>
      </w:r>
      <w:r w:rsidRPr="001773C4">
        <w:rPr>
          <w:rFonts w:cstheme="minorHAnsi"/>
          <w:vertAlign w:val="subscript"/>
        </w:rPr>
        <w:t>MSY</w:t>
      </w:r>
      <w:r w:rsidRPr="001773C4">
        <w:rPr>
          <w:rFonts w:cstheme="minorHAnsi"/>
        </w:rPr>
        <w:t>)) and upper (80% S</w:t>
      </w:r>
      <w:r w:rsidRPr="001773C4">
        <w:rPr>
          <w:rFonts w:cstheme="minorHAnsi"/>
          <w:vertAlign w:val="subscript"/>
        </w:rPr>
        <w:t>MSY</w:t>
      </w:r>
      <w:r w:rsidRPr="001773C4">
        <w:rPr>
          <w:rFonts w:cstheme="minorHAnsi"/>
        </w:rPr>
        <w:t>) benchmarks</w:t>
      </w:r>
      <w:r w:rsidR="00C54A28" w:rsidRPr="001773C4">
        <w:rPr>
          <w:rFonts w:cstheme="minorHAnsi"/>
        </w:rPr>
        <w:t xml:space="preserve"> for the Fraser Pink Odd return year SMU/CU are presented in </w:t>
      </w:r>
      <w:r w:rsidRPr="001773C4">
        <w:rPr>
          <w:rFonts w:cstheme="minorHAnsi"/>
        </w:rPr>
        <w:t>Table 2</w:t>
      </w:r>
      <w:r w:rsidR="00526CAE">
        <w:rPr>
          <w:rFonts w:cstheme="minorHAnsi"/>
        </w:rPr>
        <w:t xml:space="preserve"> </w:t>
      </w:r>
      <w:r w:rsidR="00A12C10">
        <w:rPr>
          <w:rFonts w:cstheme="minorHAnsi"/>
        </w:rPr>
        <w:t>(Glaser et al., In press)</w:t>
      </w:r>
      <w:r w:rsidR="00A12C10">
        <w:rPr>
          <w:rStyle w:val="FootnoteReference"/>
          <w:rFonts w:cstheme="minorHAnsi"/>
        </w:rPr>
        <w:footnoteReference w:id="1"/>
      </w:r>
      <w:r w:rsidR="00E43885" w:rsidRPr="001773C4">
        <w:rPr>
          <w:rFonts w:cstheme="minorHAnsi"/>
        </w:rPr>
        <w:t>.</w:t>
      </w:r>
    </w:p>
    <w:p w14:paraId="53F882DA" w14:textId="3B321B13" w:rsidR="00EE3081" w:rsidRPr="001773C4" w:rsidRDefault="00EE3081" w:rsidP="00612A6F">
      <w:pPr>
        <w:pStyle w:val="Caption"/>
        <w:keepNext/>
        <w:contextualSpacing/>
        <w:rPr>
          <w:rFonts w:asciiTheme="minorHAnsi" w:hAnsiTheme="minorHAnsi" w:cstheme="minorHAnsi"/>
          <w:sz w:val="22"/>
          <w:szCs w:val="22"/>
        </w:rPr>
      </w:pPr>
      <w:r w:rsidRPr="001773C4">
        <w:rPr>
          <w:rFonts w:asciiTheme="minorHAnsi" w:hAnsiTheme="minorHAnsi" w:cstheme="minorHAnsi"/>
          <w:sz w:val="22"/>
          <w:szCs w:val="22"/>
        </w:rPr>
        <w:t xml:space="preserve">Table </w:t>
      </w:r>
      <w:r w:rsidRPr="001773C4">
        <w:rPr>
          <w:rFonts w:asciiTheme="minorHAnsi" w:hAnsiTheme="minorHAnsi" w:cstheme="minorHAnsi"/>
          <w:sz w:val="22"/>
          <w:szCs w:val="22"/>
        </w:rPr>
        <w:fldChar w:fldCharType="begin"/>
      </w:r>
      <w:r w:rsidRPr="001773C4">
        <w:rPr>
          <w:rFonts w:asciiTheme="minorHAnsi" w:hAnsiTheme="minorHAnsi" w:cstheme="minorHAnsi"/>
          <w:sz w:val="22"/>
          <w:szCs w:val="22"/>
        </w:rPr>
        <w:instrText xml:space="preserve"> SEQ Table \* ARABIC </w:instrText>
      </w:r>
      <w:r w:rsidRPr="001773C4">
        <w:rPr>
          <w:rFonts w:asciiTheme="minorHAnsi" w:hAnsiTheme="minorHAnsi" w:cstheme="minorHAnsi"/>
          <w:sz w:val="22"/>
          <w:szCs w:val="22"/>
        </w:rPr>
        <w:fldChar w:fldCharType="separate"/>
      </w:r>
      <w:r w:rsidRPr="001773C4">
        <w:rPr>
          <w:rFonts w:asciiTheme="minorHAnsi" w:hAnsiTheme="minorHAnsi" w:cstheme="minorHAnsi"/>
          <w:noProof/>
          <w:sz w:val="22"/>
          <w:szCs w:val="22"/>
        </w:rPr>
        <w:t>2</w:t>
      </w:r>
      <w:r w:rsidRPr="001773C4">
        <w:rPr>
          <w:rFonts w:asciiTheme="minorHAnsi" w:hAnsiTheme="minorHAnsi" w:cstheme="minorHAnsi"/>
          <w:sz w:val="22"/>
          <w:szCs w:val="22"/>
        </w:rPr>
        <w:fldChar w:fldCharType="end"/>
      </w:r>
      <w:r w:rsidRPr="001773C4">
        <w:rPr>
          <w:rFonts w:asciiTheme="minorHAnsi" w:hAnsiTheme="minorHAnsi" w:cstheme="minorHAnsi"/>
          <w:sz w:val="22"/>
          <w:szCs w:val="22"/>
        </w:rPr>
        <w:t xml:space="preserve">. Relative abundance-based benchmarks and </w:t>
      </w:r>
      <w:r w:rsidR="00E43885" w:rsidRPr="001773C4">
        <w:rPr>
          <w:rFonts w:asciiTheme="minorHAnsi" w:hAnsiTheme="minorHAnsi" w:cstheme="minorHAnsi"/>
          <w:sz w:val="22"/>
          <w:szCs w:val="22"/>
        </w:rPr>
        <w:t>probability levels</w:t>
      </w:r>
      <w:r w:rsidRPr="001773C4">
        <w:rPr>
          <w:rFonts w:asciiTheme="minorHAnsi" w:hAnsiTheme="minorHAnsi" w:cstheme="minorHAnsi"/>
          <w:sz w:val="22"/>
          <w:szCs w:val="22"/>
        </w:rPr>
        <w:t xml:space="preserve"> for </w:t>
      </w:r>
      <w:r w:rsidR="00E43885" w:rsidRPr="001773C4">
        <w:rPr>
          <w:rFonts w:asciiTheme="minorHAnsi" w:hAnsiTheme="minorHAnsi" w:cstheme="minorHAnsi"/>
          <w:sz w:val="22"/>
          <w:szCs w:val="22"/>
        </w:rPr>
        <w:t>the Fraser Pink SMU/CU</w:t>
      </w:r>
      <w:r w:rsidRPr="001773C4">
        <w:rPr>
          <w:rFonts w:asciiTheme="minorHAnsi" w:hAnsiTheme="minorHAnsi" w:cstheme="minorHAnsi"/>
          <w:sz w:val="22"/>
          <w:szCs w:val="22"/>
        </w:rPr>
        <w:t xml:space="preserve"> (80% S</w:t>
      </w:r>
      <w:r w:rsidRPr="001773C4">
        <w:rPr>
          <w:rFonts w:asciiTheme="minorHAnsi" w:hAnsiTheme="minorHAnsi" w:cstheme="minorHAnsi"/>
          <w:sz w:val="22"/>
          <w:szCs w:val="22"/>
          <w:vertAlign w:val="subscript"/>
        </w:rPr>
        <w:t>MSY</w:t>
      </w:r>
      <w:r w:rsidRPr="001773C4">
        <w:rPr>
          <w:rFonts w:asciiTheme="minorHAnsi" w:hAnsiTheme="minorHAnsi" w:cstheme="minorHAnsi"/>
          <w:sz w:val="22"/>
          <w:szCs w:val="22"/>
        </w:rPr>
        <w:t xml:space="preserve"> = upper benchmark; </w:t>
      </w:r>
      <w:proofErr w:type="spellStart"/>
      <w:r w:rsidRPr="001773C4">
        <w:rPr>
          <w:rFonts w:asciiTheme="minorHAnsi" w:hAnsiTheme="minorHAnsi" w:cstheme="minorHAnsi"/>
          <w:sz w:val="22"/>
          <w:szCs w:val="22"/>
        </w:rPr>
        <w:t>S</w:t>
      </w:r>
      <w:r w:rsidRPr="001773C4">
        <w:rPr>
          <w:rFonts w:asciiTheme="minorHAnsi" w:hAnsiTheme="minorHAnsi" w:cstheme="minorHAnsi"/>
          <w:sz w:val="22"/>
          <w:szCs w:val="22"/>
          <w:vertAlign w:val="subscript"/>
        </w:rPr>
        <w:t>gen</w:t>
      </w:r>
      <w:proofErr w:type="spellEnd"/>
      <w:r w:rsidRPr="001773C4">
        <w:rPr>
          <w:rFonts w:asciiTheme="minorHAnsi" w:hAnsiTheme="minorHAnsi" w:cstheme="minorHAnsi"/>
          <w:sz w:val="22"/>
          <w:szCs w:val="22"/>
        </w:rPr>
        <w:t xml:space="preserve"> = lower benchmark). The median (50% Interval) are the values used in the</w:t>
      </w:r>
      <w:r w:rsidR="00C54A28" w:rsidRPr="001773C4">
        <w:rPr>
          <w:rFonts w:asciiTheme="minorHAnsi" w:hAnsiTheme="minorHAnsi" w:cstheme="minorHAnsi"/>
          <w:sz w:val="22"/>
          <w:szCs w:val="22"/>
        </w:rPr>
        <w:t xml:space="preserve"> WSP rapid status</w:t>
      </w:r>
      <w:r w:rsidRPr="001773C4">
        <w:rPr>
          <w:rFonts w:asciiTheme="minorHAnsi" w:hAnsiTheme="minorHAnsi" w:cstheme="minorHAnsi"/>
          <w:sz w:val="22"/>
          <w:szCs w:val="22"/>
        </w:rPr>
        <w:t xml:space="preserve"> algorithm. </w:t>
      </w:r>
    </w:p>
    <w:tbl>
      <w:tblPr>
        <w:tblW w:w="9637" w:type="dxa"/>
        <w:tblLook w:val="04A0" w:firstRow="1" w:lastRow="0" w:firstColumn="1" w:lastColumn="0" w:noHBand="0" w:noVBand="1"/>
      </w:tblPr>
      <w:tblGrid>
        <w:gridCol w:w="1164"/>
        <w:gridCol w:w="1461"/>
        <w:gridCol w:w="953"/>
        <w:gridCol w:w="941"/>
        <w:gridCol w:w="746"/>
        <w:gridCol w:w="746"/>
        <w:gridCol w:w="725"/>
        <w:gridCol w:w="726"/>
        <w:gridCol w:w="725"/>
        <w:gridCol w:w="725"/>
        <w:gridCol w:w="725"/>
      </w:tblGrid>
      <w:tr w:rsidR="00EE3081" w:rsidRPr="001773C4" w14:paraId="0D4F2178" w14:textId="77777777" w:rsidTr="00E43885">
        <w:trPr>
          <w:trHeight w:val="300"/>
        </w:trPr>
        <w:tc>
          <w:tcPr>
            <w:tcW w:w="1164" w:type="dxa"/>
            <w:tcBorders>
              <w:top w:val="single" w:sz="4" w:space="0" w:color="auto"/>
              <w:left w:val="nil"/>
              <w:bottom w:val="nil"/>
              <w:right w:val="nil"/>
            </w:tcBorders>
            <w:shd w:val="clear" w:color="auto" w:fill="auto"/>
            <w:noWrap/>
            <w:vAlign w:val="bottom"/>
            <w:hideMark/>
          </w:tcPr>
          <w:p w14:paraId="7FC0DA61" w14:textId="77777777" w:rsidR="00EE3081" w:rsidRPr="001773C4" w:rsidRDefault="00EE3081" w:rsidP="00D34291">
            <w:pPr>
              <w:spacing w:after="0" w:line="240" w:lineRule="auto"/>
              <w:rPr>
                <w:rFonts w:eastAsia="Times New Roman" w:cstheme="minorHAnsi"/>
                <w:color w:val="000000"/>
                <w:lang w:val="en-CA" w:eastAsia="en-CA"/>
              </w:rPr>
            </w:pPr>
            <w:r w:rsidRPr="001773C4">
              <w:rPr>
                <w:rFonts w:eastAsia="Times New Roman" w:cstheme="minorHAnsi"/>
                <w:color w:val="000000"/>
                <w:lang w:val="en-CA" w:eastAsia="en-CA"/>
              </w:rPr>
              <w:t> </w:t>
            </w:r>
          </w:p>
        </w:tc>
        <w:tc>
          <w:tcPr>
            <w:tcW w:w="1461" w:type="dxa"/>
            <w:tcBorders>
              <w:top w:val="single" w:sz="4" w:space="0" w:color="auto"/>
              <w:left w:val="nil"/>
              <w:bottom w:val="nil"/>
              <w:right w:val="nil"/>
            </w:tcBorders>
            <w:shd w:val="clear" w:color="auto" w:fill="auto"/>
            <w:noWrap/>
            <w:vAlign w:val="bottom"/>
            <w:hideMark/>
          </w:tcPr>
          <w:p w14:paraId="2486BEBD" w14:textId="77777777" w:rsidR="00EE3081" w:rsidRPr="001773C4" w:rsidRDefault="00EE3081" w:rsidP="00D34291">
            <w:pPr>
              <w:spacing w:after="0" w:line="240" w:lineRule="auto"/>
              <w:rPr>
                <w:rFonts w:eastAsia="Times New Roman" w:cstheme="minorHAnsi"/>
                <w:color w:val="000000"/>
                <w:lang w:val="en-CA" w:eastAsia="en-CA"/>
              </w:rPr>
            </w:pPr>
            <w:r w:rsidRPr="001773C4">
              <w:rPr>
                <w:rFonts w:eastAsia="Times New Roman" w:cstheme="minorHAnsi"/>
                <w:color w:val="000000"/>
                <w:lang w:val="en-CA" w:eastAsia="en-CA"/>
              </w:rPr>
              <w:t> </w:t>
            </w:r>
          </w:p>
        </w:tc>
        <w:tc>
          <w:tcPr>
            <w:tcW w:w="953" w:type="dxa"/>
            <w:tcBorders>
              <w:top w:val="single" w:sz="4" w:space="0" w:color="auto"/>
              <w:left w:val="nil"/>
              <w:bottom w:val="nil"/>
              <w:right w:val="nil"/>
            </w:tcBorders>
            <w:shd w:val="clear" w:color="auto" w:fill="auto"/>
            <w:noWrap/>
            <w:vAlign w:val="bottom"/>
            <w:hideMark/>
          </w:tcPr>
          <w:p w14:paraId="60502A1B" w14:textId="77777777" w:rsidR="00EE3081" w:rsidRPr="001773C4" w:rsidRDefault="00EE3081" w:rsidP="00D34291">
            <w:pPr>
              <w:spacing w:after="0" w:line="240" w:lineRule="auto"/>
              <w:rPr>
                <w:rFonts w:eastAsia="Times New Roman" w:cstheme="minorHAnsi"/>
                <w:color w:val="000000"/>
                <w:lang w:val="en-CA" w:eastAsia="en-CA"/>
              </w:rPr>
            </w:pPr>
            <w:r w:rsidRPr="001773C4">
              <w:rPr>
                <w:rFonts w:eastAsia="Times New Roman" w:cstheme="minorHAnsi"/>
                <w:color w:val="000000"/>
                <w:lang w:val="en-CA" w:eastAsia="en-CA"/>
              </w:rPr>
              <w:t> </w:t>
            </w:r>
          </w:p>
        </w:tc>
        <w:tc>
          <w:tcPr>
            <w:tcW w:w="941" w:type="dxa"/>
            <w:tcBorders>
              <w:top w:val="single" w:sz="4" w:space="0" w:color="auto"/>
              <w:left w:val="nil"/>
              <w:bottom w:val="nil"/>
              <w:right w:val="nil"/>
            </w:tcBorders>
            <w:shd w:val="clear" w:color="auto" w:fill="auto"/>
            <w:noWrap/>
            <w:vAlign w:val="bottom"/>
            <w:hideMark/>
          </w:tcPr>
          <w:p w14:paraId="7E6C38A7" w14:textId="77777777" w:rsidR="00EE3081" w:rsidRPr="001773C4" w:rsidRDefault="00EE3081" w:rsidP="00D34291">
            <w:pPr>
              <w:spacing w:after="0" w:line="240" w:lineRule="auto"/>
              <w:rPr>
                <w:rFonts w:eastAsia="Times New Roman" w:cstheme="minorHAnsi"/>
                <w:color w:val="000000"/>
                <w:lang w:val="en-CA" w:eastAsia="en-CA"/>
              </w:rPr>
            </w:pPr>
            <w:r w:rsidRPr="001773C4">
              <w:rPr>
                <w:rFonts w:eastAsia="Times New Roman" w:cstheme="minorHAnsi"/>
                <w:color w:val="000000"/>
                <w:lang w:val="en-CA" w:eastAsia="en-CA"/>
              </w:rPr>
              <w:t> </w:t>
            </w:r>
          </w:p>
        </w:tc>
        <w:tc>
          <w:tcPr>
            <w:tcW w:w="5118" w:type="dxa"/>
            <w:gridSpan w:val="7"/>
            <w:tcBorders>
              <w:top w:val="single" w:sz="4" w:space="0" w:color="auto"/>
              <w:left w:val="nil"/>
              <w:bottom w:val="single" w:sz="4" w:space="0" w:color="auto"/>
              <w:right w:val="nil"/>
            </w:tcBorders>
            <w:shd w:val="clear" w:color="auto" w:fill="auto"/>
            <w:noWrap/>
            <w:vAlign w:val="bottom"/>
            <w:hideMark/>
          </w:tcPr>
          <w:p w14:paraId="18C65F9F" w14:textId="0F3483AB" w:rsidR="00EE3081" w:rsidRPr="001773C4" w:rsidRDefault="00EE3081" w:rsidP="00D34291">
            <w:pPr>
              <w:spacing w:after="0" w:line="240" w:lineRule="auto"/>
              <w:jc w:val="center"/>
              <w:rPr>
                <w:rFonts w:eastAsia="Times New Roman" w:cstheme="minorHAnsi"/>
                <w:color w:val="000000"/>
                <w:lang w:val="en-CA" w:eastAsia="en-CA"/>
              </w:rPr>
            </w:pPr>
            <w:r w:rsidRPr="001773C4">
              <w:rPr>
                <w:rFonts w:eastAsia="Times New Roman" w:cstheme="minorHAnsi"/>
                <w:color w:val="000000"/>
                <w:lang w:val="en-CA" w:eastAsia="en-CA"/>
              </w:rPr>
              <w:t>Credible Intervals</w:t>
            </w:r>
            <w:r w:rsidR="005F6FA4" w:rsidRPr="001773C4">
              <w:rPr>
                <w:rFonts w:eastAsia="Times New Roman" w:cstheme="minorHAnsi"/>
                <w:color w:val="000000"/>
                <w:lang w:val="en-CA" w:eastAsia="en-CA"/>
              </w:rPr>
              <w:t xml:space="preserve"> (values in millions of fish)</w:t>
            </w:r>
          </w:p>
        </w:tc>
      </w:tr>
      <w:tr w:rsidR="00EE3081" w:rsidRPr="001773C4" w14:paraId="48272838" w14:textId="77777777" w:rsidTr="00E43885">
        <w:trPr>
          <w:trHeight w:val="315"/>
        </w:trPr>
        <w:tc>
          <w:tcPr>
            <w:tcW w:w="1164" w:type="dxa"/>
            <w:tcBorders>
              <w:top w:val="nil"/>
              <w:left w:val="nil"/>
              <w:bottom w:val="double" w:sz="6" w:space="0" w:color="auto"/>
              <w:right w:val="nil"/>
            </w:tcBorders>
            <w:shd w:val="clear" w:color="auto" w:fill="auto"/>
            <w:noWrap/>
            <w:vAlign w:val="bottom"/>
            <w:hideMark/>
          </w:tcPr>
          <w:p w14:paraId="2FC3AFBE" w14:textId="77777777" w:rsidR="00EE3081" w:rsidRPr="001773C4" w:rsidRDefault="00EE3081" w:rsidP="00D34291">
            <w:pPr>
              <w:spacing w:after="0" w:line="240" w:lineRule="auto"/>
              <w:rPr>
                <w:rFonts w:eastAsia="Times New Roman" w:cstheme="minorHAnsi"/>
                <w:color w:val="000000"/>
                <w:lang w:val="en-CA" w:eastAsia="en-CA"/>
              </w:rPr>
            </w:pPr>
            <w:r w:rsidRPr="001773C4">
              <w:rPr>
                <w:rFonts w:eastAsia="Times New Roman" w:cstheme="minorHAnsi"/>
                <w:color w:val="000000"/>
                <w:lang w:val="en-CA" w:eastAsia="en-CA"/>
              </w:rPr>
              <w:t>CU</w:t>
            </w:r>
          </w:p>
        </w:tc>
        <w:tc>
          <w:tcPr>
            <w:tcW w:w="1461" w:type="dxa"/>
            <w:tcBorders>
              <w:top w:val="nil"/>
              <w:left w:val="nil"/>
              <w:bottom w:val="double" w:sz="6" w:space="0" w:color="auto"/>
              <w:right w:val="nil"/>
            </w:tcBorders>
            <w:shd w:val="clear" w:color="auto" w:fill="auto"/>
            <w:noWrap/>
            <w:vAlign w:val="bottom"/>
            <w:hideMark/>
          </w:tcPr>
          <w:p w14:paraId="0139D9E1" w14:textId="77777777" w:rsidR="00EE3081" w:rsidRPr="001773C4" w:rsidRDefault="00EE3081" w:rsidP="00D34291">
            <w:pPr>
              <w:spacing w:after="0" w:line="240" w:lineRule="auto"/>
              <w:rPr>
                <w:rFonts w:eastAsia="Times New Roman" w:cstheme="minorHAnsi"/>
                <w:color w:val="000000"/>
                <w:lang w:val="en-CA" w:eastAsia="en-CA"/>
              </w:rPr>
            </w:pPr>
            <w:r w:rsidRPr="001773C4">
              <w:rPr>
                <w:rFonts w:eastAsia="Times New Roman" w:cstheme="minorHAnsi"/>
                <w:color w:val="000000"/>
                <w:lang w:val="en-CA" w:eastAsia="en-CA"/>
              </w:rPr>
              <w:t>Benchmark</w:t>
            </w:r>
          </w:p>
        </w:tc>
        <w:tc>
          <w:tcPr>
            <w:tcW w:w="953" w:type="dxa"/>
            <w:tcBorders>
              <w:top w:val="nil"/>
              <w:left w:val="nil"/>
              <w:bottom w:val="double" w:sz="6" w:space="0" w:color="auto"/>
              <w:right w:val="nil"/>
            </w:tcBorders>
            <w:shd w:val="clear" w:color="auto" w:fill="auto"/>
            <w:noWrap/>
            <w:vAlign w:val="bottom"/>
            <w:hideMark/>
          </w:tcPr>
          <w:p w14:paraId="236835A7" w14:textId="77777777" w:rsidR="00EE3081" w:rsidRPr="001773C4" w:rsidRDefault="00EE3081" w:rsidP="00D34291">
            <w:pPr>
              <w:spacing w:after="0" w:line="240" w:lineRule="auto"/>
              <w:jc w:val="center"/>
              <w:rPr>
                <w:rFonts w:eastAsia="Times New Roman" w:cstheme="minorHAnsi"/>
                <w:color w:val="000000"/>
                <w:lang w:val="en-CA" w:eastAsia="en-CA"/>
              </w:rPr>
            </w:pPr>
            <w:r w:rsidRPr="001773C4">
              <w:rPr>
                <w:rFonts w:eastAsia="Times New Roman" w:cstheme="minorHAnsi"/>
                <w:color w:val="000000"/>
                <w:lang w:val="en-CA" w:eastAsia="en-CA"/>
              </w:rPr>
              <w:t>Mean</w:t>
            </w:r>
          </w:p>
        </w:tc>
        <w:tc>
          <w:tcPr>
            <w:tcW w:w="941" w:type="dxa"/>
            <w:tcBorders>
              <w:top w:val="nil"/>
              <w:left w:val="nil"/>
              <w:bottom w:val="double" w:sz="6" w:space="0" w:color="auto"/>
              <w:right w:val="nil"/>
            </w:tcBorders>
            <w:shd w:val="clear" w:color="auto" w:fill="auto"/>
            <w:noWrap/>
            <w:vAlign w:val="bottom"/>
            <w:hideMark/>
          </w:tcPr>
          <w:p w14:paraId="6FDF01E3" w14:textId="77777777" w:rsidR="00EE3081" w:rsidRPr="001773C4" w:rsidRDefault="00EE3081" w:rsidP="00D34291">
            <w:pPr>
              <w:spacing w:after="0" w:line="240" w:lineRule="auto"/>
              <w:jc w:val="center"/>
              <w:rPr>
                <w:rFonts w:eastAsia="Times New Roman" w:cstheme="minorHAnsi"/>
                <w:color w:val="000000"/>
                <w:lang w:val="en-CA" w:eastAsia="en-CA"/>
              </w:rPr>
            </w:pPr>
            <w:r w:rsidRPr="001773C4">
              <w:rPr>
                <w:rFonts w:eastAsia="Times New Roman" w:cstheme="minorHAnsi"/>
                <w:color w:val="000000"/>
                <w:lang w:val="en-CA" w:eastAsia="en-CA"/>
              </w:rPr>
              <w:t>SD</w:t>
            </w:r>
          </w:p>
        </w:tc>
        <w:tc>
          <w:tcPr>
            <w:tcW w:w="746" w:type="dxa"/>
            <w:tcBorders>
              <w:top w:val="nil"/>
              <w:left w:val="nil"/>
              <w:bottom w:val="double" w:sz="6" w:space="0" w:color="auto"/>
              <w:right w:val="nil"/>
            </w:tcBorders>
            <w:shd w:val="clear" w:color="auto" w:fill="auto"/>
            <w:noWrap/>
            <w:vAlign w:val="bottom"/>
            <w:hideMark/>
          </w:tcPr>
          <w:p w14:paraId="59584BF9" w14:textId="77777777" w:rsidR="00EE3081" w:rsidRPr="001773C4" w:rsidRDefault="00EE3081" w:rsidP="00D34291">
            <w:pPr>
              <w:spacing w:after="0" w:line="240" w:lineRule="auto"/>
              <w:jc w:val="center"/>
              <w:rPr>
                <w:rFonts w:eastAsia="Times New Roman" w:cstheme="minorHAnsi"/>
                <w:color w:val="000000"/>
                <w:lang w:val="en-CA" w:eastAsia="en-CA"/>
              </w:rPr>
            </w:pPr>
            <w:r w:rsidRPr="001773C4">
              <w:rPr>
                <w:rFonts w:eastAsia="Times New Roman" w:cstheme="minorHAnsi"/>
                <w:color w:val="000000"/>
                <w:lang w:val="en-CA" w:eastAsia="en-CA"/>
              </w:rPr>
              <w:t>5%</w:t>
            </w:r>
          </w:p>
        </w:tc>
        <w:tc>
          <w:tcPr>
            <w:tcW w:w="746" w:type="dxa"/>
            <w:tcBorders>
              <w:top w:val="nil"/>
              <w:left w:val="nil"/>
              <w:bottom w:val="double" w:sz="6" w:space="0" w:color="auto"/>
              <w:right w:val="nil"/>
            </w:tcBorders>
            <w:shd w:val="clear" w:color="auto" w:fill="auto"/>
            <w:noWrap/>
            <w:vAlign w:val="bottom"/>
            <w:hideMark/>
          </w:tcPr>
          <w:p w14:paraId="2B678446" w14:textId="77777777" w:rsidR="00EE3081" w:rsidRPr="001773C4" w:rsidRDefault="00EE3081" w:rsidP="00D34291">
            <w:pPr>
              <w:spacing w:after="0" w:line="240" w:lineRule="auto"/>
              <w:jc w:val="center"/>
              <w:rPr>
                <w:rFonts w:eastAsia="Times New Roman" w:cstheme="minorHAnsi"/>
                <w:color w:val="000000"/>
                <w:lang w:val="en-CA" w:eastAsia="en-CA"/>
              </w:rPr>
            </w:pPr>
            <w:r w:rsidRPr="001773C4">
              <w:rPr>
                <w:rFonts w:eastAsia="Times New Roman" w:cstheme="minorHAnsi"/>
                <w:color w:val="000000"/>
                <w:lang w:val="en-CA" w:eastAsia="en-CA"/>
              </w:rPr>
              <w:t>10%</w:t>
            </w:r>
          </w:p>
        </w:tc>
        <w:tc>
          <w:tcPr>
            <w:tcW w:w="725" w:type="dxa"/>
            <w:tcBorders>
              <w:top w:val="nil"/>
              <w:left w:val="nil"/>
              <w:bottom w:val="double" w:sz="6" w:space="0" w:color="auto"/>
              <w:right w:val="nil"/>
            </w:tcBorders>
            <w:shd w:val="clear" w:color="auto" w:fill="auto"/>
            <w:noWrap/>
            <w:vAlign w:val="bottom"/>
            <w:hideMark/>
          </w:tcPr>
          <w:p w14:paraId="3D4A2BB9" w14:textId="77777777" w:rsidR="00EE3081" w:rsidRPr="001773C4" w:rsidRDefault="00EE3081" w:rsidP="00D34291">
            <w:pPr>
              <w:spacing w:after="0" w:line="240" w:lineRule="auto"/>
              <w:jc w:val="center"/>
              <w:rPr>
                <w:rFonts w:eastAsia="Times New Roman" w:cstheme="minorHAnsi"/>
                <w:color w:val="000000"/>
                <w:lang w:val="en-CA" w:eastAsia="en-CA"/>
              </w:rPr>
            </w:pPr>
            <w:r w:rsidRPr="001773C4">
              <w:rPr>
                <w:rFonts w:eastAsia="Times New Roman" w:cstheme="minorHAnsi"/>
                <w:color w:val="000000"/>
                <w:lang w:val="en-CA" w:eastAsia="en-CA"/>
              </w:rPr>
              <w:t>25%</w:t>
            </w:r>
          </w:p>
        </w:tc>
        <w:tc>
          <w:tcPr>
            <w:tcW w:w="726" w:type="dxa"/>
            <w:tcBorders>
              <w:top w:val="nil"/>
              <w:left w:val="nil"/>
              <w:bottom w:val="double" w:sz="6" w:space="0" w:color="auto"/>
              <w:right w:val="nil"/>
            </w:tcBorders>
            <w:shd w:val="clear" w:color="auto" w:fill="auto"/>
            <w:noWrap/>
            <w:vAlign w:val="bottom"/>
            <w:hideMark/>
          </w:tcPr>
          <w:p w14:paraId="617C3E2F" w14:textId="77777777" w:rsidR="00EE3081" w:rsidRPr="001773C4" w:rsidRDefault="00EE3081" w:rsidP="00D34291">
            <w:pPr>
              <w:spacing w:after="0" w:line="240" w:lineRule="auto"/>
              <w:jc w:val="center"/>
              <w:rPr>
                <w:rFonts w:eastAsia="Times New Roman" w:cstheme="minorHAnsi"/>
                <w:b/>
                <w:bCs/>
                <w:color w:val="000000"/>
                <w:lang w:val="en-CA" w:eastAsia="en-CA"/>
              </w:rPr>
            </w:pPr>
            <w:r w:rsidRPr="001773C4">
              <w:rPr>
                <w:rFonts w:eastAsia="Times New Roman" w:cstheme="minorHAnsi"/>
                <w:b/>
                <w:bCs/>
                <w:color w:val="000000"/>
                <w:lang w:val="en-CA" w:eastAsia="en-CA"/>
              </w:rPr>
              <w:t>50%</w:t>
            </w:r>
          </w:p>
        </w:tc>
        <w:tc>
          <w:tcPr>
            <w:tcW w:w="725" w:type="dxa"/>
            <w:tcBorders>
              <w:top w:val="nil"/>
              <w:left w:val="nil"/>
              <w:bottom w:val="double" w:sz="6" w:space="0" w:color="auto"/>
              <w:right w:val="nil"/>
            </w:tcBorders>
            <w:shd w:val="clear" w:color="auto" w:fill="auto"/>
            <w:noWrap/>
            <w:vAlign w:val="bottom"/>
            <w:hideMark/>
          </w:tcPr>
          <w:p w14:paraId="766A7314" w14:textId="77777777" w:rsidR="00EE3081" w:rsidRPr="001773C4" w:rsidRDefault="00EE3081" w:rsidP="00D34291">
            <w:pPr>
              <w:spacing w:after="0" w:line="240" w:lineRule="auto"/>
              <w:jc w:val="center"/>
              <w:rPr>
                <w:rFonts w:eastAsia="Times New Roman" w:cstheme="minorHAnsi"/>
                <w:color w:val="000000"/>
                <w:lang w:val="en-CA" w:eastAsia="en-CA"/>
              </w:rPr>
            </w:pPr>
            <w:r w:rsidRPr="001773C4">
              <w:rPr>
                <w:rFonts w:eastAsia="Times New Roman" w:cstheme="minorHAnsi"/>
                <w:color w:val="000000"/>
                <w:lang w:val="en-CA" w:eastAsia="en-CA"/>
              </w:rPr>
              <w:t>75%</w:t>
            </w:r>
          </w:p>
        </w:tc>
        <w:tc>
          <w:tcPr>
            <w:tcW w:w="725" w:type="dxa"/>
            <w:tcBorders>
              <w:top w:val="nil"/>
              <w:left w:val="nil"/>
              <w:bottom w:val="double" w:sz="6" w:space="0" w:color="auto"/>
              <w:right w:val="nil"/>
            </w:tcBorders>
            <w:shd w:val="clear" w:color="auto" w:fill="auto"/>
            <w:noWrap/>
            <w:vAlign w:val="bottom"/>
            <w:hideMark/>
          </w:tcPr>
          <w:p w14:paraId="6CCDB695" w14:textId="77777777" w:rsidR="00EE3081" w:rsidRPr="001773C4" w:rsidRDefault="00EE3081" w:rsidP="00D34291">
            <w:pPr>
              <w:spacing w:after="0" w:line="240" w:lineRule="auto"/>
              <w:jc w:val="center"/>
              <w:rPr>
                <w:rFonts w:eastAsia="Times New Roman" w:cstheme="minorHAnsi"/>
                <w:color w:val="000000"/>
                <w:lang w:val="en-CA" w:eastAsia="en-CA"/>
              </w:rPr>
            </w:pPr>
            <w:r w:rsidRPr="001773C4">
              <w:rPr>
                <w:rFonts w:eastAsia="Times New Roman" w:cstheme="minorHAnsi"/>
                <w:color w:val="000000"/>
                <w:lang w:val="en-CA" w:eastAsia="en-CA"/>
              </w:rPr>
              <w:t>90%</w:t>
            </w:r>
          </w:p>
        </w:tc>
        <w:tc>
          <w:tcPr>
            <w:tcW w:w="725" w:type="dxa"/>
            <w:tcBorders>
              <w:top w:val="nil"/>
              <w:left w:val="nil"/>
              <w:bottom w:val="double" w:sz="6" w:space="0" w:color="auto"/>
              <w:right w:val="nil"/>
            </w:tcBorders>
            <w:shd w:val="clear" w:color="auto" w:fill="auto"/>
            <w:noWrap/>
            <w:vAlign w:val="bottom"/>
            <w:hideMark/>
          </w:tcPr>
          <w:p w14:paraId="2AE256C2" w14:textId="77777777" w:rsidR="00EE3081" w:rsidRPr="001773C4" w:rsidRDefault="00EE3081" w:rsidP="00D34291">
            <w:pPr>
              <w:spacing w:after="0" w:line="240" w:lineRule="auto"/>
              <w:jc w:val="center"/>
              <w:rPr>
                <w:rFonts w:eastAsia="Times New Roman" w:cstheme="minorHAnsi"/>
                <w:color w:val="000000"/>
                <w:lang w:val="en-CA" w:eastAsia="en-CA"/>
              </w:rPr>
            </w:pPr>
            <w:r w:rsidRPr="001773C4">
              <w:rPr>
                <w:rFonts w:eastAsia="Times New Roman" w:cstheme="minorHAnsi"/>
                <w:color w:val="000000"/>
                <w:lang w:val="en-CA" w:eastAsia="en-CA"/>
              </w:rPr>
              <w:t>95%</w:t>
            </w:r>
          </w:p>
        </w:tc>
      </w:tr>
      <w:tr w:rsidR="007A184F" w:rsidRPr="001773C4" w14:paraId="10222B9B" w14:textId="77777777" w:rsidTr="007A184F">
        <w:trPr>
          <w:trHeight w:val="315"/>
        </w:trPr>
        <w:tc>
          <w:tcPr>
            <w:tcW w:w="1164" w:type="dxa"/>
            <w:vMerge w:val="restart"/>
            <w:tcBorders>
              <w:top w:val="nil"/>
              <w:left w:val="nil"/>
              <w:bottom w:val="single" w:sz="4" w:space="0" w:color="000000"/>
              <w:right w:val="nil"/>
            </w:tcBorders>
            <w:shd w:val="clear" w:color="auto" w:fill="auto"/>
            <w:vAlign w:val="center"/>
            <w:hideMark/>
          </w:tcPr>
          <w:p w14:paraId="213EBAB9" w14:textId="7B4F6FB3" w:rsidR="007A184F" w:rsidRPr="001773C4" w:rsidRDefault="007A184F" w:rsidP="007A184F">
            <w:pPr>
              <w:spacing w:after="0" w:line="240" w:lineRule="auto"/>
              <w:rPr>
                <w:rFonts w:eastAsia="Times New Roman" w:cstheme="minorHAnsi"/>
                <w:color w:val="000000"/>
                <w:lang w:val="en-CA" w:eastAsia="en-CA"/>
              </w:rPr>
            </w:pPr>
            <w:r w:rsidRPr="001773C4">
              <w:rPr>
                <w:rFonts w:eastAsia="Times New Roman" w:cstheme="minorHAnsi"/>
                <w:color w:val="000000"/>
                <w:lang w:val="en-CA" w:eastAsia="en-CA"/>
              </w:rPr>
              <w:t>Fraser Pink</w:t>
            </w:r>
          </w:p>
        </w:tc>
        <w:tc>
          <w:tcPr>
            <w:tcW w:w="1461" w:type="dxa"/>
            <w:tcBorders>
              <w:top w:val="nil"/>
              <w:left w:val="nil"/>
              <w:bottom w:val="nil"/>
              <w:right w:val="nil"/>
            </w:tcBorders>
            <w:shd w:val="clear" w:color="auto" w:fill="auto"/>
            <w:noWrap/>
            <w:vAlign w:val="center"/>
          </w:tcPr>
          <w:p w14:paraId="7E8DFE88" w14:textId="73695890" w:rsidR="007A184F" w:rsidRPr="001773C4" w:rsidRDefault="007A184F" w:rsidP="007A184F">
            <w:pPr>
              <w:spacing w:after="0" w:line="240" w:lineRule="auto"/>
              <w:rPr>
                <w:rFonts w:eastAsia="Times New Roman" w:cstheme="minorHAnsi"/>
                <w:color w:val="000000"/>
                <w:lang w:val="en-CA" w:eastAsia="en-CA"/>
              </w:rPr>
            </w:pPr>
            <w:proofErr w:type="spellStart"/>
            <w:r w:rsidRPr="001773C4">
              <w:rPr>
                <w:rFonts w:eastAsia="Times New Roman" w:cstheme="minorHAnsi"/>
                <w:color w:val="000000"/>
                <w:lang w:val="en-CA" w:eastAsia="en-CA"/>
              </w:rPr>
              <w:t>S</w:t>
            </w:r>
            <w:r w:rsidRPr="001773C4">
              <w:rPr>
                <w:rFonts w:eastAsia="Times New Roman" w:cstheme="minorHAnsi"/>
                <w:color w:val="000000"/>
                <w:vertAlign w:val="subscript"/>
                <w:lang w:val="en-CA" w:eastAsia="en-CA"/>
              </w:rPr>
              <w:t>gen</w:t>
            </w:r>
            <w:proofErr w:type="spellEnd"/>
          </w:p>
        </w:tc>
        <w:tc>
          <w:tcPr>
            <w:tcW w:w="953" w:type="dxa"/>
            <w:tcBorders>
              <w:top w:val="nil"/>
              <w:left w:val="nil"/>
              <w:bottom w:val="nil"/>
              <w:right w:val="nil"/>
            </w:tcBorders>
            <w:shd w:val="clear" w:color="auto" w:fill="auto"/>
            <w:noWrap/>
            <w:vAlign w:val="center"/>
          </w:tcPr>
          <w:p w14:paraId="286A9182" w14:textId="2B77792F" w:rsidR="007A184F" w:rsidRPr="001773C4" w:rsidRDefault="007A184F" w:rsidP="007A184F">
            <w:pPr>
              <w:spacing w:after="0" w:line="240" w:lineRule="auto"/>
              <w:jc w:val="right"/>
              <w:rPr>
                <w:rFonts w:eastAsia="Times New Roman" w:cstheme="minorHAnsi"/>
                <w:color w:val="000000"/>
                <w:lang w:val="en-CA" w:eastAsia="en-CA"/>
              </w:rPr>
            </w:pPr>
            <w:r w:rsidRPr="001773C4">
              <w:rPr>
                <w:rFonts w:eastAsia="Times New Roman" w:cstheme="minorHAnsi"/>
                <w:color w:val="000000"/>
                <w:lang w:val="en-CA" w:eastAsia="en-CA"/>
              </w:rPr>
              <w:t>2.0</w:t>
            </w:r>
          </w:p>
        </w:tc>
        <w:tc>
          <w:tcPr>
            <w:tcW w:w="941" w:type="dxa"/>
            <w:tcBorders>
              <w:top w:val="nil"/>
              <w:left w:val="nil"/>
              <w:bottom w:val="nil"/>
              <w:right w:val="nil"/>
            </w:tcBorders>
            <w:shd w:val="clear" w:color="auto" w:fill="auto"/>
            <w:noWrap/>
            <w:vAlign w:val="center"/>
          </w:tcPr>
          <w:p w14:paraId="1B5CE37F" w14:textId="2170D711" w:rsidR="007A184F" w:rsidRPr="001773C4" w:rsidRDefault="007A184F" w:rsidP="007A184F">
            <w:pPr>
              <w:spacing w:after="0" w:line="240" w:lineRule="auto"/>
              <w:jc w:val="right"/>
              <w:rPr>
                <w:rFonts w:eastAsia="Times New Roman" w:cstheme="minorHAnsi"/>
                <w:color w:val="000000"/>
                <w:lang w:val="en-CA" w:eastAsia="en-CA"/>
              </w:rPr>
            </w:pPr>
            <w:r w:rsidRPr="001773C4">
              <w:rPr>
                <w:rFonts w:eastAsia="Times New Roman" w:cstheme="minorHAnsi"/>
                <w:color w:val="000000"/>
                <w:lang w:val="en-CA" w:eastAsia="en-CA"/>
              </w:rPr>
              <w:t xml:space="preserve">0.9   </w:t>
            </w:r>
          </w:p>
        </w:tc>
        <w:tc>
          <w:tcPr>
            <w:tcW w:w="746" w:type="dxa"/>
            <w:tcBorders>
              <w:top w:val="nil"/>
              <w:left w:val="nil"/>
              <w:bottom w:val="nil"/>
              <w:right w:val="nil"/>
            </w:tcBorders>
            <w:shd w:val="clear" w:color="auto" w:fill="auto"/>
            <w:noWrap/>
            <w:vAlign w:val="center"/>
          </w:tcPr>
          <w:p w14:paraId="55904C9D" w14:textId="00F77C99" w:rsidR="007A184F" w:rsidRPr="001773C4" w:rsidRDefault="007A184F" w:rsidP="007A184F">
            <w:pPr>
              <w:spacing w:after="0" w:line="240" w:lineRule="auto"/>
              <w:jc w:val="right"/>
              <w:rPr>
                <w:rFonts w:eastAsia="Times New Roman" w:cstheme="minorHAnsi"/>
                <w:color w:val="000000"/>
                <w:lang w:val="en-CA" w:eastAsia="en-CA"/>
              </w:rPr>
            </w:pPr>
            <w:r w:rsidRPr="001773C4">
              <w:rPr>
                <w:rFonts w:eastAsia="Times New Roman" w:cstheme="minorHAnsi"/>
                <w:color w:val="000000"/>
                <w:lang w:val="en-CA" w:eastAsia="en-CA"/>
              </w:rPr>
              <w:t>1.0</w:t>
            </w:r>
          </w:p>
        </w:tc>
        <w:tc>
          <w:tcPr>
            <w:tcW w:w="746" w:type="dxa"/>
            <w:tcBorders>
              <w:top w:val="nil"/>
              <w:left w:val="nil"/>
              <w:bottom w:val="nil"/>
              <w:right w:val="nil"/>
            </w:tcBorders>
            <w:shd w:val="clear" w:color="auto" w:fill="auto"/>
            <w:noWrap/>
            <w:vAlign w:val="center"/>
          </w:tcPr>
          <w:p w14:paraId="1BD7F5D5" w14:textId="3173AFC2" w:rsidR="007A184F" w:rsidRPr="001773C4" w:rsidRDefault="007A184F" w:rsidP="007A184F">
            <w:pPr>
              <w:spacing w:after="0" w:line="240" w:lineRule="auto"/>
              <w:jc w:val="right"/>
              <w:rPr>
                <w:rFonts w:eastAsia="Times New Roman" w:cstheme="minorHAnsi"/>
                <w:color w:val="000000"/>
                <w:lang w:val="en-CA" w:eastAsia="en-CA"/>
              </w:rPr>
            </w:pPr>
            <w:r w:rsidRPr="001773C4">
              <w:rPr>
                <w:rFonts w:eastAsia="Times New Roman" w:cstheme="minorHAnsi"/>
                <w:color w:val="000000"/>
                <w:lang w:val="en-CA" w:eastAsia="en-CA"/>
              </w:rPr>
              <w:t>1.1</w:t>
            </w:r>
          </w:p>
        </w:tc>
        <w:tc>
          <w:tcPr>
            <w:tcW w:w="725" w:type="dxa"/>
            <w:tcBorders>
              <w:top w:val="nil"/>
              <w:left w:val="nil"/>
              <w:bottom w:val="nil"/>
              <w:right w:val="nil"/>
            </w:tcBorders>
            <w:shd w:val="clear" w:color="auto" w:fill="auto"/>
            <w:noWrap/>
            <w:vAlign w:val="center"/>
          </w:tcPr>
          <w:p w14:paraId="46FEBB34" w14:textId="3E2A6578" w:rsidR="007A184F" w:rsidRPr="001773C4" w:rsidRDefault="007A184F" w:rsidP="007A184F">
            <w:pPr>
              <w:spacing w:after="0" w:line="240" w:lineRule="auto"/>
              <w:jc w:val="right"/>
              <w:rPr>
                <w:rFonts w:eastAsia="Times New Roman" w:cstheme="minorHAnsi"/>
                <w:color w:val="000000"/>
                <w:lang w:val="en-CA" w:eastAsia="en-CA"/>
              </w:rPr>
            </w:pPr>
            <w:r w:rsidRPr="001773C4">
              <w:rPr>
                <w:rFonts w:eastAsia="Times New Roman" w:cstheme="minorHAnsi"/>
                <w:color w:val="000000"/>
                <w:lang w:val="en-CA" w:eastAsia="en-CA"/>
              </w:rPr>
              <w:t>1.4</w:t>
            </w:r>
          </w:p>
        </w:tc>
        <w:tc>
          <w:tcPr>
            <w:tcW w:w="726" w:type="dxa"/>
            <w:tcBorders>
              <w:top w:val="nil"/>
              <w:left w:val="nil"/>
              <w:bottom w:val="nil"/>
              <w:right w:val="nil"/>
            </w:tcBorders>
            <w:shd w:val="clear" w:color="auto" w:fill="auto"/>
            <w:noWrap/>
            <w:vAlign w:val="center"/>
          </w:tcPr>
          <w:p w14:paraId="35609707" w14:textId="7B837037" w:rsidR="007A184F" w:rsidRPr="001773C4" w:rsidRDefault="007A184F" w:rsidP="007A184F">
            <w:pPr>
              <w:spacing w:after="0" w:line="240" w:lineRule="auto"/>
              <w:jc w:val="right"/>
              <w:rPr>
                <w:rFonts w:eastAsia="Times New Roman" w:cstheme="minorHAnsi"/>
                <w:b/>
                <w:bCs/>
                <w:color w:val="000000"/>
                <w:lang w:val="en-CA" w:eastAsia="en-CA"/>
              </w:rPr>
            </w:pPr>
            <w:r w:rsidRPr="001773C4">
              <w:rPr>
                <w:rFonts w:eastAsia="Times New Roman" w:cstheme="minorHAnsi"/>
                <w:b/>
                <w:bCs/>
                <w:color w:val="000000"/>
                <w:lang w:val="en-CA" w:eastAsia="en-CA"/>
              </w:rPr>
              <w:t xml:space="preserve">1.8 </w:t>
            </w:r>
          </w:p>
        </w:tc>
        <w:tc>
          <w:tcPr>
            <w:tcW w:w="725" w:type="dxa"/>
            <w:tcBorders>
              <w:top w:val="nil"/>
              <w:left w:val="nil"/>
              <w:bottom w:val="nil"/>
              <w:right w:val="nil"/>
            </w:tcBorders>
            <w:shd w:val="clear" w:color="auto" w:fill="auto"/>
            <w:noWrap/>
            <w:vAlign w:val="center"/>
          </w:tcPr>
          <w:p w14:paraId="558EB8EA" w14:textId="7C74D860" w:rsidR="007A184F" w:rsidRPr="001773C4" w:rsidRDefault="007A184F" w:rsidP="007A184F">
            <w:pPr>
              <w:spacing w:after="0" w:line="240" w:lineRule="auto"/>
              <w:jc w:val="right"/>
              <w:rPr>
                <w:rFonts w:eastAsia="Times New Roman" w:cstheme="minorHAnsi"/>
                <w:color w:val="000000"/>
                <w:lang w:val="en-CA" w:eastAsia="en-CA"/>
              </w:rPr>
            </w:pPr>
            <w:r w:rsidRPr="001773C4">
              <w:rPr>
                <w:rFonts w:eastAsia="Times New Roman" w:cstheme="minorHAnsi"/>
                <w:color w:val="000000"/>
                <w:lang w:val="en-CA" w:eastAsia="en-CA"/>
              </w:rPr>
              <w:t>2.4</w:t>
            </w:r>
          </w:p>
        </w:tc>
        <w:tc>
          <w:tcPr>
            <w:tcW w:w="725" w:type="dxa"/>
            <w:tcBorders>
              <w:top w:val="nil"/>
              <w:left w:val="nil"/>
              <w:bottom w:val="nil"/>
              <w:right w:val="nil"/>
            </w:tcBorders>
            <w:shd w:val="clear" w:color="auto" w:fill="auto"/>
            <w:noWrap/>
            <w:vAlign w:val="center"/>
          </w:tcPr>
          <w:p w14:paraId="5F58CCE3" w14:textId="299DD862" w:rsidR="007A184F" w:rsidRPr="001773C4" w:rsidRDefault="007A184F" w:rsidP="007A184F">
            <w:pPr>
              <w:spacing w:after="0" w:line="240" w:lineRule="auto"/>
              <w:jc w:val="right"/>
              <w:rPr>
                <w:rFonts w:eastAsia="Times New Roman" w:cstheme="minorHAnsi"/>
                <w:color w:val="000000"/>
                <w:lang w:val="en-CA" w:eastAsia="en-CA"/>
              </w:rPr>
            </w:pPr>
            <w:r w:rsidRPr="001773C4">
              <w:rPr>
                <w:rFonts w:eastAsia="Times New Roman" w:cstheme="minorHAnsi"/>
                <w:color w:val="000000"/>
                <w:lang w:val="en-CA" w:eastAsia="en-CA"/>
              </w:rPr>
              <w:t>3.2</w:t>
            </w:r>
          </w:p>
        </w:tc>
        <w:tc>
          <w:tcPr>
            <w:tcW w:w="725" w:type="dxa"/>
            <w:tcBorders>
              <w:top w:val="nil"/>
              <w:left w:val="nil"/>
              <w:bottom w:val="nil"/>
              <w:right w:val="nil"/>
            </w:tcBorders>
            <w:shd w:val="clear" w:color="auto" w:fill="auto"/>
            <w:noWrap/>
            <w:vAlign w:val="center"/>
          </w:tcPr>
          <w:p w14:paraId="6CB8FF2C" w14:textId="2782E4AC" w:rsidR="007A184F" w:rsidRPr="001773C4" w:rsidRDefault="007A184F" w:rsidP="007A184F">
            <w:pPr>
              <w:spacing w:after="0" w:line="240" w:lineRule="auto"/>
              <w:jc w:val="right"/>
              <w:rPr>
                <w:rFonts w:eastAsia="Times New Roman" w:cstheme="minorHAnsi"/>
                <w:color w:val="000000"/>
                <w:lang w:val="en-CA" w:eastAsia="en-CA"/>
              </w:rPr>
            </w:pPr>
            <w:r w:rsidRPr="001773C4">
              <w:rPr>
                <w:rFonts w:eastAsia="Times New Roman" w:cstheme="minorHAnsi"/>
                <w:color w:val="000000"/>
                <w:lang w:val="en-CA" w:eastAsia="en-CA"/>
              </w:rPr>
              <w:t>3.8</w:t>
            </w:r>
          </w:p>
        </w:tc>
      </w:tr>
      <w:tr w:rsidR="007A184F" w:rsidRPr="001773C4" w14:paraId="1659BB28" w14:textId="77777777" w:rsidTr="00E43885">
        <w:trPr>
          <w:trHeight w:val="300"/>
        </w:trPr>
        <w:tc>
          <w:tcPr>
            <w:tcW w:w="1164" w:type="dxa"/>
            <w:vMerge/>
            <w:tcBorders>
              <w:top w:val="nil"/>
              <w:left w:val="nil"/>
              <w:bottom w:val="single" w:sz="4" w:space="0" w:color="000000"/>
              <w:right w:val="nil"/>
            </w:tcBorders>
            <w:vAlign w:val="center"/>
          </w:tcPr>
          <w:p w14:paraId="2C99EE4B" w14:textId="77777777" w:rsidR="007A184F" w:rsidRPr="001773C4" w:rsidRDefault="007A184F" w:rsidP="007A184F">
            <w:pPr>
              <w:spacing w:after="0" w:line="240" w:lineRule="auto"/>
              <w:rPr>
                <w:rFonts w:eastAsia="Times New Roman" w:cstheme="minorHAnsi"/>
                <w:color w:val="000000"/>
                <w:lang w:val="en-CA" w:eastAsia="en-CA"/>
              </w:rPr>
            </w:pPr>
          </w:p>
        </w:tc>
        <w:tc>
          <w:tcPr>
            <w:tcW w:w="1461" w:type="dxa"/>
            <w:tcBorders>
              <w:top w:val="nil"/>
              <w:left w:val="nil"/>
              <w:bottom w:val="single" w:sz="4" w:space="0" w:color="auto"/>
              <w:right w:val="nil"/>
            </w:tcBorders>
            <w:shd w:val="clear" w:color="auto" w:fill="auto"/>
            <w:noWrap/>
            <w:vAlign w:val="center"/>
          </w:tcPr>
          <w:p w14:paraId="285785D2" w14:textId="34DED312" w:rsidR="007A184F" w:rsidRPr="001773C4" w:rsidRDefault="007A184F" w:rsidP="007A184F">
            <w:pPr>
              <w:spacing w:after="0" w:line="240" w:lineRule="auto"/>
              <w:rPr>
                <w:rFonts w:eastAsia="Times New Roman" w:cstheme="minorHAnsi"/>
                <w:color w:val="000000"/>
                <w:lang w:val="en-CA" w:eastAsia="en-CA"/>
              </w:rPr>
            </w:pPr>
            <w:r w:rsidRPr="001773C4">
              <w:rPr>
                <w:rFonts w:eastAsia="Times New Roman" w:cstheme="minorHAnsi"/>
                <w:color w:val="000000"/>
                <w:lang w:val="en-CA" w:eastAsia="en-CA"/>
              </w:rPr>
              <w:t>80% S</w:t>
            </w:r>
            <w:r w:rsidRPr="001773C4">
              <w:rPr>
                <w:rFonts w:eastAsia="Times New Roman" w:cstheme="minorHAnsi"/>
                <w:color w:val="000000"/>
                <w:vertAlign w:val="subscript"/>
                <w:lang w:val="en-CA" w:eastAsia="en-CA"/>
              </w:rPr>
              <w:t>MSY</w:t>
            </w:r>
          </w:p>
        </w:tc>
        <w:tc>
          <w:tcPr>
            <w:tcW w:w="953" w:type="dxa"/>
            <w:tcBorders>
              <w:top w:val="nil"/>
              <w:left w:val="nil"/>
              <w:bottom w:val="single" w:sz="4" w:space="0" w:color="auto"/>
              <w:right w:val="nil"/>
            </w:tcBorders>
            <w:shd w:val="clear" w:color="auto" w:fill="auto"/>
            <w:noWrap/>
            <w:vAlign w:val="center"/>
          </w:tcPr>
          <w:p w14:paraId="40B58335" w14:textId="63542AC2" w:rsidR="007A184F" w:rsidRPr="001773C4" w:rsidRDefault="007A184F" w:rsidP="007A184F">
            <w:pPr>
              <w:spacing w:after="0" w:line="240" w:lineRule="auto"/>
              <w:jc w:val="right"/>
              <w:rPr>
                <w:rFonts w:eastAsia="Times New Roman" w:cstheme="minorHAnsi"/>
                <w:color w:val="000000"/>
                <w:lang w:val="en-CA" w:eastAsia="en-CA"/>
              </w:rPr>
            </w:pPr>
            <w:r w:rsidRPr="001773C4">
              <w:rPr>
                <w:rFonts w:eastAsia="Times New Roman" w:cstheme="minorHAnsi"/>
                <w:color w:val="000000"/>
                <w:lang w:val="en-CA" w:eastAsia="en-CA"/>
              </w:rPr>
              <w:t>4.7</w:t>
            </w:r>
          </w:p>
        </w:tc>
        <w:tc>
          <w:tcPr>
            <w:tcW w:w="941" w:type="dxa"/>
            <w:tcBorders>
              <w:top w:val="nil"/>
              <w:left w:val="nil"/>
              <w:bottom w:val="single" w:sz="4" w:space="0" w:color="auto"/>
              <w:right w:val="nil"/>
            </w:tcBorders>
            <w:shd w:val="clear" w:color="auto" w:fill="auto"/>
            <w:noWrap/>
            <w:vAlign w:val="center"/>
          </w:tcPr>
          <w:p w14:paraId="0E7771C2" w14:textId="2EF950C9" w:rsidR="007A184F" w:rsidRPr="001773C4" w:rsidRDefault="007A184F" w:rsidP="007A184F">
            <w:pPr>
              <w:spacing w:after="0" w:line="240" w:lineRule="auto"/>
              <w:jc w:val="right"/>
              <w:rPr>
                <w:rFonts w:eastAsia="Times New Roman" w:cstheme="minorHAnsi"/>
                <w:color w:val="000000"/>
                <w:lang w:val="en-CA" w:eastAsia="en-CA"/>
              </w:rPr>
            </w:pPr>
            <w:r w:rsidRPr="001773C4">
              <w:rPr>
                <w:rFonts w:eastAsia="Times New Roman" w:cstheme="minorHAnsi"/>
                <w:color w:val="000000"/>
                <w:lang w:val="en-CA" w:eastAsia="en-CA"/>
              </w:rPr>
              <w:t xml:space="preserve">1.3 </w:t>
            </w:r>
          </w:p>
        </w:tc>
        <w:tc>
          <w:tcPr>
            <w:tcW w:w="746" w:type="dxa"/>
            <w:tcBorders>
              <w:top w:val="nil"/>
              <w:left w:val="nil"/>
              <w:bottom w:val="single" w:sz="4" w:space="0" w:color="auto"/>
              <w:right w:val="nil"/>
            </w:tcBorders>
            <w:shd w:val="clear" w:color="auto" w:fill="auto"/>
            <w:noWrap/>
            <w:vAlign w:val="center"/>
          </w:tcPr>
          <w:p w14:paraId="1753C95D" w14:textId="2D9CEF9C" w:rsidR="007A184F" w:rsidRPr="001773C4" w:rsidRDefault="007A184F" w:rsidP="007A184F">
            <w:pPr>
              <w:spacing w:after="0" w:line="240" w:lineRule="auto"/>
              <w:jc w:val="right"/>
              <w:rPr>
                <w:rFonts w:eastAsia="Times New Roman" w:cstheme="minorHAnsi"/>
                <w:color w:val="000000"/>
                <w:lang w:val="en-CA" w:eastAsia="en-CA"/>
              </w:rPr>
            </w:pPr>
            <w:r w:rsidRPr="001773C4">
              <w:rPr>
                <w:rFonts w:eastAsia="Times New Roman" w:cstheme="minorHAnsi"/>
                <w:color w:val="000000"/>
                <w:lang w:val="en-CA" w:eastAsia="en-CA"/>
              </w:rPr>
              <w:t>3.5</w:t>
            </w:r>
          </w:p>
        </w:tc>
        <w:tc>
          <w:tcPr>
            <w:tcW w:w="746" w:type="dxa"/>
            <w:tcBorders>
              <w:top w:val="nil"/>
              <w:left w:val="nil"/>
              <w:bottom w:val="single" w:sz="4" w:space="0" w:color="auto"/>
              <w:right w:val="nil"/>
            </w:tcBorders>
            <w:shd w:val="clear" w:color="auto" w:fill="auto"/>
            <w:noWrap/>
            <w:vAlign w:val="center"/>
          </w:tcPr>
          <w:p w14:paraId="0460BCDF" w14:textId="78A0FD2C" w:rsidR="007A184F" w:rsidRPr="001773C4" w:rsidRDefault="007A184F" w:rsidP="007A184F">
            <w:pPr>
              <w:spacing w:after="0" w:line="240" w:lineRule="auto"/>
              <w:jc w:val="right"/>
              <w:rPr>
                <w:rFonts w:eastAsia="Times New Roman" w:cstheme="minorHAnsi"/>
                <w:color w:val="000000"/>
                <w:lang w:val="en-CA" w:eastAsia="en-CA"/>
              </w:rPr>
            </w:pPr>
            <w:r w:rsidRPr="001773C4">
              <w:rPr>
                <w:rFonts w:eastAsia="Times New Roman" w:cstheme="minorHAnsi"/>
                <w:color w:val="000000"/>
                <w:lang w:val="en-CA" w:eastAsia="en-CA"/>
              </w:rPr>
              <w:t>3.7</w:t>
            </w:r>
          </w:p>
        </w:tc>
        <w:tc>
          <w:tcPr>
            <w:tcW w:w="725" w:type="dxa"/>
            <w:tcBorders>
              <w:top w:val="nil"/>
              <w:left w:val="nil"/>
              <w:bottom w:val="single" w:sz="4" w:space="0" w:color="auto"/>
              <w:right w:val="nil"/>
            </w:tcBorders>
            <w:shd w:val="clear" w:color="auto" w:fill="auto"/>
            <w:noWrap/>
            <w:vAlign w:val="center"/>
          </w:tcPr>
          <w:p w14:paraId="0E3A6073" w14:textId="531D8874" w:rsidR="007A184F" w:rsidRPr="001773C4" w:rsidRDefault="007A184F" w:rsidP="007A184F">
            <w:pPr>
              <w:spacing w:after="0" w:line="240" w:lineRule="auto"/>
              <w:jc w:val="right"/>
              <w:rPr>
                <w:rFonts w:eastAsia="Times New Roman" w:cstheme="minorHAnsi"/>
                <w:color w:val="000000"/>
                <w:lang w:val="en-CA" w:eastAsia="en-CA"/>
              </w:rPr>
            </w:pPr>
            <w:r w:rsidRPr="001773C4">
              <w:rPr>
                <w:rFonts w:eastAsia="Times New Roman" w:cstheme="minorHAnsi"/>
                <w:color w:val="000000"/>
                <w:lang w:val="en-CA" w:eastAsia="en-CA"/>
              </w:rPr>
              <w:t>4.1</w:t>
            </w:r>
          </w:p>
        </w:tc>
        <w:tc>
          <w:tcPr>
            <w:tcW w:w="726" w:type="dxa"/>
            <w:tcBorders>
              <w:top w:val="nil"/>
              <w:left w:val="nil"/>
              <w:bottom w:val="single" w:sz="4" w:space="0" w:color="auto"/>
              <w:right w:val="nil"/>
            </w:tcBorders>
            <w:shd w:val="clear" w:color="auto" w:fill="auto"/>
            <w:noWrap/>
            <w:vAlign w:val="center"/>
          </w:tcPr>
          <w:p w14:paraId="7092E069" w14:textId="2F08B391" w:rsidR="007A184F" w:rsidRPr="001773C4" w:rsidRDefault="007A184F" w:rsidP="007A184F">
            <w:pPr>
              <w:spacing w:after="0" w:line="240" w:lineRule="auto"/>
              <w:jc w:val="right"/>
              <w:rPr>
                <w:rFonts w:eastAsia="Times New Roman" w:cstheme="minorHAnsi"/>
                <w:b/>
                <w:bCs/>
                <w:color w:val="000000"/>
                <w:lang w:val="en-CA" w:eastAsia="en-CA"/>
              </w:rPr>
            </w:pPr>
            <w:r w:rsidRPr="001773C4">
              <w:rPr>
                <w:rFonts w:eastAsia="Times New Roman" w:cstheme="minorHAnsi"/>
                <w:b/>
                <w:bCs/>
                <w:color w:val="000000"/>
                <w:lang w:val="en-CA" w:eastAsia="en-CA"/>
              </w:rPr>
              <w:t xml:space="preserve">4.7 </w:t>
            </w:r>
          </w:p>
        </w:tc>
        <w:tc>
          <w:tcPr>
            <w:tcW w:w="725" w:type="dxa"/>
            <w:tcBorders>
              <w:top w:val="nil"/>
              <w:left w:val="nil"/>
              <w:bottom w:val="single" w:sz="4" w:space="0" w:color="auto"/>
              <w:right w:val="nil"/>
            </w:tcBorders>
            <w:shd w:val="clear" w:color="auto" w:fill="auto"/>
            <w:noWrap/>
            <w:vAlign w:val="center"/>
          </w:tcPr>
          <w:p w14:paraId="4DB804AB" w14:textId="7BDD8AF4" w:rsidR="007A184F" w:rsidRPr="001773C4" w:rsidRDefault="007A184F" w:rsidP="007A184F">
            <w:pPr>
              <w:spacing w:after="0" w:line="240" w:lineRule="auto"/>
              <w:jc w:val="right"/>
              <w:rPr>
                <w:rFonts w:eastAsia="Times New Roman" w:cstheme="minorHAnsi"/>
                <w:color w:val="000000"/>
                <w:lang w:val="en-CA" w:eastAsia="en-CA"/>
              </w:rPr>
            </w:pPr>
            <w:r w:rsidRPr="001773C4">
              <w:rPr>
                <w:rFonts w:eastAsia="Times New Roman" w:cstheme="minorHAnsi"/>
                <w:color w:val="000000"/>
                <w:lang w:val="en-CA" w:eastAsia="en-CA"/>
              </w:rPr>
              <w:t>5.4</w:t>
            </w:r>
          </w:p>
        </w:tc>
        <w:tc>
          <w:tcPr>
            <w:tcW w:w="725" w:type="dxa"/>
            <w:tcBorders>
              <w:top w:val="nil"/>
              <w:left w:val="nil"/>
              <w:bottom w:val="single" w:sz="4" w:space="0" w:color="auto"/>
              <w:right w:val="nil"/>
            </w:tcBorders>
            <w:shd w:val="clear" w:color="auto" w:fill="auto"/>
            <w:noWrap/>
            <w:vAlign w:val="center"/>
          </w:tcPr>
          <w:p w14:paraId="2797FCF3" w14:textId="7D28A534" w:rsidR="007A184F" w:rsidRPr="001773C4" w:rsidRDefault="007A184F" w:rsidP="007A184F">
            <w:pPr>
              <w:spacing w:after="0" w:line="240" w:lineRule="auto"/>
              <w:jc w:val="right"/>
              <w:rPr>
                <w:rFonts w:eastAsia="Times New Roman" w:cstheme="minorHAnsi"/>
                <w:color w:val="000000"/>
                <w:lang w:val="en-CA" w:eastAsia="en-CA"/>
              </w:rPr>
            </w:pPr>
            <w:r w:rsidRPr="001773C4">
              <w:rPr>
                <w:rFonts w:eastAsia="Times New Roman" w:cstheme="minorHAnsi"/>
                <w:color w:val="000000"/>
                <w:lang w:val="en-CA" w:eastAsia="en-CA"/>
              </w:rPr>
              <w:t>6.5</w:t>
            </w:r>
          </w:p>
        </w:tc>
        <w:tc>
          <w:tcPr>
            <w:tcW w:w="725" w:type="dxa"/>
            <w:tcBorders>
              <w:top w:val="nil"/>
              <w:left w:val="nil"/>
              <w:bottom w:val="single" w:sz="4" w:space="0" w:color="auto"/>
              <w:right w:val="nil"/>
            </w:tcBorders>
            <w:shd w:val="clear" w:color="auto" w:fill="auto"/>
            <w:noWrap/>
            <w:vAlign w:val="center"/>
          </w:tcPr>
          <w:p w14:paraId="0CCFAE2D" w14:textId="1B56B1C1" w:rsidR="007A184F" w:rsidRPr="001773C4" w:rsidRDefault="007A184F" w:rsidP="007A184F">
            <w:pPr>
              <w:spacing w:after="0" w:line="240" w:lineRule="auto"/>
              <w:jc w:val="right"/>
              <w:rPr>
                <w:rFonts w:eastAsia="Times New Roman" w:cstheme="minorHAnsi"/>
                <w:color w:val="000000"/>
                <w:lang w:val="en-CA" w:eastAsia="en-CA"/>
              </w:rPr>
            </w:pPr>
            <w:r w:rsidRPr="001773C4">
              <w:rPr>
                <w:rFonts w:eastAsia="Times New Roman" w:cstheme="minorHAnsi"/>
                <w:color w:val="000000"/>
                <w:lang w:val="en-CA" w:eastAsia="en-CA"/>
              </w:rPr>
              <w:t>7.6</w:t>
            </w:r>
          </w:p>
        </w:tc>
      </w:tr>
    </w:tbl>
    <w:p w14:paraId="086D840C" w14:textId="77777777" w:rsidR="00E43885" w:rsidRPr="00E43885" w:rsidRDefault="00E43885" w:rsidP="00E43885"/>
    <w:p w14:paraId="4B46F06B" w14:textId="012F42A7" w:rsidR="00DD648E" w:rsidRPr="00DD648E" w:rsidRDefault="00DD648E" w:rsidP="00DD648E">
      <w:pPr>
        <w:pStyle w:val="Heading1"/>
      </w:pPr>
      <w:r>
        <w:t>Rapid Status Summary</w:t>
      </w:r>
    </w:p>
    <w:p w14:paraId="5CAE50C2" w14:textId="77777777" w:rsidR="00BD7D31" w:rsidRDefault="00C93311" w:rsidP="00BD7D31">
      <w:r>
        <w:rPr>
          <w:b/>
          <w:bCs/>
        </w:rPr>
        <w:t>S</w:t>
      </w:r>
      <w:r w:rsidR="002B1DF5">
        <w:rPr>
          <w:b/>
          <w:bCs/>
        </w:rPr>
        <w:t xml:space="preserve">tock Management Unit (SMU) Limit Reference Point (LRP) </w:t>
      </w:r>
      <w:r>
        <w:rPr>
          <w:b/>
          <w:bCs/>
        </w:rPr>
        <w:t>status based on expert consensus</w:t>
      </w:r>
      <w:r w:rsidR="00296524">
        <w:rPr>
          <w:rStyle w:val="FootnoteReference"/>
          <w:b/>
          <w:bCs/>
        </w:rPr>
        <w:footnoteReference w:id="2"/>
      </w:r>
      <w:r w:rsidR="00BD7D31" w:rsidRPr="00BD7D31">
        <w:t xml:space="preserve"> </w:t>
      </w:r>
    </w:p>
    <w:p w14:paraId="13A462D8" w14:textId="2EAD66BB" w:rsidR="00BD7D31" w:rsidRDefault="00BD7D31" w:rsidP="00BD7D31">
      <w:r w:rsidRPr="005F6FA4">
        <w:t xml:space="preserve">There </w:t>
      </w:r>
      <w:r w:rsidR="00E43885" w:rsidRPr="005F6FA4">
        <w:t>is one</w:t>
      </w:r>
      <w:r w:rsidRPr="005F6FA4">
        <w:t xml:space="preserve"> CUs in th</w:t>
      </w:r>
      <w:r w:rsidR="001972A2" w:rsidRPr="005F6FA4">
        <w:t xml:space="preserve">e </w:t>
      </w:r>
      <w:r w:rsidR="00E43885" w:rsidRPr="005F6FA4">
        <w:t>Fraser P</w:t>
      </w:r>
      <w:r w:rsidR="00CC0878" w:rsidRPr="005F6FA4">
        <w:t>i</w:t>
      </w:r>
      <w:r w:rsidR="00E43885" w:rsidRPr="005F6FA4">
        <w:t>nk</w:t>
      </w:r>
      <w:r w:rsidRPr="005F6FA4">
        <w:t xml:space="preserve"> SMU and </w:t>
      </w:r>
      <w:r w:rsidR="00CC0878" w:rsidRPr="005F6FA4">
        <w:t>it is designed</w:t>
      </w:r>
      <w:r w:rsidRPr="005F6FA4">
        <w:t xml:space="preserve"> </w:t>
      </w:r>
      <w:r w:rsidRPr="005F6FA4">
        <w:rPr>
          <w:b/>
          <w:bCs/>
        </w:rPr>
        <w:t>Green</w:t>
      </w:r>
      <w:r w:rsidRPr="005F6FA4">
        <w:t xml:space="preserve">, placing this SMU </w:t>
      </w:r>
      <w:r w:rsidRPr="005F6FA4">
        <w:rPr>
          <w:b/>
          <w:bCs/>
        </w:rPr>
        <w:t>above the LRP</w:t>
      </w:r>
      <w:r w:rsidRPr="005F6FA4">
        <w:t xml:space="preserve"> in terms of</w:t>
      </w:r>
      <w:r w:rsidR="00EE3081" w:rsidRPr="005F6FA4">
        <w:t xml:space="preserve"> WSP</w:t>
      </w:r>
      <w:r w:rsidRPr="005F6FA4">
        <w:t xml:space="preserve"> rapid status (Figures </w:t>
      </w:r>
      <w:r w:rsidR="00612A6F" w:rsidRPr="005F6FA4">
        <w:t>1</w:t>
      </w:r>
      <w:r w:rsidRPr="005F6FA4">
        <w:t xml:space="preserve"> &amp; Table</w:t>
      </w:r>
      <w:r w:rsidR="00EE3081" w:rsidRPr="005F6FA4">
        <w:t>s 3</w:t>
      </w:r>
      <w:r w:rsidR="00612A6F" w:rsidRPr="005F6FA4">
        <w:t xml:space="preserve"> - 5</w:t>
      </w:r>
      <w:r w:rsidR="009255BF" w:rsidRPr="005F6FA4">
        <w:t>).</w:t>
      </w:r>
      <w:r w:rsidR="00612A6F">
        <w:t xml:space="preserve"> </w:t>
      </w:r>
    </w:p>
    <w:p w14:paraId="3A57A5FE" w14:textId="774BDBED" w:rsidR="001773C4" w:rsidRPr="001773C4" w:rsidRDefault="001773C4" w:rsidP="00BD7D31">
      <w:r>
        <w:t xml:space="preserve">Fraser Pink Odd Year spawner abundance increased from the 1960s to 2000s and has since been variable. In 12 out of the last 15 years, the preliminary WSP Rapid Status’ have been </w:t>
      </w:r>
      <w:r>
        <w:rPr>
          <w:i/>
          <w:iCs/>
        </w:rPr>
        <w:t>Green</w:t>
      </w:r>
      <w:r>
        <w:t xml:space="preserve">, while the remaining three years were assessed as </w:t>
      </w:r>
      <w:r>
        <w:rPr>
          <w:i/>
          <w:iCs/>
        </w:rPr>
        <w:t>Yellow</w:t>
      </w:r>
      <w:r>
        <w:t xml:space="preserve">. The Rapid Status </w:t>
      </w:r>
      <w:r w:rsidR="0001454A">
        <w:t xml:space="preserve">for 2023 is currently </w:t>
      </w:r>
      <w:r w:rsidR="0001454A" w:rsidRPr="0001454A">
        <w:rPr>
          <w:i/>
          <w:iCs/>
        </w:rPr>
        <w:t>Green</w:t>
      </w:r>
      <w:r w:rsidR="0001454A">
        <w:t xml:space="preserve"> due to the </w:t>
      </w:r>
      <w:r w:rsidR="003E7E61">
        <w:t>spawner abundance in 2023 being greater than the upper Relative-Abundance threshold.</w:t>
      </w:r>
    </w:p>
    <w:p w14:paraId="4C4BF0BA" w14:textId="5CC62C6B" w:rsidR="001773C4" w:rsidRPr="001773C4" w:rsidRDefault="001773C4" w:rsidP="00BD7D31">
      <w:pPr>
        <w:rPr>
          <w:rFonts w:cstheme="minorHAnsi"/>
        </w:rPr>
      </w:pPr>
      <w:r w:rsidRPr="005030A8">
        <w:rPr>
          <w:rFonts w:cstheme="minorHAnsi"/>
          <w:color w:val="FF0000"/>
          <w:highlight w:val="yellow"/>
        </w:rPr>
        <w:lastRenderedPageBreak/>
        <w:t>Summarize any additional information and comments from the expert review</w:t>
      </w:r>
      <w:r w:rsidRPr="005030A8">
        <w:rPr>
          <w:rFonts w:cstheme="minorHAnsi"/>
          <w:highlight w:val="yellow"/>
        </w:rPr>
        <w:t xml:space="preserve">. </w:t>
      </w:r>
    </w:p>
    <w:p w14:paraId="6C03010B" w14:textId="5C6F2363" w:rsidR="001773C4" w:rsidRPr="001773C4" w:rsidRDefault="001773C4" w:rsidP="00BD7D31">
      <w:pPr>
        <w:rPr>
          <w:color w:val="FF0000"/>
        </w:rPr>
      </w:pPr>
      <w:r w:rsidRPr="006A1110">
        <w:rPr>
          <w:b/>
          <w:bCs/>
        </w:rPr>
        <w:t>Future work:</w:t>
      </w:r>
      <w:r>
        <w:rPr>
          <w:b/>
          <w:bCs/>
        </w:rPr>
        <w:t xml:space="preserve"> </w:t>
      </w:r>
      <w:r w:rsidRPr="003935EB">
        <w:rPr>
          <w:highlight w:val="yellow"/>
        </w:rPr>
        <w:t>[</w:t>
      </w:r>
      <w:r>
        <w:rPr>
          <w:highlight w:val="yellow"/>
        </w:rPr>
        <w:t xml:space="preserve">pending an </w:t>
      </w:r>
      <w:r w:rsidRPr="003935EB">
        <w:rPr>
          <w:highlight w:val="yellow"/>
        </w:rPr>
        <w:t>expert review]</w:t>
      </w:r>
    </w:p>
    <w:p w14:paraId="31310F39" w14:textId="2814C64F" w:rsidR="00D362A9" w:rsidRPr="00E43885" w:rsidRDefault="005C38B9" w:rsidP="00E43885">
      <w:pPr>
        <w:spacing w:after="240" w:line="240" w:lineRule="auto"/>
        <w:rPr>
          <w:rFonts w:ascii="Helvetica" w:hAnsi="Helvetica"/>
        </w:rPr>
      </w:pPr>
      <w:r w:rsidRPr="00E43885">
        <w:rPr>
          <w:rFonts w:ascii="Helvetica" w:hAnsi="Helvetica"/>
          <w:b/>
          <w:bCs/>
        </w:rPr>
        <w:t xml:space="preserve">Table </w:t>
      </w:r>
      <w:r w:rsidR="000C512E">
        <w:rPr>
          <w:rFonts w:ascii="Helvetica" w:hAnsi="Helvetica"/>
          <w:b/>
          <w:bCs/>
        </w:rPr>
        <w:t>3</w:t>
      </w:r>
      <w:r w:rsidRPr="00E43885">
        <w:rPr>
          <w:rFonts w:ascii="Helvetica" w:hAnsi="Helvetica"/>
          <w:b/>
          <w:bCs/>
        </w:rPr>
        <w:t xml:space="preserve">. </w:t>
      </w:r>
      <w:r w:rsidR="00D362A9" w:rsidRPr="00E43885">
        <w:rPr>
          <w:rFonts w:ascii="Helvetica" w:hAnsi="Helvetica"/>
          <w:b/>
          <w:bCs/>
        </w:rPr>
        <w:t>WSP rapid statuses</w:t>
      </w:r>
      <w:r w:rsidR="007D5A1A" w:rsidRPr="00E43885">
        <w:rPr>
          <w:rFonts w:ascii="Helvetica" w:hAnsi="Helvetica"/>
          <w:b/>
          <w:bCs/>
        </w:rPr>
        <w:t xml:space="preserve"> for 202</w:t>
      </w:r>
      <w:r w:rsidR="00495C72">
        <w:rPr>
          <w:rFonts w:ascii="Helvetica" w:hAnsi="Helvetica"/>
          <w:b/>
          <w:bCs/>
        </w:rPr>
        <w:t>3</w:t>
      </w:r>
      <w:r w:rsidR="00D362A9" w:rsidRPr="00E43885">
        <w:rPr>
          <w:rFonts w:ascii="Helvetica" w:hAnsi="Helvetica"/>
          <w:b/>
          <w:bCs/>
        </w:rPr>
        <w:t xml:space="preserve">: </w:t>
      </w:r>
      <w:r w:rsidR="00BF70F2" w:rsidRPr="00E43885">
        <w:rPr>
          <w:rFonts w:ascii="Helvetica" w:hAnsi="Helvetica"/>
        </w:rPr>
        <w:t xml:space="preserve">The WSP rapid status algorithm was used to assess annual statuses for </w:t>
      </w:r>
      <w:r w:rsidR="00495C72">
        <w:rPr>
          <w:rFonts w:ascii="Helvetica" w:hAnsi="Helvetica"/>
        </w:rPr>
        <w:t>the Fraser Pink</w:t>
      </w:r>
      <w:r w:rsidR="00BF70F2" w:rsidRPr="00E43885">
        <w:rPr>
          <w:rFonts w:ascii="Helvetica" w:hAnsi="Helvetica"/>
        </w:rPr>
        <w:t xml:space="preserve"> CU</w:t>
      </w:r>
      <w:r w:rsidR="00763ABF">
        <w:rPr>
          <w:rFonts w:ascii="Helvetica" w:hAnsi="Helvetica"/>
        </w:rPr>
        <w:t xml:space="preserve"> (details provided in DFO 2024; Pestal et al. 2023).</w:t>
      </w:r>
    </w:p>
    <w:tbl>
      <w:tblPr>
        <w:tblStyle w:val="TableGrid"/>
        <w:tblW w:w="9805" w:type="dxa"/>
        <w:tblLook w:val="04A0" w:firstRow="1" w:lastRow="0" w:firstColumn="1" w:lastColumn="0" w:noHBand="0" w:noVBand="1"/>
      </w:tblPr>
      <w:tblGrid>
        <w:gridCol w:w="715"/>
        <w:gridCol w:w="1183"/>
        <w:gridCol w:w="1427"/>
        <w:gridCol w:w="6480"/>
      </w:tblGrid>
      <w:tr w:rsidR="00DA2E66" w14:paraId="3F213229" w14:textId="39A372B3" w:rsidTr="003E4C5D">
        <w:tc>
          <w:tcPr>
            <w:tcW w:w="715" w:type="dxa"/>
          </w:tcPr>
          <w:p w14:paraId="58C031F6" w14:textId="61BF9033" w:rsidR="00DA2E66" w:rsidRDefault="00DA2E66">
            <w:r>
              <w:t>CU #</w:t>
            </w:r>
          </w:p>
        </w:tc>
        <w:tc>
          <w:tcPr>
            <w:tcW w:w="1183" w:type="dxa"/>
          </w:tcPr>
          <w:p w14:paraId="6049893A" w14:textId="009D0BE8" w:rsidR="00DA2E66" w:rsidRPr="00DA2E66" w:rsidRDefault="00DA2E66">
            <w:pPr>
              <w:rPr>
                <w:b/>
                <w:bCs/>
              </w:rPr>
            </w:pPr>
            <w:r w:rsidRPr="00DA2E66">
              <w:rPr>
                <w:b/>
                <w:bCs/>
              </w:rPr>
              <w:t xml:space="preserve">CU </w:t>
            </w:r>
            <w:r w:rsidR="007D5A1A">
              <w:rPr>
                <w:b/>
                <w:bCs/>
              </w:rPr>
              <w:t>Name</w:t>
            </w:r>
          </w:p>
        </w:tc>
        <w:tc>
          <w:tcPr>
            <w:tcW w:w="1427" w:type="dxa"/>
          </w:tcPr>
          <w:p w14:paraId="00224E44" w14:textId="51B596B5" w:rsidR="00DA2E66" w:rsidRPr="007D5A1A" w:rsidRDefault="00DA2E66">
            <w:pPr>
              <w:rPr>
                <w:b/>
                <w:bCs/>
              </w:rPr>
            </w:pPr>
            <w:r w:rsidRPr="007D5A1A">
              <w:rPr>
                <w:b/>
                <w:bCs/>
              </w:rPr>
              <w:t>WSP Rapid Status</w:t>
            </w:r>
            <w:r w:rsidR="007D5A1A">
              <w:rPr>
                <w:b/>
                <w:bCs/>
              </w:rPr>
              <w:t xml:space="preserve"> </w:t>
            </w:r>
            <w:r w:rsidR="00FF378E">
              <w:rPr>
                <w:b/>
                <w:bCs/>
              </w:rPr>
              <w:t>(2022)</w:t>
            </w:r>
          </w:p>
        </w:tc>
        <w:tc>
          <w:tcPr>
            <w:tcW w:w="6480" w:type="dxa"/>
          </w:tcPr>
          <w:p w14:paraId="4E740628" w14:textId="4BC36C32" w:rsidR="00DA2E66" w:rsidRPr="00DA2E66" w:rsidRDefault="00DA2E66">
            <w:pPr>
              <w:rPr>
                <w:b/>
                <w:bCs/>
              </w:rPr>
            </w:pPr>
            <w:r>
              <w:rPr>
                <w:b/>
                <w:bCs/>
              </w:rPr>
              <w:t>WSP rapid status node</w:t>
            </w:r>
          </w:p>
        </w:tc>
      </w:tr>
      <w:tr w:rsidR="00971781" w14:paraId="2D0EE387" w14:textId="77777777" w:rsidTr="00971781">
        <w:tc>
          <w:tcPr>
            <w:tcW w:w="715" w:type="dxa"/>
          </w:tcPr>
          <w:p w14:paraId="79B1D075" w14:textId="4564E0D1" w:rsidR="00971781" w:rsidRDefault="00971781" w:rsidP="00971781">
            <w:pPr>
              <w:rPr>
                <w:b/>
                <w:bCs/>
              </w:rPr>
            </w:pPr>
          </w:p>
        </w:tc>
        <w:tc>
          <w:tcPr>
            <w:tcW w:w="1183" w:type="dxa"/>
          </w:tcPr>
          <w:p w14:paraId="359718EF" w14:textId="7899F54F" w:rsidR="00971781" w:rsidRDefault="00495C72" w:rsidP="00971781">
            <w:pPr>
              <w:rPr>
                <w:b/>
                <w:bCs/>
              </w:rPr>
            </w:pPr>
            <w:r>
              <w:rPr>
                <w:b/>
                <w:bCs/>
              </w:rPr>
              <w:t>Fraser Pinks</w:t>
            </w:r>
          </w:p>
        </w:tc>
        <w:tc>
          <w:tcPr>
            <w:tcW w:w="1427" w:type="dxa"/>
            <w:shd w:val="clear" w:color="auto" w:fill="00B050"/>
          </w:tcPr>
          <w:p w14:paraId="4E5A3501" w14:textId="77777777" w:rsidR="00971781" w:rsidRDefault="00971781" w:rsidP="00971781">
            <w:pPr>
              <w:rPr>
                <w:b/>
                <w:bCs/>
              </w:rPr>
            </w:pPr>
            <w:r>
              <w:rPr>
                <w:b/>
                <w:bCs/>
              </w:rPr>
              <w:t>GREEN</w:t>
            </w:r>
            <w:r w:rsidRPr="009C2026">
              <w:rPr>
                <w:b/>
                <w:bCs/>
              </w:rPr>
              <w:t xml:space="preserve">, </w:t>
            </w:r>
          </w:p>
          <w:p w14:paraId="00A44931" w14:textId="75B04133" w:rsidR="00971781" w:rsidRPr="009C2026" w:rsidRDefault="00971781" w:rsidP="00971781">
            <w:pPr>
              <w:rPr>
                <w:b/>
                <w:bCs/>
              </w:rPr>
            </w:pPr>
            <w:r>
              <w:rPr>
                <w:b/>
                <w:bCs/>
              </w:rPr>
              <w:t>HIGH</w:t>
            </w:r>
            <w:r w:rsidRPr="009C2026">
              <w:rPr>
                <w:b/>
                <w:bCs/>
              </w:rPr>
              <w:t xml:space="preserve"> CONFIDENCE</w:t>
            </w:r>
          </w:p>
        </w:tc>
        <w:tc>
          <w:tcPr>
            <w:tcW w:w="6480" w:type="dxa"/>
          </w:tcPr>
          <w:p w14:paraId="39989167" w14:textId="55D2D0A4" w:rsidR="00971781" w:rsidRDefault="00971781" w:rsidP="003E7E61">
            <w:r>
              <w:t>The recent year’s status (202</w:t>
            </w:r>
            <w:r w:rsidR="00495C72">
              <w:t>3</w:t>
            </w:r>
            <w:r>
              <w:t xml:space="preserve">) is designated </w:t>
            </w:r>
            <w:r w:rsidRPr="00737FB3">
              <w:rPr>
                <w:i/>
                <w:iCs/>
              </w:rPr>
              <w:t>Green</w:t>
            </w:r>
            <w:r>
              <w:t xml:space="preserve"> with </w:t>
            </w:r>
            <w:r w:rsidRPr="00737FB3">
              <w:rPr>
                <w:i/>
                <w:iCs/>
              </w:rPr>
              <w:t>High</w:t>
            </w:r>
            <w:r>
              <w:t xml:space="preserve"> confidence. The recent generational average</w:t>
            </w:r>
            <w:r w:rsidR="00526CAE">
              <w:t xml:space="preserve"> (9.6 Million)</w:t>
            </w:r>
            <w:r w:rsidR="00600602">
              <w:t xml:space="preserve"> cannot be compared to the </w:t>
            </w:r>
            <w:r w:rsidR="003E7E61">
              <w:t>A</w:t>
            </w:r>
            <w:r w:rsidRPr="00791E81">
              <w:rPr>
                <w:i/>
                <w:iCs/>
              </w:rPr>
              <w:t xml:space="preserve">bsolute </w:t>
            </w:r>
            <w:r w:rsidR="003E7E61">
              <w:rPr>
                <w:i/>
                <w:iCs/>
              </w:rPr>
              <w:t>A</w:t>
            </w:r>
            <w:r w:rsidRPr="00791E81">
              <w:rPr>
                <w:i/>
                <w:iCs/>
              </w:rPr>
              <w:t>bundance</w:t>
            </w:r>
            <w:r>
              <w:t xml:space="preserve"> algorithm</w:t>
            </w:r>
            <w:r w:rsidR="00600602">
              <w:t xml:space="preserve">, </w:t>
            </w:r>
            <w:r w:rsidR="003E7E61">
              <w:t>but</w:t>
            </w:r>
            <w:r w:rsidR="00600602">
              <w:t xml:space="preserve"> </w:t>
            </w:r>
            <w:r>
              <w:t xml:space="preserve">falls above the </w:t>
            </w:r>
            <w:r w:rsidR="003E7E61">
              <w:t>R</w:t>
            </w:r>
            <w:r w:rsidRPr="00DF380B">
              <w:rPr>
                <w:i/>
                <w:iCs/>
              </w:rPr>
              <w:t>elative-</w:t>
            </w:r>
            <w:r w:rsidR="003E7E61">
              <w:rPr>
                <w:i/>
                <w:iCs/>
              </w:rPr>
              <w:t>A</w:t>
            </w:r>
            <w:r w:rsidRPr="00DF380B">
              <w:rPr>
                <w:i/>
                <w:iCs/>
              </w:rPr>
              <w:t>bundance</w:t>
            </w:r>
            <w:r>
              <w:rPr>
                <w:i/>
                <w:iCs/>
              </w:rPr>
              <w:t xml:space="preserve"> </w:t>
            </w:r>
            <w:r>
              <w:t xml:space="preserve">metric upper </w:t>
            </w:r>
            <w:r w:rsidR="003E7E61">
              <w:t>threshold</w:t>
            </w:r>
            <w:r>
              <w:t xml:space="preserve"> (</w:t>
            </w:r>
            <w:r w:rsidR="00526CAE">
              <w:t>5.17 Million</w:t>
            </w:r>
            <w:r>
              <w:t xml:space="preserve">) (node 36) (Figures </w:t>
            </w:r>
            <w:r w:rsidR="005F1362">
              <w:t>1</w:t>
            </w:r>
            <w:r w:rsidR="0002555C">
              <w:t>-3; T</w:t>
            </w:r>
            <w:r>
              <w:t xml:space="preserve">able </w:t>
            </w:r>
            <w:r w:rsidR="005F1362">
              <w:t>4</w:t>
            </w:r>
            <w:r>
              <w:t xml:space="preserve">). </w:t>
            </w:r>
            <w:r w:rsidRPr="0002555C">
              <w:t>This status has</w:t>
            </w:r>
            <w:r w:rsidR="005F1362" w:rsidRPr="0002555C">
              <w:t xml:space="preserve"> been </w:t>
            </w:r>
            <w:r w:rsidR="005F1362" w:rsidRPr="0002555C">
              <w:rPr>
                <w:i/>
                <w:iCs/>
              </w:rPr>
              <w:t xml:space="preserve">Green </w:t>
            </w:r>
            <w:r w:rsidR="005F1362" w:rsidRPr="0002555C">
              <w:t>f</w:t>
            </w:r>
            <w:r w:rsidR="001221E8" w:rsidRPr="0002555C">
              <w:t>rom 1995 to 2023, with the exception of a few years, which were Amber (1997, 1999 &amp; 2017)</w:t>
            </w:r>
            <w:r w:rsidRPr="0002555C">
              <w:t>.</w:t>
            </w:r>
            <w:r w:rsidR="001221E8" w:rsidRPr="0002555C">
              <w:t xml:space="preserve"> After a period of high production in the mid-1990s, Fraser Pinks </w:t>
            </w:r>
            <w:r w:rsidR="0002555C">
              <w:t>escapements declined,</w:t>
            </w:r>
            <w:r w:rsidR="001221E8" w:rsidRPr="0002555C">
              <w:t xml:space="preserve"> which resulted in a </w:t>
            </w:r>
            <w:r w:rsidR="001221E8" w:rsidRPr="002434DB">
              <w:rPr>
                <w:i/>
                <w:iCs/>
              </w:rPr>
              <w:t>Red</w:t>
            </w:r>
            <w:r w:rsidR="001221E8" w:rsidRPr="0002555C">
              <w:t xml:space="preserve"> percent change (three generation trend) metric for several years. In recent years, however, </w:t>
            </w:r>
            <w:r w:rsidR="002434DB">
              <w:t>escapement</w:t>
            </w:r>
            <w:r w:rsidR="001221E8" w:rsidRPr="0002555C">
              <w:t xml:space="preserve"> has increased and the percent change metric is currently </w:t>
            </w:r>
            <w:r w:rsidR="001221E8" w:rsidRPr="0002555C">
              <w:rPr>
                <w:i/>
                <w:iCs/>
              </w:rPr>
              <w:t>Green</w:t>
            </w:r>
            <w:r w:rsidR="001221E8" w:rsidRPr="0002555C">
              <w:t xml:space="preserve">. </w:t>
            </w:r>
            <w:r w:rsidR="00600602">
              <w:t>No WSP integrated status has been completed for this CU previously.</w:t>
            </w:r>
            <w:r w:rsidR="0002555C">
              <w:t xml:space="preserve"> </w:t>
            </w:r>
          </w:p>
        </w:tc>
      </w:tr>
    </w:tbl>
    <w:p w14:paraId="3D35F192" w14:textId="2FAFBC17" w:rsidR="005F1362" w:rsidRDefault="005F1362" w:rsidP="00140917">
      <w:pPr>
        <w:rPr>
          <w:b/>
          <w:bCs/>
        </w:rPr>
      </w:pPr>
    </w:p>
    <w:p w14:paraId="32A99B18" w14:textId="4F50642A" w:rsidR="00AB7F6D" w:rsidRDefault="00AB7F6D" w:rsidP="00140917">
      <w:pPr>
        <w:rPr>
          <w:b/>
          <w:bCs/>
        </w:rPr>
      </w:pPr>
    </w:p>
    <w:p w14:paraId="4E70B75C" w14:textId="7E873CF1" w:rsidR="00600602" w:rsidRDefault="007A184F" w:rsidP="00140917">
      <w:pPr>
        <w:rPr>
          <w:b/>
          <w:bCs/>
        </w:rPr>
      </w:pPr>
      <w:r>
        <w:rPr>
          <w:b/>
          <w:bCs/>
          <w:noProof/>
        </w:rPr>
        <w:lastRenderedPageBreak/>
        <w:drawing>
          <wp:inline distT="0" distB="0" distL="0" distR="0" wp14:anchorId="2539E542" wp14:editId="020C7AF5">
            <wp:extent cx="5421630" cy="5570220"/>
            <wp:effectExtent l="0" t="0" r="7620" b="0"/>
            <wp:docPr id="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graph&#10;&#10;Description automatically generated"/>
                    <pic:cNvPicPr/>
                  </pic:nvPicPr>
                  <pic:blipFill rotWithShape="1">
                    <a:blip r:embed="rId8" cstate="print">
                      <a:extLst>
                        <a:ext uri="{28A0092B-C50C-407E-A947-70E740481C1C}">
                          <a14:useLocalDpi xmlns:a14="http://schemas.microsoft.com/office/drawing/2010/main" val="0"/>
                        </a:ext>
                      </a:extLst>
                    </a:blip>
                    <a:srcRect b="3681"/>
                    <a:stretch/>
                  </pic:blipFill>
                  <pic:spPr bwMode="auto">
                    <a:xfrm>
                      <a:off x="0" y="0"/>
                      <a:ext cx="5424329" cy="5572993"/>
                    </a:xfrm>
                    <a:prstGeom prst="rect">
                      <a:avLst/>
                    </a:prstGeom>
                    <a:ln>
                      <a:noFill/>
                    </a:ln>
                    <a:extLst>
                      <a:ext uri="{53640926-AAD7-44D8-BBD7-CCE9431645EC}">
                        <a14:shadowObscured xmlns:a14="http://schemas.microsoft.com/office/drawing/2010/main"/>
                      </a:ext>
                    </a:extLst>
                  </pic:spPr>
                </pic:pic>
              </a:graphicData>
            </a:graphic>
          </wp:inline>
        </w:drawing>
      </w:r>
    </w:p>
    <w:p w14:paraId="08675C4C" w14:textId="3402F3D5" w:rsidR="00140917" w:rsidRPr="00763ABF" w:rsidRDefault="007A184F" w:rsidP="00140917">
      <w:pPr>
        <w:rPr>
          <w:rFonts w:ascii="Helvetica" w:hAnsi="Helvetica" w:cs="Helvetica"/>
        </w:rPr>
      </w:pPr>
      <w:r w:rsidRPr="00763ABF">
        <w:rPr>
          <w:rFonts w:ascii="Helvetica" w:hAnsi="Helvetica" w:cs="Helvetica"/>
          <w:b/>
          <w:bCs/>
        </w:rPr>
        <w:t>F</w:t>
      </w:r>
      <w:r w:rsidR="009255BF" w:rsidRPr="00763ABF">
        <w:rPr>
          <w:rFonts w:ascii="Helvetica" w:hAnsi="Helvetica" w:cs="Helvetica"/>
          <w:b/>
          <w:bCs/>
        </w:rPr>
        <w:t xml:space="preserve">igure </w:t>
      </w:r>
      <w:r w:rsidR="00612A6F" w:rsidRPr="00763ABF">
        <w:rPr>
          <w:rFonts w:ascii="Helvetica" w:hAnsi="Helvetica" w:cs="Helvetica"/>
          <w:b/>
          <w:bCs/>
        </w:rPr>
        <w:t>1</w:t>
      </w:r>
      <w:r w:rsidR="009255BF" w:rsidRPr="00763ABF">
        <w:rPr>
          <w:rFonts w:ascii="Helvetica" w:hAnsi="Helvetica" w:cs="Helvetica"/>
          <w:b/>
          <w:bCs/>
        </w:rPr>
        <w:t xml:space="preserve">: Metrics and Status for </w:t>
      </w:r>
      <w:r w:rsidR="00AB7F6D" w:rsidRPr="00763ABF">
        <w:rPr>
          <w:rFonts w:ascii="Helvetica" w:hAnsi="Helvetica" w:cs="Helvetica"/>
          <w:b/>
          <w:bCs/>
        </w:rPr>
        <w:t>Fraser Pink</w:t>
      </w:r>
      <w:r w:rsidR="009255BF" w:rsidRPr="00763ABF">
        <w:rPr>
          <w:rFonts w:ascii="Helvetica" w:hAnsi="Helvetica" w:cs="Helvetica"/>
          <w:b/>
          <w:bCs/>
        </w:rPr>
        <w:t xml:space="preserve"> (</w:t>
      </w:r>
      <w:r w:rsidR="00AB7F6D" w:rsidRPr="00763ABF">
        <w:rPr>
          <w:rFonts w:ascii="Helvetica" w:hAnsi="Helvetica" w:cs="Helvetica"/>
          <w:b/>
          <w:bCs/>
        </w:rPr>
        <w:t>PKO-1</w:t>
      </w:r>
      <w:r w:rsidR="009255BF" w:rsidRPr="00763ABF">
        <w:rPr>
          <w:rFonts w:ascii="Helvetica" w:hAnsi="Helvetica" w:cs="Helvetica"/>
          <w:b/>
          <w:bCs/>
        </w:rPr>
        <w:t>).</w:t>
      </w:r>
      <w:r w:rsidR="009255BF" w:rsidRPr="00763ABF">
        <w:rPr>
          <w:rFonts w:ascii="Helvetica" w:hAnsi="Helvetica" w:cs="Helvetica"/>
        </w:rPr>
        <w:t xml:space="preserve"> </w:t>
      </w:r>
      <w:r w:rsidR="00C54A28">
        <w:rPr>
          <w:rFonts w:ascii="Helvetica" w:hAnsi="Helvetica" w:cs="Helvetica"/>
        </w:rPr>
        <w:t>The four top p</w:t>
      </w:r>
      <w:r w:rsidR="00140917" w:rsidRPr="00763ABF">
        <w:rPr>
          <w:rFonts w:ascii="Helvetica" w:hAnsi="Helvetica" w:cs="Helvetica"/>
        </w:rPr>
        <w:t xml:space="preserve">anels show the four standard WSP metrics, calculated based on the available time series of spawner abundances. </w:t>
      </w:r>
      <w:r w:rsidR="00C54A28">
        <w:rPr>
          <w:rFonts w:ascii="Helvetica" w:hAnsi="Helvetica" w:cs="Helvetica"/>
        </w:rPr>
        <w:t xml:space="preserve">Where appropriate and available, benchmarks are provided, and figures are </w:t>
      </w:r>
      <w:proofErr w:type="spellStart"/>
      <w:r w:rsidR="00C54A28">
        <w:rPr>
          <w:rFonts w:ascii="Helvetica" w:hAnsi="Helvetica" w:cs="Helvetica"/>
        </w:rPr>
        <w:t>coloured</w:t>
      </w:r>
      <w:proofErr w:type="spellEnd"/>
      <w:r w:rsidR="00C54A28">
        <w:rPr>
          <w:rFonts w:ascii="Helvetica" w:hAnsi="Helvetica" w:cs="Helvetica"/>
        </w:rPr>
        <w:t xml:space="preserve"> red, amber or green to correspond to values that fall in the corresponding </w:t>
      </w:r>
      <w:r w:rsidR="00C54A28" w:rsidRPr="00C54A28">
        <w:rPr>
          <w:rFonts w:ascii="Helvetica" w:hAnsi="Helvetica" w:cs="Helvetica"/>
          <w:i/>
          <w:iCs/>
        </w:rPr>
        <w:t>Red, Amber</w:t>
      </w:r>
      <w:r w:rsidR="00C54A28">
        <w:rPr>
          <w:rFonts w:ascii="Helvetica" w:hAnsi="Helvetica" w:cs="Helvetica"/>
        </w:rPr>
        <w:t xml:space="preserve"> or </w:t>
      </w:r>
      <w:r w:rsidR="00C54A28" w:rsidRPr="00C54A28">
        <w:rPr>
          <w:rFonts w:ascii="Helvetica" w:hAnsi="Helvetica" w:cs="Helvetica"/>
          <w:i/>
          <w:iCs/>
        </w:rPr>
        <w:t xml:space="preserve">Green </w:t>
      </w:r>
      <w:r w:rsidR="00C54A28">
        <w:rPr>
          <w:rFonts w:ascii="Helvetica" w:hAnsi="Helvetica" w:cs="Helvetica"/>
        </w:rPr>
        <w:t>status zones for each metric. The b</w:t>
      </w:r>
      <w:r w:rsidR="00140917" w:rsidRPr="00763ABF">
        <w:rPr>
          <w:rFonts w:ascii="Helvetica" w:hAnsi="Helvetica" w:cs="Helvetica"/>
        </w:rPr>
        <w:t>ottom panel summarizes the status for each individual metric</w:t>
      </w:r>
      <w:r w:rsidR="00C54A28">
        <w:rPr>
          <w:rFonts w:ascii="Helvetica" w:hAnsi="Helvetica" w:cs="Helvetica"/>
        </w:rPr>
        <w:t xml:space="preserve"> from 1995 to 2023,</w:t>
      </w:r>
      <w:r w:rsidR="00140917" w:rsidRPr="00763ABF">
        <w:rPr>
          <w:rFonts w:ascii="Helvetica" w:hAnsi="Helvetica" w:cs="Helvetica"/>
        </w:rPr>
        <w:t xml:space="preserve"> and shows the resulting rapid status for the CU with a confidence rating. </w:t>
      </w:r>
      <w:r w:rsidR="00C54A28">
        <w:rPr>
          <w:rFonts w:ascii="Helvetica" w:hAnsi="Helvetica" w:cs="Helvetica"/>
        </w:rPr>
        <w:t>No past WSP integrated status assessments have been conducted.</w:t>
      </w:r>
    </w:p>
    <w:p w14:paraId="21F4540E" w14:textId="7B367FAA" w:rsidR="009255BF" w:rsidRDefault="009255BF" w:rsidP="009255BF"/>
    <w:p w14:paraId="354953F0" w14:textId="5AFFEE47" w:rsidR="009255BF" w:rsidRDefault="009255BF" w:rsidP="009255BF"/>
    <w:p w14:paraId="071BBE5F" w14:textId="332F7F5E" w:rsidR="00CF313B" w:rsidRDefault="00CF313B" w:rsidP="009255BF">
      <w:pPr>
        <w:rPr>
          <w:b/>
          <w:bCs/>
        </w:rPr>
      </w:pPr>
      <w:r>
        <w:rPr>
          <w:b/>
          <w:bCs/>
          <w:noProof/>
        </w:rPr>
        <w:lastRenderedPageBreak/>
        <w:drawing>
          <wp:inline distT="0" distB="0" distL="0" distR="0" wp14:anchorId="40360EA4" wp14:editId="7A923A32">
            <wp:extent cx="5943600" cy="3343275"/>
            <wp:effectExtent l="0" t="0" r="0" b="9525"/>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80D5F5B" w14:textId="77777777" w:rsidR="00CF313B" w:rsidRDefault="00CF313B" w:rsidP="009255BF">
      <w:pPr>
        <w:rPr>
          <w:b/>
          <w:bCs/>
        </w:rPr>
      </w:pPr>
    </w:p>
    <w:p w14:paraId="6A668320" w14:textId="79348B33" w:rsidR="00E54144" w:rsidRPr="0001454A" w:rsidRDefault="009255BF" w:rsidP="009255BF">
      <w:pPr>
        <w:rPr>
          <w:rFonts w:cstheme="minorHAnsi"/>
        </w:rPr>
      </w:pPr>
      <w:r w:rsidRPr="0001454A">
        <w:rPr>
          <w:rFonts w:cstheme="minorHAnsi"/>
          <w:b/>
          <w:bCs/>
        </w:rPr>
        <w:t xml:space="preserve">Figure </w:t>
      </w:r>
      <w:r w:rsidR="00612A6F" w:rsidRPr="0001454A">
        <w:rPr>
          <w:rFonts w:cstheme="minorHAnsi"/>
          <w:b/>
          <w:bCs/>
        </w:rPr>
        <w:t>2</w:t>
      </w:r>
      <w:r w:rsidRPr="0001454A">
        <w:rPr>
          <w:rFonts w:cstheme="minorHAnsi"/>
          <w:b/>
          <w:bCs/>
        </w:rPr>
        <w:t xml:space="preserve">. Algorithm pathway taken to assess status for </w:t>
      </w:r>
      <w:r w:rsidR="00495C72" w:rsidRPr="0001454A">
        <w:rPr>
          <w:rFonts w:cstheme="minorHAnsi"/>
          <w:b/>
          <w:bCs/>
        </w:rPr>
        <w:t>Fraser Pink in 2023</w:t>
      </w:r>
      <w:r w:rsidRPr="0001454A">
        <w:rPr>
          <w:rFonts w:cstheme="minorHAnsi"/>
          <w:b/>
          <w:bCs/>
        </w:rPr>
        <w:t>.</w:t>
      </w:r>
      <w:r w:rsidRPr="0001454A">
        <w:rPr>
          <w:rFonts w:cstheme="minorHAnsi"/>
        </w:rPr>
        <w:t xml:space="preserve"> </w:t>
      </w:r>
      <w:r w:rsidR="00E54144" w:rsidRPr="0001454A">
        <w:rPr>
          <w:rFonts w:cstheme="minorHAnsi"/>
        </w:rPr>
        <w:t xml:space="preserve">The absolute abundance metric cannot be used for Fraser Pinks, since escapements are considered </w:t>
      </w:r>
      <w:r w:rsidR="000C512E" w:rsidRPr="0001454A">
        <w:rPr>
          <w:rFonts w:cstheme="minorHAnsi"/>
        </w:rPr>
        <w:t>indices of</w:t>
      </w:r>
      <w:r w:rsidR="00E54144" w:rsidRPr="0001454A">
        <w:rPr>
          <w:rFonts w:cstheme="minorHAnsi"/>
        </w:rPr>
        <w:t xml:space="preserve"> abundances. The relative abundance metric can be used (node 4). The current generation escapement</w:t>
      </w:r>
      <w:r w:rsidR="000C512E" w:rsidRPr="0001454A">
        <w:rPr>
          <w:rFonts w:cstheme="minorHAnsi"/>
        </w:rPr>
        <w:t xml:space="preserve"> (2023)</w:t>
      </w:r>
      <w:r w:rsidR="00E54144" w:rsidRPr="0001454A">
        <w:rPr>
          <w:rFonts w:cstheme="minorHAnsi"/>
        </w:rPr>
        <w:t xml:space="preserve"> </w:t>
      </w:r>
      <w:r w:rsidR="000C512E" w:rsidRPr="0001454A">
        <w:rPr>
          <w:rFonts w:cstheme="minorHAnsi"/>
        </w:rPr>
        <w:t>does not fall below either the lower (</w:t>
      </w:r>
      <w:proofErr w:type="spellStart"/>
      <w:r w:rsidR="000C512E" w:rsidRPr="0001454A">
        <w:rPr>
          <w:rFonts w:cstheme="minorHAnsi"/>
        </w:rPr>
        <w:t>Sgen</w:t>
      </w:r>
      <w:proofErr w:type="spellEnd"/>
      <w:r w:rsidR="000C512E" w:rsidRPr="0001454A">
        <w:rPr>
          <w:rFonts w:cstheme="minorHAnsi"/>
        </w:rPr>
        <w:t xml:space="preserve">) or upper (80% </w:t>
      </w:r>
      <w:proofErr w:type="spellStart"/>
      <w:r w:rsidR="000C512E" w:rsidRPr="0001454A">
        <w:rPr>
          <w:rFonts w:cstheme="minorHAnsi"/>
        </w:rPr>
        <w:t>Smsy</w:t>
      </w:r>
      <w:proofErr w:type="spellEnd"/>
      <w:r w:rsidR="000C512E" w:rsidRPr="0001454A">
        <w:rPr>
          <w:rFonts w:cstheme="minorHAnsi"/>
        </w:rPr>
        <w:t>) thresholds for this metric</w:t>
      </w:r>
      <w:r w:rsidR="00E54144" w:rsidRPr="0001454A">
        <w:rPr>
          <w:rFonts w:cstheme="minorHAnsi"/>
        </w:rPr>
        <w:t>.</w:t>
      </w:r>
      <w:r w:rsidR="000C512E" w:rsidRPr="0001454A">
        <w:rPr>
          <w:rFonts w:cstheme="minorHAnsi"/>
        </w:rPr>
        <w:t xml:space="preserve"> Status for this CU is therefore designated as </w:t>
      </w:r>
      <w:r w:rsidR="000C512E" w:rsidRPr="0001454A">
        <w:rPr>
          <w:rFonts w:cstheme="minorHAnsi"/>
          <w:i/>
          <w:iCs/>
        </w:rPr>
        <w:t>Green</w:t>
      </w:r>
      <w:r w:rsidR="000C512E" w:rsidRPr="0001454A">
        <w:rPr>
          <w:rFonts w:cstheme="minorHAnsi"/>
        </w:rPr>
        <w:t xml:space="preserve"> with </w:t>
      </w:r>
      <w:r w:rsidR="000C512E" w:rsidRPr="0001454A">
        <w:rPr>
          <w:rFonts w:cstheme="minorHAnsi"/>
          <w:i/>
          <w:iCs/>
        </w:rPr>
        <w:t>High</w:t>
      </w:r>
      <w:r w:rsidR="000C512E" w:rsidRPr="0001454A">
        <w:rPr>
          <w:rFonts w:cstheme="minorHAnsi"/>
        </w:rPr>
        <w:t xml:space="preserve"> confidence at Node 36.</w:t>
      </w:r>
    </w:p>
    <w:p w14:paraId="0F731D7A" w14:textId="77777777" w:rsidR="000C512E" w:rsidRPr="0001454A" w:rsidRDefault="000C512E" w:rsidP="009255BF">
      <w:pPr>
        <w:rPr>
          <w:rFonts w:cstheme="minorHAnsi"/>
        </w:rPr>
      </w:pPr>
    </w:p>
    <w:p w14:paraId="506DACCA" w14:textId="76985FF1" w:rsidR="000C512E" w:rsidRPr="0001454A" w:rsidRDefault="009255BF" w:rsidP="009255BF">
      <w:pPr>
        <w:rPr>
          <w:rFonts w:cstheme="minorHAnsi"/>
        </w:rPr>
      </w:pPr>
      <w:r w:rsidRPr="0001454A">
        <w:rPr>
          <w:rFonts w:cstheme="minorHAnsi"/>
          <w:b/>
          <w:bCs/>
        </w:rPr>
        <w:t xml:space="preserve">Table </w:t>
      </w:r>
      <w:r w:rsidR="000C512E" w:rsidRPr="0001454A">
        <w:rPr>
          <w:rFonts w:cstheme="minorHAnsi"/>
          <w:b/>
          <w:bCs/>
        </w:rPr>
        <w:t>4.</w:t>
      </w:r>
      <w:r w:rsidRPr="0001454A">
        <w:rPr>
          <w:rFonts w:cstheme="minorHAnsi"/>
          <w:b/>
          <w:bCs/>
        </w:rPr>
        <w:t xml:space="preserve"> Decision tree path given data and metric values for </w:t>
      </w:r>
      <w:r w:rsidR="00AB7F6D" w:rsidRPr="0001454A">
        <w:rPr>
          <w:rFonts w:cstheme="minorHAnsi"/>
          <w:b/>
          <w:bCs/>
        </w:rPr>
        <w:t>Fraser Pink in 2023</w:t>
      </w:r>
      <w:r w:rsidRPr="0001454A">
        <w:rPr>
          <w:rFonts w:cstheme="minorHAnsi"/>
          <w:b/>
          <w:bCs/>
        </w:rPr>
        <w:t xml:space="preserve">; this aligns with Figure </w:t>
      </w:r>
      <w:r w:rsidR="0001454A" w:rsidRPr="0001454A">
        <w:rPr>
          <w:rFonts w:cstheme="minorHAnsi"/>
          <w:b/>
          <w:bCs/>
        </w:rPr>
        <w:t>2</w:t>
      </w:r>
      <w:r w:rsidRPr="0001454A">
        <w:rPr>
          <w:rFonts w:cstheme="minorHAnsi"/>
          <w:b/>
          <w:bCs/>
        </w:rPr>
        <w:t xml:space="preserve"> above. </w:t>
      </w:r>
      <w:r w:rsidRPr="0001454A">
        <w:rPr>
          <w:rFonts w:cstheme="minorHAnsi"/>
        </w:rPr>
        <w:t>For each node, the algorithm decision is made by comparing the CUs current metric value to the metric threshold and answering Yes or No, running through sequential nodes and decisions until the final WSP rapid status for that CU and year is reached.</w:t>
      </w:r>
    </w:p>
    <w:tbl>
      <w:tblPr>
        <w:tblStyle w:val="ListTable6Colorful"/>
        <w:tblW w:w="0" w:type="auto"/>
        <w:tblLook w:val="04A0" w:firstRow="1" w:lastRow="0" w:firstColumn="1" w:lastColumn="0" w:noHBand="0" w:noVBand="1"/>
      </w:tblPr>
      <w:tblGrid>
        <w:gridCol w:w="715"/>
        <w:gridCol w:w="2165"/>
        <w:gridCol w:w="2520"/>
        <w:gridCol w:w="2080"/>
        <w:gridCol w:w="1335"/>
      </w:tblGrid>
      <w:tr w:rsidR="006B7A4D" w14:paraId="7DC0C273" w14:textId="77777777" w:rsidTr="000145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1D734566" w14:textId="4DC42D03" w:rsidR="006B7A4D" w:rsidRPr="006B7A4D" w:rsidRDefault="006B7A4D" w:rsidP="009255BF">
            <w:pPr>
              <w:rPr>
                <w:b w:val="0"/>
                <w:bCs w:val="0"/>
              </w:rPr>
            </w:pPr>
            <w:r w:rsidRPr="006B7A4D">
              <w:t>Node</w:t>
            </w:r>
          </w:p>
        </w:tc>
        <w:tc>
          <w:tcPr>
            <w:tcW w:w="2165" w:type="dxa"/>
          </w:tcPr>
          <w:p w14:paraId="6A3A208F" w14:textId="46E627AC" w:rsidR="006B7A4D" w:rsidRPr="006B7A4D" w:rsidRDefault="006B7A4D" w:rsidP="009255BF">
            <w:pPr>
              <w:cnfStyle w:val="100000000000" w:firstRow="1" w:lastRow="0" w:firstColumn="0" w:lastColumn="0" w:oddVBand="0" w:evenVBand="0" w:oddHBand="0" w:evenHBand="0" w:firstRowFirstColumn="0" w:firstRowLastColumn="0" w:lastRowFirstColumn="0" w:lastRowLastColumn="0"/>
              <w:rPr>
                <w:b w:val="0"/>
                <w:bCs w:val="0"/>
              </w:rPr>
            </w:pPr>
            <w:r w:rsidRPr="006B7A4D">
              <w:t>Metric</w:t>
            </w:r>
          </w:p>
        </w:tc>
        <w:tc>
          <w:tcPr>
            <w:tcW w:w="2520" w:type="dxa"/>
          </w:tcPr>
          <w:p w14:paraId="53000B3A" w14:textId="502920A0" w:rsidR="006B7A4D" w:rsidRPr="006B7A4D" w:rsidRDefault="0001454A" w:rsidP="009255BF">
            <w:pPr>
              <w:cnfStyle w:val="100000000000" w:firstRow="1" w:lastRow="0" w:firstColumn="0" w:lastColumn="0" w:oddVBand="0" w:evenVBand="0" w:oddHBand="0" w:evenHBand="0" w:firstRowFirstColumn="0" w:firstRowLastColumn="0" w:lastRowFirstColumn="0" w:lastRowLastColumn="0"/>
              <w:rPr>
                <w:b w:val="0"/>
                <w:bCs w:val="0"/>
              </w:rPr>
            </w:pPr>
            <w:r>
              <w:t>Metric Threshold</w:t>
            </w:r>
          </w:p>
        </w:tc>
        <w:tc>
          <w:tcPr>
            <w:tcW w:w="2080" w:type="dxa"/>
          </w:tcPr>
          <w:p w14:paraId="43BBA4E2" w14:textId="2D66BBE6" w:rsidR="006B7A4D" w:rsidRPr="006B7A4D" w:rsidRDefault="006B7A4D" w:rsidP="009255BF">
            <w:pPr>
              <w:cnfStyle w:val="100000000000" w:firstRow="1" w:lastRow="0" w:firstColumn="0" w:lastColumn="0" w:oddVBand="0" w:evenVBand="0" w:oddHBand="0" w:evenHBand="0" w:firstRowFirstColumn="0" w:firstRowLastColumn="0" w:lastRowFirstColumn="0" w:lastRowLastColumn="0"/>
              <w:rPr>
                <w:b w:val="0"/>
                <w:bCs w:val="0"/>
              </w:rPr>
            </w:pPr>
            <w:r w:rsidRPr="006B7A4D">
              <w:t>CUs Current value</w:t>
            </w:r>
          </w:p>
        </w:tc>
        <w:tc>
          <w:tcPr>
            <w:tcW w:w="1335" w:type="dxa"/>
          </w:tcPr>
          <w:p w14:paraId="10B152C3" w14:textId="5A6873BC" w:rsidR="006B7A4D" w:rsidRPr="006B7A4D" w:rsidRDefault="006B7A4D" w:rsidP="009255BF">
            <w:pPr>
              <w:cnfStyle w:val="100000000000" w:firstRow="1" w:lastRow="0" w:firstColumn="0" w:lastColumn="0" w:oddVBand="0" w:evenVBand="0" w:oddHBand="0" w:evenHBand="0" w:firstRowFirstColumn="0" w:firstRowLastColumn="0" w:lastRowFirstColumn="0" w:lastRowLastColumn="0"/>
              <w:rPr>
                <w:b w:val="0"/>
                <w:bCs w:val="0"/>
              </w:rPr>
            </w:pPr>
            <w:r w:rsidRPr="006B7A4D">
              <w:t xml:space="preserve">Decision </w:t>
            </w:r>
          </w:p>
        </w:tc>
      </w:tr>
      <w:tr w:rsidR="006B7A4D" w14:paraId="2EFD4AAE" w14:textId="77777777" w:rsidTr="00014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66F0BE25" w14:textId="0EAD18B6" w:rsidR="006B7A4D" w:rsidRPr="00E54144" w:rsidRDefault="006B7A4D" w:rsidP="006B7A4D">
            <w:pPr>
              <w:rPr>
                <w:b w:val="0"/>
                <w:bCs w:val="0"/>
              </w:rPr>
            </w:pPr>
            <w:r w:rsidRPr="00E54144">
              <w:t>1</w:t>
            </w:r>
          </w:p>
        </w:tc>
        <w:tc>
          <w:tcPr>
            <w:tcW w:w="2165" w:type="dxa"/>
          </w:tcPr>
          <w:p w14:paraId="3CBB81C2" w14:textId="41C3ECAC" w:rsidR="006B7A4D" w:rsidRDefault="0001454A" w:rsidP="006B7A4D">
            <w:pPr>
              <w:cnfStyle w:val="000000100000" w:firstRow="0" w:lastRow="0" w:firstColumn="0" w:lastColumn="0" w:oddVBand="0" w:evenVBand="0" w:oddHBand="1" w:evenHBand="0" w:firstRowFirstColumn="0" w:firstRowLastColumn="0" w:lastRowFirstColumn="0" w:lastRowLastColumn="0"/>
            </w:pPr>
            <w:r>
              <w:t>A</w:t>
            </w:r>
            <w:r w:rsidR="006B7A4D">
              <w:t xml:space="preserve">bsolute </w:t>
            </w:r>
            <w:r>
              <w:t>A</w:t>
            </w:r>
            <w:r w:rsidR="006B7A4D">
              <w:t>bundance</w:t>
            </w:r>
          </w:p>
        </w:tc>
        <w:tc>
          <w:tcPr>
            <w:tcW w:w="2520" w:type="dxa"/>
          </w:tcPr>
          <w:p w14:paraId="006DD409" w14:textId="0F70D9BE" w:rsidR="006B7A4D" w:rsidRDefault="0001454A" w:rsidP="006B7A4D">
            <w:pPr>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t>&lt;1,500</w:t>
            </w:r>
          </w:p>
        </w:tc>
        <w:tc>
          <w:tcPr>
            <w:tcW w:w="2080" w:type="dxa"/>
          </w:tcPr>
          <w:p w14:paraId="106C079B" w14:textId="1E7852B5" w:rsidR="006B7A4D" w:rsidRDefault="0001454A" w:rsidP="006B7A4D">
            <w:pPr>
              <w:cnfStyle w:val="000000100000" w:firstRow="0" w:lastRow="0" w:firstColumn="0" w:lastColumn="0" w:oddVBand="0" w:evenVBand="0" w:oddHBand="1" w:evenHBand="0" w:firstRowFirstColumn="0" w:firstRowLastColumn="0" w:lastRowFirstColumn="0" w:lastRowLastColumn="0"/>
            </w:pPr>
            <w:r>
              <w:t>-</w:t>
            </w:r>
          </w:p>
        </w:tc>
        <w:tc>
          <w:tcPr>
            <w:tcW w:w="1335" w:type="dxa"/>
          </w:tcPr>
          <w:p w14:paraId="1B6C90D7" w14:textId="119342F7" w:rsidR="006B7A4D" w:rsidRDefault="006B7A4D" w:rsidP="006B7A4D">
            <w:pPr>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t>NO</w:t>
            </w:r>
            <w:r w:rsidR="0001454A">
              <w:rPr>
                <w:rFonts w:ascii="Calibri" w:hAnsi="Calibri" w:cs="Calibri"/>
                <w:color w:val="000000"/>
              </w:rPr>
              <w:t>, NA</w:t>
            </w:r>
          </w:p>
        </w:tc>
      </w:tr>
      <w:tr w:rsidR="006B7A4D" w14:paraId="55DB5105" w14:textId="77777777" w:rsidTr="0001454A">
        <w:tc>
          <w:tcPr>
            <w:cnfStyle w:val="001000000000" w:firstRow="0" w:lastRow="0" w:firstColumn="1" w:lastColumn="0" w:oddVBand="0" w:evenVBand="0" w:oddHBand="0" w:evenHBand="0" w:firstRowFirstColumn="0" w:firstRowLastColumn="0" w:lastRowFirstColumn="0" w:lastRowLastColumn="0"/>
            <w:tcW w:w="715" w:type="dxa"/>
          </w:tcPr>
          <w:p w14:paraId="4626CABE" w14:textId="2199C59A" w:rsidR="006B7A4D" w:rsidRPr="00E54144" w:rsidRDefault="006B7A4D" w:rsidP="006B7A4D">
            <w:pPr>
              <w:rPr>
                <w:b w:val="0"/>
                <w:bCs w:val="0"/>
              </w:rPr>
            </w:pPr>
            <w:r w:rsidRPr="00E54144">
              <w:t>2</w:t>
            </w:r>
          </w:p>
        </w:tc>
        <w:tc>
          <w:tcPr>
            <w:tcW w:w="2165" w:type="dxa"/>
          </w:tcPr>
          <w:p w14:paraId="593CAED4" w14:textId="15FF0198" w:rsidR="006B7A4D" w:rsidRDefault="0001454A" w:rsidP="006B7A4D">
            <w:pPr>
              <w:cnfStyle w:val="000000000000" w:firstRow="0" w:lastRow="0" w:firstColumn="0" w:lastColumn="0" w:oddVBand="0" w:evenVBand="0" w:oddHBand="0" w:evenHBand="0" w:firstRowFirstColumn="0" w:firstRowLastColumn="0" w:lastRowFirstColumn="0" w:lastRowLastColumn="0"/>
            </w:pPr>
            <w:r>
              <w:t>A</w:t>
            </w:r>
            <w:r w:rsidR="006B7A4D">
              <w:t xml:space="preserve">bsolute </w:t>
            </w:r>
            <w:r>
              <w:t>A</w:t>
            </w:r>
            <w:r w:rsidR="006B7A4D">
              <w:t>bundance</w:t>
            </w:r>
          </w:p>
        </w:tc>
        <w:tc>
          <w:tcPr>
            <w:tcW w:w="2520" w:type="dxa"/>
          </w:tcPr>
          <w:p w14:paraId="080BEE69" w14:textId="08991934" w:rsidR="006B7A4D" w:rsidRDefault="0001454A" w:rsidP="006B7A4D">
            <w:pPr>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&lt;10,000</w:t>
            </w:r>
          </w:p>
        </w:tc>
        <w:tc>
          <w:tcPr>
            <w:tcW w:w="2080" w:type="dxa"/>
          </w:tcPr>
          <w:p w14:paraId="4CC5DB21" w14:textId="75B2B6E4" w:rsidR="006B7A4D" w:rsidRDefault="0001454A" w:rsidP="006B7A4D">
            <w:pPr>
              <w:cnfStyle w:val="000000000000" w:firstRow="0" w:lastRow="0" w:firstColumn="0" w:lastColumn="0" w:oddVBand="0" w:evenVBand="0" w:oddHBand="0" w:evenHBand="0" w:firstRowFirstColumn="0" w:firstRowLastColumn="0" w:lastRowFirstColumn="0" w:lastRowLastColumn="0"/>
            </w:pPr>
            <w:r>
              <w:t>-</w:t>
            </w:r>
          </w:p>
        </w:tc>
        <w:tc>
          <w:tcPr>
            <w:tcW w:w="1335" w:type="dxa"/>
          </w:tcPr>
          <w:p w14:paraId="5D74688A" w14:textId="0ABD19A4" w:rsidR="006B7A4D" w:rsidRDefault="006B7A4D" w:rsidP="006B7A4D">
            <w:pPr>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NO</w:t>
            </w:r>
            <w:r w:rsidR="0001454A">
              <w:rPr>
                <w:rFonts w:ascii="Calibri" w:hAnsi="Calibri" w:cs="Calibri"/>
                <w:color w:val="000000"/>
              </w:rPr>
              <w:t>, NA</w:t>
            </w:r>
          </w:p>
        </w:tc>
      </w:tr>
      <w:tr w:rsidR="006B7A4D" w14:paraId="72B7A9B9" w14:textId="77777777" w:rsidTr="00014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59C01351" w14:textId="233E635D" w:rsidR="006B7A4D" w:rsidRPr="00E54144" w:rsidRDefault="006B7A4D" w:rsidP="006B7A4D">
            <w:pPr>
              <w:rPr>
                <w:b w:val="0"/>
                <w:bCs w:val="0"/>
              </w:rPr>
            </w:pPr>
            <w:r w:rsidRPr="00E54144">
              <w:t>4</w:t>
            </w:r>
          </w:p>
        </w:tc>
        <w:tc>
          <w:tcPr>
            <w:tcW w:w="2165" w:type="dxa"/>
          </w:tcPr>
          <w:p w14:paraId="38B1F6D9" w14:textId="6DE4BCF4" w:rsidR="006B7A4D" w:rsidRDefault="0001454A" w:rsidP="006B7A4D">
            <w:pPr>
              <w:cnfStyle w:val="000000100000" w:firstRow="0" w:lastRow="0" w:firstColumn="0" w:lastColumn="0" w:oddVBand="0" w:evenVBand="0" w:oddHBand="1" w:evenHBand="0" w:firstRowFirstColumn="0" w:firstRowLastColumn="0" w:lastRowFirstColumn="0" w:lastRowLastColumn="0"/>
            </w:pPr>
            <w:r>
              <w:t>R</w:t>
            </w:r>
            <w:r w:rsidR="006B7A4D">
              <w:t xml:space="preserve">elative </w:t>
            </w:r>
            <w:r>
              <w:t>A</w:t>
            </w:r>
            <w:r w:rsidR="006B7A4D">
              <w:t>bundance</w:t>
            </w:r>
          </w:p>
        </w:tc>
        <w:tc>
          <w:tcPr>
            <w:tcW w:w="2520" w:type="dxa"/>
          </w:tcPr>
          <w:p w14:paraId="1E57B64E" w14:textId="5E5A024E" w:rsidR="006B7A4D" w:rsidRDefault="0001454A" w:rsidP="006B7A4D">
            <w:pPr>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t>Available?</w:t>
            </w:r>
          </w:p>
        </w:tc>
        <w:tc>
          <w:tcPr>
            <w:tcW w:w="2080" w:type="dxa"/>
          </w:tcPr>
          <w:p w14:paraId="25F98F27" w14:textId="1F4E709F" w:rsidR="006B7A4D" w:rsidRDefault="0001454A" w:rsidP="006B7A4D">
            <w:pPr>
              <w:cnfStyle w:val="000000100000" w:firstRow="0" w:lastRow="0" w:firstColumn="0" w:lastColumn="0" w:oddVBand="0" w:evenVBand="0" w:oddHBand="1" w:evenHBand="0" w:firstRowFirstColumn="0" w:firstRowLastColumn="0" w:lastRowFirstColumn="0" w:lastRowLastColumn="0"/>
            </w:pPr>
            <w:r>
              <w:t>-</w:t>
            </w:r>
          </w:p>
        </w:tc>
        <w:tc>
          <w:tcPr>
            <w:tcW w:w="1335" w:type="dxa"/>
          </w:tcPr>
          <w:p w14:paraId="71F58336" w14:textId="51D26640" w:rsidR="006B7A4D" w:rsidRDefault="006B7A4D" w:rsidP="006B7A4D">
            <w:pPr>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t>YES</w:t>
            </w:r>
          </w:p>
        </w:tc>
      </w:tr>
      <w:tr w:rsidR="0001454A" w14:paraId="666BCA86" w14:textId="77777777" w:rsidTr="0001454A">
        <w:tc>
          <w:tcPr>
            <w:cnfStyle w:val="001000000000" w:firstRow="0" w:lastRow="0" w:firstColumn="1" w:lastColumn="0" w:oddVBand="0" w:evenVBand="0" w:oddHBand="0" w:evenHBand="0" w:firstRowFirstColumn="0" w:firstRowLastColumn="0" w:lastRowFirstColumn="0" w:lastRowLastColumn="0"/>
            <w:tcW w:w="715" w:type="dxa"/>
          </w:tcPr>
          <w:p w14:paraId="0AF708D5" w14:textId="2B76A607" w:rsidR="0001454A" w:rsidRPr="00E54144" w:rsidRDefault="0001454A" w:rsidP="0001454A">
            <w:pPr>
              <w:rPr>
                <w:b w:val="0"/>
                <w:bCs w:val="0"/>
              </w:rPr>
            </w:pPr>
            <w:r w:rsidRPr="00E54144">
              <w:t>9</w:t>
            </w:r>
          </w:p>
        </w:tc>
        <w:tc>
          <w:tcPr>
            <w:tcW w:w="2165" w:type="dxa"/>
          </w:tcPr>
          <w:p w14:paraId="421A9923" w14:textId="2B1002F1" w:rsidR="0001454A" w:rsidRDefault="0001454A" w:rsidP="0001454A">
            <w:pPr>
              <w:cnfStyle w:val="000000000000" w:firstRow="0" w:lastRow="0" w:firstColumn="0" w:lastColumn="0" w:oddVBand="0" w:evenVBand="0" w:oddHBand="0" w:evenHBand="0" w:firstRowFirstColumn="0" w:firstRowLastColumn="0" w:lastRowFirstColumn="0" w:lastRowLastColumn="0"/>
            </w:pPr>
            <w:r w:rsidRPr="00687674">
              <w:t>Relative Abundance</w:t>
            </w:r>
          </w:p>
        </w:tc>
        <w:tc>
          <w:tcPr>
            <w:tcW w:w="2520" w:type="dxa"/>
          </w:tcPr>
          <w:p w14:paraId="1171B1AE" w14:textId="627959CC" w:rsidR="0001454A" w:rsidRDefault="0001454A" w:rsidP="0001454A">
            <w:pPr>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&lt;1.8 M</w:t>
            </w:r>
          </w:p>
        </w:tc>
        <w:tc>
          <w:tcPr>
            <w:tcW w:w="2080" w:type="dxa"/>
          </w:tcPr>
          <w:p w14:paraId="51BA0B25" w14:textId="4133F503" w:rsidR="0001454A" w:rsidRDefault="0001454A" w:rsidP="0001454A">
            <w:pPr>
              <w:cnfStyle w:val="000000000000" w:firstRow="0" w:lastRow="0" w:firstColumn="0" w:lastColumn="0" w:oddVBand="0" w:evenVBand="0" w:oddHBand="0" w:evenHBand="0" w:firstRowFirstColumn="0" w:firstRowLastColumn="0" w:lastRowFirstColumn="0" w:lastRowLastColumn="0"/>
            </w:pPr>
            <w:r>
              <w:t>9.6 M</w:t>
            </w:r>
          </w:p>
        </w:tc>
        <w:tc>
          <w:tcPr>
            <w:tcW w:w="1335" w:type="dxa"/>
          </w:tcPr>
          <w:p w14:paraId="694A675A" w14:textId="0FA99259" w:rsidR="0001454A" w:rsidRDefault="0001454A" w:rsidP="0001454A">
            <w:pPr>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NO</w:t>
            </w:r>
          </w:p>
        </w:tc>
      </w:tr>
      <w:tr w:rsidR="0001454A" w14:paraId="237F5CA9" w14:textId="77777777" w:rsidTr="00014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504566EC" w14:textId="0E031351" w:rsidR="0001454A" w:rsidRPr="00E54144" w:rsidRDefault="0001454A" w:rsidP="0001454A">
            <w:pPr>
              <w:rPr>
                <w:b w:val="0"/>
                <w:bCs w:val="0"/>
              </w:rPr>
            </w:pPr>
            <w:r w:rsidRPr="00E54144">
              <w:t>18</w:t>
            </w:r>
          </w:p>
        </w:tc>
        <w:tc>
          <w:tcPr>
            <w:tcW w:w="2165" w:type="dxa"/>
          </w:tcPr>
          <w:p w14:paraId="118A4953" w14:textId="5B7C2A76" w:rsidR="0001454A" w:rsidRDefault="0001454A" w:rsidP="0001454A">
            <w:pPr>
              <w:cnfStyle w:val="000000100000" w:firstRow="0" w:lastRow="0" w:firstColumn="0" w:lastColumn="0" w:oddVBand="0" w:evenVBand="0" w:oddHBand="1" w:evenHBand="0" w:firstRowFirstColumn="0" w:firstRowLastColumn="0" w:lastRowFirstColumn="0" w:lastRowLastColumn="0"/>
            </w:pPr>
            <w:r w:rsidRPr="00687674">
              <w:t>Relative Abundance</w:t>
            </w:r>
          </w:p>
        </w:tc>
        <w:tc>
          <w:tcPr>
            <w:tcW w:w="2520" w:type="dxa"/>
          </w:tcPr>
          <w:p w14:paraId="012BA39D" w14:textId="4FAABDEE" w:rsidR="0001454A" w:rsidRDefault="0001454A" w:rsidP="0001454A">
            <w:pPr>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t>&lt;5.</w:t>
            </w:r>
            <w:r w:rsidR="00526CAE">
              <w:rPr>
                <w:rFonts w:ascii="Calibri" w:hAnsi="Calibri" w:cs="Calibri"/>
                <w:color w:val="000000"/>
              </w:rPr>
              <w:t>17</w:t>
            </w:r>
            <w:r>
              <w:rPr>
                <w:rFonts w:ascii="Calibri" w:hAnsi="Calibri" w:cs="Calibri"/>
                <w:color w:val="000000"/>
              </w:rPr>
              <w:t xml:space="preserve"> M</w:t>
            </w:r>
          </w:p>
        </w:tc>
        <w:tc>
          <w:tcPr>
            <w:tcW w:w="2080" w:type="dxa"/>
          </w:tcPr>
          <w:p w14:paraId="023062D4" w14:textId="59DC7000" w:rsidR="0001454A" w:rsidRDefault="0001454A" w:rsidP="0001454A">
            <w:pPr>
              <w:cnfStyle w:val="000000100000" w:firstRow="0" w:lastRow="0" w:firstColumn="0" w:lastColumn="0" w:oddVBand="0" w:evenVBand="0" w:oddHBand="1" w:evenHBand="0" w:firstRowFirstColumn="0" w:firstRowLastColumn="0" w:lastRowFirstColumn="0" w:lastRowLastColumn="0"/>
            </w:pPr>
            <w:r>
              <w:t>9.6 M</w:t>
            </w:r>
          </w:p>
        </w:tc>
        <w:tc>
          <w:tcPr>
            <w:tcW w:w="1335" w:type="dxa"/>
          </w:tcPr>
          <w:p w14:paraId="154C199D" w14:textId="776025CA" w:rsidR="0001454A" w:rsidRDefault="0001454A" w:rsidP="0001454A">
            <w:pPr>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t>NO</w:t>
            </w:r>
          </w:p>
        </w:tc>
      </w:tr>
      <w:tr w:rsidR="00E54144" w14:paraId="135F72A4" w14:textId="77777777" w:rsidTr="0001454A">
        <w:tc>
          <w:tcPr>
            <w:cnfStyle w:val="001000000000" w:firstRow="0" w:lastRow="0" w:firstColumn="1" w:lastColumn="0" w:oddVBand="0" w:evenVBand="0" w:oddHBand="0" w:evenHBand="0" w:firstRowFirstColumn="0" w:firstRowLastColumn="0" w:lastRowFirstColumn="0" w:lastRowLastColumn="0"/>
            <w:tcW w:w="715" w:type="dxa"/>
          </w:tcPr>
          <w:p w14:paraId="6812888F" w14:textId="16BD6056" w:rsidR="00E54144" w:rsidRPr="00E54144" w:rsidRDefault="00E54144" w:rsidP="009255BF">
            <w:pPr>
              <w:rPr>
                <w:b w:val="0"/>
                <w:bCs w:val="0"/>
              </w:rPr>
            </w:pPr>
            <w:r w:rsidRPr="00E54144">
              <w:t>36</w:t>
            </w:r>
          </w:p>
        </w:tc>
        <w:tc>
          <w:tcPr>
            <w:tcW w:w="6765" w:type="dxa"/>
            <w:gridSpan w:val="3"/>
          </w:tcPr>
          <w:p w14:paraId="64DFF4B8" w14:textId="2EF5E370" w:rsidR="00E54144" w:rsidRDefault="00E54144" w:rsidP="009255BF">
            <w:pPr>
              <w:cnfStyle w:val="000000000000" w:firstRow="0" w:lastRow="0" w:firstColumn="0" w:lastColumn="0" w:oddVBand="0" w:evenVBand="0" w:oddHBand="0" w:evenHBand="0" w:firstRowFirstColumn="0" w:firstRowLastColumn="0" w:lastRowFirstColumn="0" w:lastRowLastColumn="0"/>
            </w:pPr>
            <w:r>
              <w:t>FINAL STATUS NODE</w:t>
            </w:r>
          </w:p>
        </w:tc>
        <w:tc>
          <w:tcPr>
            <w:tcW w:w="1335" w:type="dxa"/>
          </w:tcPr>
          <w:p w14:paraId="7EBC2835" w14:textId="0D6C168E" w:rsidR="00E54144" w:rsidRDefault="00E54144" w:rsidP="009255BF">
            <w:pPr>
              <w:cnfStyle w:val="000000000000" w:firstRow="0" w:lastRow="0" w:firstColumn="0" w:lastColumn="0" w:oddVBand="0" w:evenVBand="0" w:oddHBand="0" w:evenHBand="0" w:firstRowFirstColumn="0" w:firstRowLastColumn="0" w:lastRowFirstColumn="0" w:lastRowLastColumn="0"/>
            </w:pPr>
            <w:r>
              <w:t>GREEN</w:t>
            </w:r>
          </w:p>
        </w:tc>
      </w:tr>
    </w:tbl>
    <w:p w14:paraId="6EC8BE24" w14:textId="5382B187" w:rsidR="008C689D" w:rsidRDefault="008C689D">
      <w:pPr>
        <w:rPr>
          <w:b/>
          <w:bCs/>
        </w:rPr>
      </w:pPr>
      <w:r>
        <w:rPr>
          <w:b/>
          <w:bCs/>
        </w:rPr>
        <w:br w:type="page"/>
      </w:r>
      <w:r>
        <w:rPr>
          <w:b/>
          <w:bCs/>
          <w:noProof/>
        </w:rPr>
        <w:lastRenderedPageBreak/>
        <w:drawing>
          <wp:inline distT="0" distB="0" distL="0" distR="0" wp14:anchorId="5575CD73" wp14:editId="4CA3A3E8">
            <wp:extent cx="5345430" cy="4124428"/>
            <wp:effectExtent l="0" t="0" r="762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52242" cy="4129684"/>
                    </a:xfrm>
                    <a:prstGeom prst="rect">
                      <a:avLst/>
                    </a:prstGeom>
                    <a:noFill/>
                  </pic:spPr>
                </pic:pic>
              </a:graphicData>
            </a:graphic>
          </wp:inline>
        </w:drawing>
      </w:r>
    </w:p>
    <w:p w14:paraId="1A771FA2" w14:textId="77777777" w:rsidR="008C689D" w:rsidRDefault="008C689D">
      <w:pPr>
        <w:rPr>
          <w:b/>
          <w:bCs/>
        </w:rPr>
      </w:pPr>
    </w:p>
    <w:p w14:paraId="67055753" w14:textId="6761670B" w:rsidR="008C689D" w:rsidRPr="0001454A" w:rsidRDefault="008C689D" w:rsidP="008C689D">
      <w:pPr>
        <w:rPr>
          <w:rFonts w:cstheme="minorHAnsi"/>
        </w:rPr>
      </w:pPr>
      <w:r w:rsidRPr="0001454A">
        <w:rPr>
          <w:rFonts w:cstheme="minorHAnsi"/>
          <w:b/>
          <w:bCs/>
        </w:rPr>
        <w:t xml:space="preserve">Figure 3. Escapement and exploitation rates for Fraser Pink (odd years).  </w:t>
      </w:r>
      <w:r w:rsidRPr="0001454A">
        <w:rPr>
          <w:rFonts w:cstheme="minorHAnsi"/>
        </w:rPr>
        <w:t>This includes years 1959 to 2023.</w:t>
      </w:r>
    </w:p>
    <w:p w14:paraId="68090770" w14:textId="26335601" w:rsidR="008C689D" w:rsidRDefault="008C689D">
      <w:pPr>
        <w:rPr>
          <w:b/>
          <w:bCs/>
        </w:rPr>
      </w:pPr>
      <w:r>
        <w:rPr>
          <w:b/>
          <w:bCs/>
        </w:rPr>
        <w:br w:type="page"/>
      </w:r>
    </w:p>
    <w:p w14:paraId="2BB63D85" w14:textId="11585AF7" w:rsidR="00763ABF" w:rsidRPr="004D7AF4" w:rsidRDefault="0001454A" w:rsidP="00763ABF">
      <w:pPr>
        <w:pStyle w:val="Heading1"/>
      </w:pPr>
      <w:r>
        <w:lastRenderedPageBreak/>
        <w:t xml:space="preserve">Cited and other </w:t>
      </w:r>
      <w:r w:rsidR="00763ABF">
        <w:t>Key References</w:t>
      </w:r>
    </w:p>
    <w:p w14:paraId="73CCA64C" w14:textId="77777777" w:rsidR="00612A6F" w:rsidRDefault="00612A6F" w:rsidP="00612A6F">
      <w:pPr>
        <w:spacing w:before="120" w:after="0"/>
      </w:pPr>
      <w:r>
        <w:t>DFO. 2015. Wild Salmon Policy status assessment for conservation units of Interior Fraser River coho (</w:t>
      </w:r>
      <w:r w:rsidRPr="00DD2D7F">
        <w:rPr>
          <w:i/>
          <w:iCs/>
        </w:rPr>
        <w:t>Oncorhynchus kisutch</w:t>
      </w:r>
      <w:r>
        <w:t xml:space="preserve">). Can. Sci. </w:t>
      </w:r>
      <w:proofErr w:type="spellStart"/>
      <w:r>
        <w:t>Advis</w:t>
      </w:r>
      <w:proofErr w:type="spellEnd"/>
      <w:r>
        <w:t xml:space="preserve">. Sec. Sci. </w:t>
      </w:r>
      <w:proofErr w:type="spellStart"/>
      <w:r>
        <w:t>Advis</w:t>
      </w:r>
      <w:proofErr w:type="spellEnd"/>
      <w:r>
        <w:t xml:space="preserve">. Rep. 2015/022: 12 pp. Available from </w:t>
      </w:r>
      <w:hyperlink r:id="rId11" w:history="1">
        <w:r w:rsidRPr="002A748E">
          <w:rPr>
            <w:rStyle w:val="Hyperlink"/>
          </w:rPr>
          <w:t>https://waves-vagues.dfo-mpo.gc.ca/Library/364851.pdf</w:t>
        </w:r>
      </w:hyperlink>
    </w:p>
    <w:p w14:paraId="0421330C" w14:textId="7D80AF20" w:rsidR="00612A6F" w:rsidRDefault="00612A6F" w:rsidP="00612A6F">
      <w:pPr>
        <w:spacing w:before="120" w:after="0"/>
      </w:pPr>
      <w:r>
        <w:t xml:space="preserve">DFO. 2022. Methodologies and guidelines for defining limit reference points for Pacific Salmon. CSAS SAR 2022/030. pp. 16. Available from </w:t>
      </w:r>
      <w:hyperlink r:id="rId12" w:history="1">
        <w:r w:rsidRPr="000070E5">
          <w:rPr>
            <w:rStyle w:val="Hyperlink"/>
          </w:rPr>
          <w:t>https://www.dfo-mpo.gc.ca/csas-sccs/Publications/SAR-AS/2022/2022_030-eng.html</w:t>
        </w:r>
      </w:hyperlink>
    </w:p>
    <w:p w14:paraId="08AFF35C" w14:textId="30E105BF" w:rsidR="00612A6F" w:rsidRDefault="00612A6F" w:rsidP="00612A6F">
      <w:pPr>
        <w:spacing w:before="120" w:after="0"/>
      </w:pPr>
      <w:r>
        <w:t xml:space="preserve">DFO. 2023. Science advice on guidance for limit reference points under the fish stocks provisions. Can. Sci. </w:t>
      </w:r>
      <w:proofErr w:type="spellStart"/>
      <w:r>
        <w:t>Advis</w:t>
      </w:r>
      <w:proofErr w:type="spellEnd"/>
      <w:r>
        <w:t xml:space="preserve">. </w:t>
      </w:r>
      <w:proofErr w:type="spellStart"/>
      <w:r>
        <w:t>Secr</w:t>
      </w:r>
      <w:proofErr w:type="spellEnd"/>
      <w:r>
        <w:t xml:space="preserve">. Sci. </w:t>
      </w:r>
      <w:proofErr w:type="spellStart"/>
      <w:r>
        <w:t>Advis</w:t>
      </w:r>
      <w:proofErr w:type="spellEnd"/>
      <w:r>
        <w:t xml:space="preserve">. Rep. 2023/009(February). Available from </w:t>
      </w:r>
      <w:hyperlink r:id="rId13" w:history="1">
        <w:r w:rsidRPr="000070E5">
          <w:rPr>
            <w:rStyle w:val="Hyperlink"/>
          </w:rPr>
          <w:t>https://publications.gc.ca/collections/collection_2023/mpo-dfo/fs70-6/Fs70-6-2023-009-eng.pdf</w:t>
        </w:r>
      </w:hyperlink>
    </w:p>
    <w:p w14:paraId="11439B78" w14:textId="77777777" w:rsidR="00612A6F" w:rsidRDefault="00612A6F" w:rsidP="00612A6F">
      <w:pPr>
        <w:spacing w:before="120" w:after="0"/>
        <w:rPr>
          <w:rStyle w:val="Hyperlink"/>
        </w:rPr>
      </w:pPr>
      <w:bookmarkStart w:id="2" w:name="_Hlk157766539"/>
      <w:r>
        <w:t xml:space="preserve">DFO. 2024. Rapid status approximations for Pacific salmon derived from integrated status assessments under DFO’s Wild Salmon Policy. CSAS Sci. Resp. 2024/004: 42 p. </w:t>
      </w:r>
      <w:hyperlink r:id="rId14" w:history="1">
        <w:r>
          <w:rPr>
            <w:rStyle w:val="Hyperlink"/>
          </w:rPr>
          <w:t>https://www.dfo-mpo.gc.ca/csas-sccs/Publications/ScR-RS/2024/2024_004-eng.pdf</w:t>
        </w:r>
      </w:hyperlink>
      <w:bookmarkEnd w:id="2"/>
    </w:p>
    <w:p w14:paraId="2C08E641" w14:textId="3BEA96EE" w:rsidR="00A12C10" w:rsidRPr="00A12C10" w:rsidRDefault="00A12C10" w:rsidP="00612A6F">
      <w:pPr>
        <w:spacing w:before="120" w:after="0"/>
        <w:rPr>
          <w:rStyle w:val="Hyperlink"/>
        </w:rPr>
      </w:pPr>
      <w:r>
        <w:rPr>
          <w:rStyle w:val="Hyperlink"/>
        </w:rPr>
        <w:t xml:space="preserve">Glaser, D.M., Connors, B.M., Dionne, K., and Huang A.M. In Press. Estimating </w:t>
      </w:r>
      <w:proofErr w:type="spellStart"/>
      <w:r>
        <w:rPr>
          <w:rStyle w:val="Hyperlink"/>
        </w:rPr>
        <w:t>Precautionaly</w:t>
      </w:r>
      <w:proofErr w:type="spellEnd"/>
      <w:r>
        <w:rPr>
          <w:rStyle w:val="Hyperlink"/>
        </w:rPr>
        <w:t xml:space="preserve"> Approach reference points and assessing consequences of harvest control rules for Fraser River Pink Salmon (</w:t>
      </w:r>
      <w:r>
        <w:rPr>
          <w:rStyle w:val="Hyperlink"/>
          <w:i/>
          <w:iCs/>
        </w:rPr>
        <w:t xml:space="preserve">Oncorhynchus </w:t>
      </w:r>
      <w:proofErr w:type="spellStart"/>
      <w:r>
        <w:rPr>
          <w:rStyle w:val="Hyperlink"/>
          <w:i/>
          <w:iCs/>
        </w:rPr>
        <w:t>gorbushca</w:t>
      </w:r>
      <w:proofErr w:type="spellEnd"/>
      <w:r>
        <w:rPr>
          <w:rStyle w:val="Hyperlink"/>
        </w:rPr>
        <w:t xml:space="preserve">). DFO Can. Sci. </w:t>
      </w:r>
      <w:proofErr w:type="spellStart"/>
      <w:r>
        <w:rPr>
          <w:rStyle w:val="Hyperlink"/>
        </w:rPr>
        <w:t>Advis</w:t>
      </w:r>
      <w:proofErr w:type="spellEnd"/>
      <w:r>
        <w:rPr>
          <w:rStyle w:val="Hyperlink"/>
        </w:rPr>
        <w:t>. Sec. Res. Doc. 202#/</w:t>
      </w:r>
      <w:proofErr w:type="spellStart"/>
      <w:r>
        <w:rPr>
          <w:rStyle w:val="Hyperlink"/>
        </w:rPr>
        <w:t>nnn</w:t>
      </w:r>
      <w:proofErr w:type="spellEnd"/>
      <w:r>
        <w:rPr>
          <w:rStyle w:val="Hyperlink"/>
        </w:rPr>
        <w:t xml:space="preserve">. Iv + 13 p. </w:t>
      </w:r>
    </w:p>
    <w:p w14:paraId="6117B309" w14:textId="7AEAA115" w:rsidR="00612A6F" w:rsidRDefault="00612A6F" w:rsidP="00612A6F">
      <w:pPr>
        <w:spacing w:before="120" w:after="0"/>
      </w:pPr>
      <w:r>
        <w:t xml:space="preserve">Grant, S.C.H., Townsend, M., White, B., and Lapointe, M. 2014. Fraser River Pink Salmon (Oncorhynchus gorbuscha) data review: inputs for biological status and escapement goals. Final project report to Southern Boundary Restoration and Enhancement Fund. Available from </w:t>
      </w:r>
      <w:hyperlink r:id="rId15" w:history="1">
        <w:r w:rsidRPr="000070E5">
          <w:rPr>
            <w:rStyle w:val="Hyperlink"/>
          </w:rPr>
          <w:t>https://www.psc.org/download/509/information/8561/s13-i06-fraser-pink-salmon-oncorhynchus-gorbuscha-escapement-goals-data-report.pdf</w:t>
        </w:r>
      </w:hyperlink>
    </w:p>
    <w:p w14:paraId="52806648" w14:textId="66DDBC7A" w:rsidR="002A635F" w:rsidRDefault="002A635F" w:rsidP="00FC2C42">
      <w:pPr>
        <w:spacing w:before="120" w:after="0"/>
      </w:pPr>
      <w:r w:rsidRPr="002A635F">
        <w:t xml:space="preserve">Holt, C.A., Holt, K., Warkentin, L., Wor, C., Connors, B., Grant, S., Huang, A.-M., and </w:t>
      </w:r>
      <w:proofErr w:type="spellStart"/>
      <w:r w:rsidRPr="002A635F">
        <w:t>Marentette</w:t>
      </w:r>
      <w:proofErr w:type="spellEnd"/>
      <w:r w:rsidRPr="002A635F">
        <w:t>, J. 2023</w:t>
      </w:r>
      <w:r>
        <w:t>a</w:t>
      </w:r>
      <w:r w:rsidRPr="002A635F">
        <w:t xml:space="preserve">. Guidelines for Defining Limit Reference Points for Pacific Salmon Stock Management Units. DFO Can. Sci. </w:t>
      </w:r>
      <w:proofErr w:type="spellStart"/>
      <w:r w:rsidRPr="002A635F">
        <w:t>Advis</w:t>
      </w:r>
      <w:proofErr w:type="spellEnd"/>
      <w:r w:rsidRPr="002A635F">
        <w:t>. Sec. Res. Doc. 2023/009. iv + 66 p.</w:t>
      </w:r>
      <w:r>
        <w:t xml:space="preserve"> Available from </w:t>
      </w:r>
      <w:hyperlink r:id="rId16" w:history="1">
        <w:r w:rsidRPr="002A635F">
          <w:rPr>
            <w:rStyle w:val="Hyperlink"/>
          </w:rPr>
          <w:t>https://publications.gc.ca/collections/collection_2023/mpo-dfo/fs70-5/Fs70-5-2023-009-eng.pdf</w:t>
        </w:r>
      </w:hyperlink>
    </w:p>
    <w:p w14:paraId="215F35BE" w14:textId="61D9943A" w:rsidR="00971781" w:rsidRDefault="00FC2C42" w:rsidP="00D05284">
      <w:pPr>
        <w:spacing w:before="120" w:after="0"/>
        <w:rPr>
          <w:rStyle w:val="Hyperlink"/>
        </w:rPr>
      </w:pPr>
      <w:r w:rsidRPr="00FC2C42">
        <w:t xml:space="preserve">Holt, K., Holt, C.A., Warkentin, L., Wor, C., Davis, B., Arbeider, M., </w:t>
      </w:r>
      <w:proofErr w:type="spellStart"/>
      <w:r w:rsidRPr="00FC2C42">
        <w:t>Bokvist</w:t>
      </w:r>
      <w:proofErr w:type="spellEnd"/>
      <w:r w:rsidRPr="00FC2C42">
        <w:t xml:space="preserve">, J., Crowley, S., Grant, S.C.H., Luedke, W., McHugh, D., </w:t>
      </w:r>
      <w:proofErr w:type="spellStart"/>
      <w:r w:rsidRPr="00FC2C42">
        <w:t>Picco</w:t>
      </w:r>
      <w:proofErr w:type="spellEnd"/>
      <w:r w:rsidRPr="00FC2C42">
        <w:t>, C., and Will, P. Van. 2023</w:t>
      </w:r>
      <w:r w:rsidR="002A635F">
        <w:t>b</w:t>
      </w:r>
      <w:r w:rsidRPr="00FC2C42">
        <w:t xml:space="preserve">. Case Study Applications of LRP Estimation Methods to Pacific Salmon Stock Management Units. Can. Sci. </w:t>
      </w:r>
      <w:proofErr w:type="spellStart"/>
      <w:r w:rsidRPr="00FC2C42">
        <w:t>Advis</w:t>
      </w:r>
      <w:proofErr w:type="spellEnd"/>
      <w:r w:rsidRPr="00FC2C42">
        <w:t xml:space="preserve">. Sec. Res. Doc. 2023/010: iv + 129. Available from </w:t>
      </w:r>
      <w:hyperlink r:id="rId17" w:history="1">
        <w:r w:rsidRPr="00A36BA2">
          <w:rPr>
            <w:rStyle w:val="Hyperlink"/>
          </w:rPr>
          <w:t>https://www.dfo-mpo.gc.ca/csas-sccs/Publications/ResDocs-DocRech/2023/2023_010-eng.html</w:t>
        </w:r>
      </w:hyperlink>
    </w:p>
    <w:p w14:paraId="40838389" w14:textId="6305EBE4" w:rsidR="00763ABF" w:rsidRDefault="00763ABF" w:rsidP="00763ABF">
      <w:pPr>
        <w:spacing w:before="120" w:after="0"/>
      </w:pPr>
      <w:r w:rsidRPr="00763ABF">
        <w:t xml:space="preserve">Pestal, G., MacDonald, B.L., Grant, S.C.H., and Holt, C.A. 2023. State of The Salmon: rapid status assessment approach for Pacific salmon under Canada’s Wild Salmon Policy. Can. Tech. Rep. Fish. </w:t>
      </w:r>
      <w:proofErr w:type="spellStart"/>
      <w:r w:rsidRPr="00763ABF">
        <w:t>Aquat</w:t>
      </w:r>
      <w:proofErr w:type="spellEnd"/>
      <w:r w:rsidRPr="00763ABF">
        <w:t xml:space="preserve">. Sci. 3570: xiv + 200 p. Available from </w:t>
      </w:r>
      <w:hyperlink r:id="rId18" w:history="1">
        <w:r w:rsidRPr="006959F0">
          <w:rPr>
            <w:rStyle w:val="Hyperlink"/>
          </w:rPr>
          <w:t>https://waves-vagues.dfo-mpo.gc.ca/library-bibliotheque/41207890.pdf</w:t>
        </w:r>
      </w:hyperlink>
    </w:p>
    <w:p w14:paraId="7CBDD270" w14:textId="77777777" w:rsidR="00763ABF" w:rsidRPr="00763ABF" w:rsidRDefault="00763ABF" w:rsidP="00763ABF"/>
    <w:p w14:paraId="731861DD" w14:textId="77777777" w:rsidR="00763ABF" w:rsidRDefault="00763ABF" w:rsidP="00D05284">
      <w:pPr>
        <w:spacing w:before="120" w:after="0"/>
        <w:rPr>
          <w:rStyle w:val="Hyperlink"/>
        </w:rPr>
      </w:pPr>
    </w:p>
    <w:p w14:paraId="342629F1" w14:textId="3B2B660B" w:rsidR="0001454A" w:rsidRDefault="0001454A">
      <w:r>
        <w:br w:type="page"/>
      </w:r>
    </w:p>
    <w:p w14:paraId="39DD7709" w14:textId="77777777" w:rsidR="0001454A" w:rsidRPr="00192886" w:rsidRDefault="0001454A" w:rsidP="0001454A">
      <w:pPr>
        <w:pStyle w:val="Heading1"/>
        <w:rPr>
          <w:lang w:eastAsia="en-CA"/>
        </w:rPr>
      </w:pPr>
      <w:r w:rsidRPr="00192886">
        <w:rPr>
          <w:lang w:eastAsia="en-CA"/>
        </w:rPr>
        <w:lastRenderedPageBreak/>
        <w:t xml:space="preserve">Appendix </w:t>
      </w:r>
      <w:r>
        <w:rPr>
          <w:lang w:eastAsia="en-CA"/>
        </w:rPr>
        <w:t>A: WSP rapid status approach details</w:t>
      </w:r>
    </w:p>
    <w:p w14:paraId="002C7741" w14:textId="77777777" w:rsidR="0001454A" w:rsidRDefault="0001454A" w:rsidP="0001454A">
      <w:pPr>
        <w:pStyle w:val="BodyText"/>
        <w:spacing w:after="0"/>
        <w:rPr>
          <w:rFonts w:asciiTheme="minorHAnsi" w:hAnsiTheme="minorHAnsi" w:cstheme="minorBidi"/>
          <w:b/>
          <w:bCs/>
        </w:rPr>
      </w:pPr>
    </w:p>
    <w:p w14:paraId="44E7AA11" w14:textId="77777777" w:rsidR="0001454A" w:rsidRPr="00134D80" w:rsidRDefault="0001454A" w:rsidP="0001454A">
      <w:pPr>
        <w:pStyle w:val="BodyText"/>
        <w:spacing w:after="0"/>
        <w:rPr>
          <w:rFonts w:asciiTheme="minorHAnsi" w:hAnsiTheme="minorHAnsi" w:cstheme="minorBidi"/>
          <w:b/>
          <w:bCs/>
        </w:rPr>
      </w:pPr>
      <w:r w:rsidRPr="00134D80">
        <w:rPr>
          <w:rFonts w:asciiTheme="minorHAnsi" w:hAnsiTheme="minorHAnsi" w:cstheme="minorBidi"/>
          <w:b/>
          <w:bCs/>
        </w:rPr>
        <w:t xml:space="preserve">The </w:t>
      </w:r>
      <w:r>
        <w:rPr>
          <w:rFonts w:asciiTheme="minorHAnsi" w:hAnsiTheme="minorHAnsi" w:cstheme="minorBidi"/>
          <w:b/>
          <w:bCs/>
        </w:rPr>
        <w:t xml:space="preserve">decision tree </w:t>
      </w:r>
      <w:r w:rsidRPr="00134D80">
        <w:rPr>
          <w:rFonts w:asciiTheme="minorHAnsi" w:hAnsiTheme="minorHAnsi" w:cstheme="minorBidi"/>
          <w:b/>
          <w:bCs/>
        </w:rPr>
        <w:t>sequence is as follows</w:t>
      </w:r>
      <w:r>
        <w:rPr>
          <w:rFonts w:asciiTheme="minorHAnsi" w:hAnsiTheme="minorHAnsi" w:cstheme="minorBidi"/>
          <w:b/>
          <w:bCs/>
        </w:rPr>
        <w:t xml:space="preserve"> (see Figure A1; Table A1, A2)</w:t>
      </w:r>
      <w:r w:rsidRPr="00134D80">
        <w:rPr>
          <w:rFonts w:asciiTheme="minorHAnsi" w:hAnsiTheme="minorHAnsi" w:cstheme="minorBidi"/>
          <w:b/>
          <w:bCs/>
        </w:rPr>
        <w:t>:</w:t>
      </w:r>
    </w:p>
    <w:p w14:paraId="06742386" w14:textId="77777777" w:rsidR="0001454A" w:rsidRPr="00CE2370" w:rsidRDefault="0001454A" w:rsidP="0001454A">
      <w:pPr>
        <w:pStyle w:val="ListParagraph"/>
        <w:numPr>
          <w:ilvl w:val="0"/>
          <w:numId w:val="3"/>
        </w:numPr>
        <w:spacing w:after="120" w:line="240" w:lineRule="auto"/>
      </w:pPr>
      <w:r w:rsidRPr="00CE2370">
        <w:t xml:space="preserve">The first question is whether or not a CU has a current absolute abundance value, and if so, whether or not this value falls below the lower threshold of 1,500 (which adds a buffer to </w:t>
      </w:r>
      <w:r>
        <w:t>Committee on the Status of Endangered Wildlife in Canada (COSEWIC)</w:t>
      </w:r>
      <w:r w:rsidRPr="00CE2370">
        <w:t xml:space="preserve"> Criterion D1 for small population size of 1,000). If the answer to this question is Yes, then the CU is assigned Red (node 3), with </w:t>
      </w:r>
      <w:r w:rsidRPr="00D439C9">
        <w:rPr>
          <w:i/>
          <w:iCs/>
        </w:rPr>
        <w:t>High confidence</w:t>
      </w:r>
      <w:r w:rsidRPr="00CE2370">
        <w:t xml:space="preserve">. </w:t>
      </w:r>
    </w:p>
    <w:p w14:paraId="30838946" w14:textId="77777777" w:rsidR="0001454A" w:rsidRPr="00CE2370" w:rsidRDefault="0001454A" w:rsidP="0001454A">
      <w:pPr>
        <w:pStyle w:val="ListParagraph"/>
        <w:widowControl w:val="0"/>
        <w:numPr>
          <w:ilvl w:val="0"/>
          <w:numId w:val="3"/>
        </w:numPr>
        <w:spacing w:before="240" w:after="120" w:line="240" w:lineRule="auto"/>
        <w:contextualSpacing w:val="0"/>
      </w:pPr>
      <w:r w:rsidRPr="00CE2370">
        <w:t>If the answer to the first question is No, then the second question is whether or not the CU has a current absolute abundance value, and if so, whether or not the current abundance is below the upper threshold of 10,000, which is COSEWIC's Criterion C upper benchmark. This second question splits the decision nodes into two Pathways: Pathway 1 (No to this question) and Pathway 2 (Yes to this question).</w:t>
      </w:r>
    </w:p>
    <w:p w14:paraId="413601BF" w14:textId="77777777" w:rsidR="0001454A" w:rsidRPr="00CE2370" w:rsidRDefault="0001454A" w:rsidP="0001454A">
      <w:pPr>
        <w:pStyle w:val="ListParagraph"/>
        <w:widowControl w:val="0"/>
        <w:numPr>
          <w:ilvl w:val="1"/>
          <w:numId w:val="4"/>
        </w:numPr>
        <w:spacing w:after="120" w:line="240" w:lineRule="auto"/>
      </w:pPr>
      <w:r w:rsidRPr="00CE2370">
        <w:rPr>
          <w:b/>
          <w:bCs/>
        </w:rPr>
        <w:t xml:space="preserve">Pathway 1: </w:t>
      </w:r>
      <w:r w:rsidRPr="00CE2370">
        <w:t>is where a CU either does not have a current absolute abundance value, or has these data, and it falls above the upper threshold for this metric. This pathway is split with the question: can this CU be assessed with a relative abundance metric. If the answer is Yes, a Red (nodes 19), Amber (nodes 37) or Green (node 36) WSP rapid status is assigned, with High confidence, depending on where the current abundance value falls relative to this metric’s lower and upper thresholds. If the answer is NO, then comparisons are made between the CU’s current abundances and percent change to thresholds for these metrics, which assign a Red with Medium confidence, or Green or Amber with Low confidence status.</w:t>
      </w:r>
    </w:p>
    <w:p w14:paraId="4FEDC285" w14:textId="77777777" w:rsidR="0001454A" w:rsidRDefault="0001454A" w:rsidP="0001454A">
      <w:pPr>
        <w:pStyle w:val="ListParagraph"/>
        <w:widowControl w:val="0"/>
        <w:numPr>
          <w:ilvl w:val="1"/>
          <w:numId w:val="4"/>
        </w:numPr>
        <w:spacing w:before="240" w:after="120" w:line="240" w:lineRule="auto"/>
        <w:contextualSpacing w:val="0"/>
      </w:pPr>
      <w:r w:rsidRPr="00CE2370">
        <w:rPr>
          <w:b/>
          <w:bCs/>
        </w:rPr>
        <w:t>Pathway 2:</w:t>
      </w:r>
      <w:r w:rsidRPr="00CE2370">
        <w:t xml:space="preserve"> is where a CU has absolute abundance data, and these abundances fall between the lower and upper thresholds. In this pathway, absolute abundances restrict WSP rapid statuses to only Amber or Red. This pathway is split with the question: can this CU be assessed with a relative abundance metric. If the answer is Yes, an Amber (node 22) with Medium confidence, or Red (node 23) with High confidence, is assigned, depending on whether the CU’s current abundance value falls above the relative abundance metric lower threshold or below. If the CU cannot be assessed with a relative abundance metric, then it is compared to the lower threshold of the Long-Term trend metric and assigned Amber (node 20) with Medium confidence if above, or Red (node 21) with Medium confidence if below.</w:t>
      </w:r>
    </w:p>
    <w:p w14:paraId="6F4C42C1" w14:textId="77777777" w:rsidR="0001454A" w:rsidRPr="00E62783" w:rsidRDefault="0001454A" w:rsidP="0001454A">
      <w:pPr>
        <w:spacing w:before="120"/>
        <w:rPr>
          <w:rFonts w:cs="Arial"/>
          <w:lang w:eastAsia="en-CA"/>
        </w:rPr>
      </w:pPr>
    </w:p>
    <w:p w14:paraId="5BA9C92B" w14:textId="77777777" w:rsidR="0001454A" w:rsidRPr="00FB2F67" w:rsidRDefault="0001454A" w:rsidP="0001454A">
      <w:pPr>
        <w:pStyle w:val="CaptionTable"/>
        <w:rPr>
          <w:sz w:val="24"/>
          <w:szCs w:val="24"/>
        </w:rPr>
      </w:pPr>
      <w:r w:rsidRPr="00FB2F67">
        <w:rPr>
          <w:b/>
          <w:sz w:val="24"/>
          <w:szCs w:val="24"/>
        </w:rPr>
        <w:t xml:space="preserve">Table </w:t>
      </w:r>
      <w:r>
        <w:rPr>
          <w:b/>
          <w:sz w:val="24"/>
          <w:szCs w:val="24"/>
        </w:rPr>
        <w:t>A</w:t>
      </w:r>
      <w:r w:rsidRPr="00FB2F67">
        <w:rPr>
          <w:b/>
          <w:sz w:val="24"/>
          <w:szCs w:val="24"/>
        </w:rPr>
        <w:t>1. Biological status zones under the Wild Salmon Policy (WSP).</w:t>
      </w:r>
      <w:r w:rsidRPr="00FB2F67">
        <w:rPr>
          <w:sz w:val="24"/>
          <w:szCs w:val="24"/>
        </w:rPr>
        <w:t xml:space="preserve"> </w:t>
      </w:r>
    </w:p>
    <w:p w14:paraId="1B97558F" w14:textId="77777777" w:rsidR="0001454A" w:rsidRPr="0022795C" w:rsidRDefault="0001454A" w:rsidP="0001454A">
      <w:pPr>
        <w:pStyle w:val="CaptionTable"/>
        <w:rPr>
          <w:vanish/>
          <w:specVanish/>
        </w:rPr>
      </w:pPr>
    </w:p>
    <w:p w14:paraId="17BA07BF" w14:textId="77777777" w:rsidR="0001454A" w:rsidRPr="0022795C" w:rsidRDefault="0001454A" w:rsidP="0001454A">
      <w:pPr>
        <w:pStyle w:val="CaptionTable"/>
        <w:rPr>
          <w:vanish/>
          <w:specVanish/>
        </w:rPr>
      </w:pPr>
    </w:p>
    <w:p w14:paraId="56C7F816" w14:textId="77777777" w:rsidR="0001454A" w:rsidRDefault="0001454A" w:rsidP="0001454A">
      <w:pPr>
        <w:pStyle w:val="Caption"/>
      </w:pPr>
      <w:r>
        <w:t xml:space="preserve"> </w:t>
      </w:r>
    </w:p>
    <w:tbl>
      <w:tblPr>
        <w:tblStyle w:val="TableGrid"/>
        <w:tblW w:w="862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261"/>
        <w:gridCol w:w="1134"/>
        <w:gridCol w:w="6230"/>
      </w:tblGrid>
      <w:tr w:rsidR="0001454A" w:rsidRPr="00F425F0" w14:paraId="68E5DFE2" w14:textId="77777777" w:rsidTr="006B2E23">
        <w:trPr>
          <w:trHeight w:val="456"/>
        </w:trPr>
        <w:tc>
          <w:tcPr>
            <w:tcW w:w="2395" w:type="dxa"/>
            <w:gridSpan w:val="2"/>
          </w:tcPr>
          <w:p w14:paraId="50854BB1" w14:textId="77777777" w:rsidR="0001454A" w:rsidRPr="00E62783" w:rsidRDefault="0001454A" w:rsidP="006B2E23">
            <w:pPr>
              <w:jc w:val="center"/>
              <w:rPr>
                <w:rFonts w:ascii="Arial" w:hAnsi="Arial" w:cs="Arial"/>
                <w:b/>
              </w:rPr>
            </w:pPr>
            <w:r w:rsidRPr="00E62783">
              <w:rPr>
                <w:rFonts w:ascii="Arial" w:hAnsi="Arial" w:cs="Arial"/>
                <w:b/>
              </w:rPr>
              <w:t>Status</w:t>
            </w:r>
          </w:p>
        </w:tc>
        <w:tc>
          <w:tcPr>
            <w:tcW w:w="6230" w:type="dxa"/>
          </w:tcPr>
          <w:p w14:paraId="24B5AE21" w14:textId="77777777" w:rsidR="0001454A" w:rsidRPr="00E62783" w:rsidRDefault="0001454A" w:rsidP="006B2E23">
            <w:pPr>
              <w:rPr>
                <w:rFonts w:ascii="Arial" w:hAnsi="Arial" w:cs="Arial"/>
                <w:b/>
              </w:rPr>
            </w:pPr>
            <w:r w:rsidRPr="00E62783">
              <w:rPr>
                <w:rFonts w:ascii="Arial" w:hAnsi="Arial" w:cs="Arial"/>
                <w:b/>
              </w:rPr>
              <w:t>Definition</w:t>
            </w:r>
          </w:p>
        </w:tc>
      </w:tr>
      <w:tr w:rsidR="0001454A" w:rsidRPr="00E62783" w14:paraId="58C6F1A7" w14:textId="77777777" w:rsidTr="006B2E23">
        <w:tc>
          <w:tcPr>
            <w:tcW w:w="1261" w:type="dxa"/>
            <w:shd w:val="clear" w:color="auto" w:fill="FF0000"/>
          </w:tcPr>
          <w:p w14:paraId="55CACE45" w14:textId="77777777" w:rsidR="0001454A" w:rsidRPr="00FE0E17" w:rsidRDefault="0001454A" w:rsidP="006B2E23">
            <w:pPr>
              <w:rPr>
                <w:b/>
              </w:rPr>
            </w:pPr>
          </w:p>
        </w:tc>
        <w:tc>
          <w:tcPr>
            <w:tcW w:w="1134" w:type="dxa"/>
          </w:tcPr>
          <w:p w14:paraId="60581FDB" w14:textId="77777777" w:rsidR="0001454A" w:rsidRPr="00E62783" w:rsidRDefault="0001454A" w:rsidP="006B2E23">
            <w:pPr>
              <w:rPr>
                <w:rFonts w:ascii="Arial" w:hAnsi="Arial" w:cs="Arial"/>
                <w:b/>
              </w:rPr>
            </w:pPr>
            <w:r w:rsidRPr="00E62783">
              <w:rPr>
                <w:rFonts w:ascii="Arial" w:hAnsi="Arial" w:cs="Arial"/>
                <w:b/>
                <w:i/>
              </w:rPr>
              <w:t>Red</w:t>
            </w:r>
          </w:p>
        </w:tc>
        <w:tc>
          <w:tcPr>
            <w:tcW w:w="6230" w:type="dxa"/>
          </w:tcPr>
          <w:p w14:paraId="2FCAF8E4" w14:textId="77777777" w:rsidR="0001454A" w:rsidRPr="00E62783" w:rsidRDefault="0001454A" w:rsidP="006B2E23">
            <w:pPr>
              <w:rPr>
                <w:rFonts w:ascii="Arial" w:hAnsi="Arial" w:cs="Arial"/>
              </w:rPr>
            </w:pPr>
            <w:r w:rsidRPr="00E62783">
              <w:rPr>
                <w:rFonts w:ascii="Arial" w:hAnsi="Arial" w:cs="Arial"/>
              </w:rPr>
              <w:t xml:space="preserve">Poor status CU </w:t>
            </w:r>
            <w:r>
              <w:rPr>
                <w:rFonts w:ascii="Arial" w:hAnsi="Arial" w:cs="Arial"/>
              </w:rPr>
              <w:t>facing an</w:t>
            </w:r>
            <w:r w:rsidRPr="00E62783">
              <w:rPr>
                <w:rFonts w:ascii="Arial" w:hAnsi="Arial" w:cs="Arial"/>
              </w:rPr>
              <w:t xml:space="preserve"> imminent threat of extinction </w:t>
            </w:r>
            <w:r>
              <w:rPr>
                <w:rFonts w:ascii="Arial" w:hAnsi="Arial" w:cs="Arial"/>
              </w:rPr>
              <w:t xml:space="preserve">           </w:t>
            </w:r>
            <w:r w:rsidRPr="00E62783">
              <w:rPr>
                <w:rFonts w:ascii="Arial" w:hAnsi="Arial" w:cs="Arial"/>
              </w:rPr>
              <w:t xml:space="preserve">[revised definition, given alignment with COSEWIC </w:t>
            </w:r>
            <w:r w:rsidRPr="00E62783">
              <w:rPr>
                <w:rFonts w:ascii="Arial" w:hAnsi="Arial" w:cs="Arial"/>
                <w:i/>
              </w:rPr>
              <w:t xml:space="preserve">Endangered </w:t>
            </w:r>
            <w:r w:rsidRPr="00E62783">
              <w:rPr>
                <w:rFonts w:ascii="Arial" w:hAnsi="Arial" w:cs="Arial"/>
              </w:rPr>
              <w:t>status</w:t>
            </w:r>
            <w:r>
              <w:rPr>
                <w:rFonts w:ascii="Arial" w:hAnsi="Arial" w:cs="Arial"/>
              </w:rPr>
              <w:t>es</w:t>
            </w:r>
            <w:r w:rsidRPr="00E62783">
              <w:rPr>
                <w:rFonts w:ascii="Arial" w:hAnsi="Arial" w:cs="Arial"/>
              </w:rPr>
              <w:t>]</w:t>
            </w:r>
          </w:p>
          <w:p w14:paraId="18BAFEA0" w14:textId="77777777" w:rsidR="0001454A" w:rsidRPr="00E62783" w:rsidRDefault="0001454A" w:rsidP="006B2E23">
            <w:pPr>
              <w:rPr>
                <w:rFonts w:ascii="Arial" w:hAnsi="Arial" w:cs="Arial"/>
                <w:b/>
              </w:rPr>
            </w:pPr>
          </w:p>
        </w:tc>
      </w:tr>
      <w:tr w:rsidR="0001454A" w:rsidRPr="00F425F0" w14:paraId="2AAE45FB" w14:textId="77777777" w:rsidTr="006B2E23">
        <w:tc>
          <w:tcPr>
            <w:tcW w:w="1261" w:type="dxa"/>
            <w:shd w:val="clear" w:color="auto" w:fill="FFFF00"/>
          </w:tcPr>
          <w:p w14:paraId="63316FFA" w14:textId="77777777" w:rsidR="0001454A" w:rsidRPr="00FE0E17" w:rsidRDefault="0001454A" w:rsidP="006B2E23">
            <w:pPr>
              <w:rPr>
                <w:b/>
              </w:rPr>
            </w:pPr>
          </w:p>
        </w:tc>
        <w:tc>
          <w:tcPr>
            <w:tcW w:w="1134" w:type="dxa"/>
          </w:tcPr>
          <w:p w14:paraId="7AA1C1A1" w14:textId="77777777" w:rsidR="0001454A" w:rsidRPr="00E62783" w:rsidRDefault="0001454A" w:rsidP="006B2E23">
            <w:pPr>
              <w:rPr>
                <w:rFonts w:ascii="Arial" w:hAnsi="Arial" w:cs="Arial"/>
                <w:b/>
                <w:i/>
              </w:rPr>
            </w:pPr>
            <w:r w:rsidRPr="00E62783">
              <w:rPr>
                <w:rFonts w:ascii="Arial" w:hAnsi="Arial" w:cs="Arial"/>
                <w:b/>
                <w:i/>
              </w:rPr>
              <w:t>Amber</w:t>
            </w:r>
          </w:p>
        </w:tc>
        <w:tc>
          <w:tcPr>
            <w:tcW w:w="6230" w:type="dxa"/>
          </w:tcPr>
          <w:p w14:paraId="2A8E2856" w14:textId="77777777" w:rsidR="0001454A" w:rsidRPr="00E62783" w:rsidRDefault="0001454A" w:rsidP="006B2E23">
            <w:pPr>
              <w:rPr>
                <w:rFonts w:ascii="Arial" w:hAnsi="Arial" w:cs="Arial"/>
              </w:rPr>
            </w:pPr>
            <w:r w:rsidRPr="00E62783">
              <w:rPr>
                <w:rFonts w:ascii="Arial" w:hAnsi="Arial" w:cs="Arial"/>
              </w:rPr>
              <w:t xml:space="preserve">“While a CU in the </w:t>
            </w:r>
            <w:r w:rsidRPr="00E62783">
              <w:rPr>
                <w:rFonts w:ascii="Arial" w:hAnsi="Arial" w:cs="Arial"/>
                <w:i/>
              </w:rPr>
              <w:t>Amber</w:t>
            </w:r>
            <w:r w:rsidRPr="00E62783">
              <w:rPr>
                <w:rFonts w:ascii="Arial" w:hAnsi="Arial" w:cs="Arial"/>
              </w:rPr>
              <w:t xml:space="preserve"> zone should be at low risk of loss, there will be a degree of lost production. Still, this situation may results when CUs share risk factors with other, more </w:t>
            </w:r>
            <w:r w:rsidRPr="00E62783">
              <w:rPr>
                <w:rFonts w:ascii="Arial" w:hAnsi="Arial" w:cs="Arial"/>
              </w:rPr>
              <w:lastRenderedPageBreak/>
              <w:t>productive units”</w:t>
            </w:r>
            <w:r>
              <w:rPr>
                <w:rFonts w:ascii="Arial" w:hAnsi="Arial" w:cs="Arial"/>
              </w:rPr>
              <w:t xml:space="preserve">. Aligns with COSEWIC </w:t>
            </w:r>
            <w:r>
              <w:rPr>
                <w:rFonts w:ascii="Arial" w:hAnsi="Arial" w:cs="Arial"/>
                <w:i/>
                <w:iCs/>
              </w:rPr>
              <w:t xml:space="preserve">Threatened and Special Concern </w:t>
            </w:r>
            <w:r>
              <w:rPr>
                <w:rFonts w:ascii="Arial" w:hAnsi="Arial" w:cs="Arial"/>
              </w:rPr>
              <w:t>statuses.</w:t>
            </w:r>
          </w:p>
        </w:tc>
      </w:tr>
      <w:tr w:rsidR="0001454A" w:rsidRPr="00F425F0" w14:paraId="0B132025" w14:textId="77777777" w:rsidTr="006B2E23">
        <w:tc>
          <w:tcPr>
            <w:tcW w:w="1261" w:type="dxa"/>
            <w:shd w:val="clear" w:color="auto" w:fill="92D050"/>
          </w:tcPr>
          <w:p w14:paraId="7ABF86BF" w14:textId="77777777" w:rsidR="0001454A" w:rsidRPr="00FE0E17" w:rsidRDefault="0001454A" w:rsidP="006B2E23">
            <w:pPr>
              <w:rPr>
                <w:b/>
              </w:rPr>
            </w:pPr>
          </w:p>
        </w:tc>
        <w:tc>
          <w:tcPr>
            <w:tcW w:w="1134" w:type="dxa"/>
          </w:tcPr>
          <w:p w14:paraId="20A1420D" w14:textId="77777777" w:rsidR="0001454A" w:rsidRPr="00E62783" w:rsidRDefault="0001454A" w:rsidP="006B2E23">
            <w:pPr>
              <w:rPr>
                <w:rFonts w:ascii="Arial" w:hAnsi="Arial" w:cs="Arial"/>
                <w:b/>
                <w:i/>
              </w:rPr>
            </w:pPr>
            <w:r w:rsidRPr="00E62783">
              <w:rPr>
                <w:rFonts w:ascii="Arial" w:hAnsi="Arial" w:cs="Arial"/>
                <w:b/>
                <w:i/>
              </w:rPr>
              <w:t>Green</w:t>
            </w:r>
          </w:p>
        </w:tc>
        <w:tc>
          <w:tcPr>
            <w:tcW w:w="6230" w:type="dxa"/>
          </w:tcPr>
          <w:p w14:paraId="656FBF84" w14:textId="77777777" w:rsidR="0001454A" w:rsidRPr="00E62783" w:rsidRDefault="0001454A" w:rsidP="006B2E23">
            <w:pPr>
              <w:rPr>
                <w:rFonts w:ascii="Arial" w:hAnsi="Arial" w:cs="Arial"/>
                <w:iCs/>
              </w:rPr>
            </w:pPr>
            <w:r w:rsidRPr="00E62783">
              <w:rPr>
                <w:rFonts w:ascii="Arial" w:hAnsi="Arial" w:cs="Arial"/>
              </w:rPr>
              <w:t>“</w:t>
            </w:r>
            <w:proofErr w:type="spellStart"/>
            <w:r w:rsidRPr="00E62783">
              <w:rPr>
                <w:rFonts w:ascii="Arial" w:hAnsi="Arial" w:cs="Arial"/>
              </w:rPr>
              <w:t>identif</w:t>
            </w:r>
            <w:proofErr w:type="spellEnd"/>
            <w:r w:rsidRPr="00E62783">
              <w:rPr>
                <w:rFonts w:ascii="Arial" w:hAnsi="Arial" w:cs="Arial"/>
              </w:rPr>
              <w:t>[</w:t>
            </w:r>
            <w:proofErr w:type="spellStart"/>
            <w:r w:rsidRPr="00E62783">
              <w:rPr>
                <w:rFonts w:ascii="Arial" w:hAnsi="Arial" w:cs="Arial"/>
              </w:rPr>
              <w:t>ies</w:t>
            </w:r>
            <w:proofErr w:type="spellEnd"/>
            <w:r w:rsidRPr="00E62783">
              <w:rPr>
                <w:rFonts w:ascii="Arial" w:hAnsi="Arial" w:cs="Arial"/>
              </w:rPr>
              <w:t>] whether harvest are greater than the level expected to provide on an average annual basis, the maximum annual catch for a CU, given existing conditions…there would not be a high probability of losing the CU”</w:t>
            </w:r>
            <w:r>
              <w:rPr>
                <w:rFonts w:ascii="Arial" w:hAnsi="Arial" w:cs="Arial"/>
              </w:rPr>
              <w:t xml:space="preserve">. Aligns with COSEWIC </w:t>
            </w:r>
            <w:r>
              <w:rPr>
                <w:rFonts w:ascii="Arial" w:hAnsi="Arial" w:cs="Arial"/>
                <w:i/>
                <w:iCs/>
              </w:rPr>
              <w:t xml:space="preserve">Not at Risk </w:t>
            </w:r>
            <w:r>
              <w:rPr>
                <w:rFonts w:ascii="Arial" w:hAnsi="Arial" w:cs="Arial"/>
                <w:iCs/>
              </w:rPr>
              <w:t>statuses.</w:t>
            </w:r>
          </w:p>
        </w:tc>
      </w:tr>
      <w:tr w:rsidR="0001454A" w:rsidRPr="00F425F0" w14:paraId="4C01B6DA" w14:textId="77777777" w:rsidTr="006B2E23">
        <w:tc>
          <w:tcPr>
            <w:tcW w:w="1261" w:type="dxa"/>
            <w:shd w:val="clear" w:color="auto" w:fill="auto"/>
          </w:tcPr>
          <w:p w14:paraId="77C4E236" w14:textId="77777777" w:rsidR="0001454A" w:rsidRPr="00FE0E17" w:rsidRDefault="0001454A" w:rsidP="006B2E23">
            <w:pPr>
              <w:rPr>
                <w:b/>
              </w:rPr>
            </w:pPr>
          </w:p>
        </w:tc>
        <w:tc>
          <w:tcPr>
            <w:tcW w:w="1134" w:type="dxa"/>
          </w:tcPr>
          <w:p w14:paraId="5727295A" w14:textId="77777777" w:rsidR="0001454A" w:rsidRPr="00E62783" w:rsidRDefault="0001454A" w:rsidP="006B2E23">
            <w:pPr>
              <w:rPr>
                <w:rFonts w:ascii="Arial" w:hAnsi="Arial" w:cs="Arial"/>
                <w:b/>
                <w:i/>
              </w:rPr>
            </w:pPr>
            <w:r w:rsidRPr="00E62783">
              <w:rPr>
                <w:rFonts w:ascii="Arial" w:hAnsi="Arial" w:cs="Arial"/>
                <w:b/>
                <w:i/>
              </w:rPr>
              <w:t>DD</w:t>
            </w:r>
          </w:p>
        </w:tc>
        <w:tc>
          <w:tcPr>
            <w:tcW w:w="6230" w:type="dxa"/>
          </w:tcPr>
          <w:p w14:paraId="146A45BA" w14:textId="77777777" w:rsidR="0001454A" w:rsidRPr="00E62783" w:rsidRDefault="0001454A" w:rsidP="006B2E23">
            <w:pPr>
              <w:rPr>
                <w:rFonts w:ascii="Arial" w:hAnsi="Arial" w:cs="Arial"/>
              </w:rPr>
            </w:pPr>
            <w:r w:rsidRPr="00E62783">
              <w:rPr>
                <w:rFonts w:ascii="Arial" w:hAnsi="Arial" w:cs="Arial"/>
                <w:b/>
              </w:rPr>
              <w:t>Data deficient</w:t>
            </w:r>
            <w:r w:rsidRPr="00E62783">
              <w:rPr>
                <w:rFonts w:ascii="Arial" w:hAnsi="Arial" w:cs="Arial"/>
              </w:rPr>
              <w:t>. CUs have been designated as DD if there is no data available, or if the available data is insufficient for calculating status metrics (after quality control).</w:t>
            </w:r>
          </w:p>
        </w:tc>
      </w:tr>
    </w:tbl>
    <w:p w14:paraId="78D0B191" w14:textId="77777777" w:rsidR="0001454A" w:rsidRDefault="0001454A" w:rsidP="0001454A">
      <w:pPr>
        <w:spacing w:before="120"/>
        <w:rPr>
          <w:rFonts w:cs="Arial"/>
          <w:lang w:eastAsia="en-CA"/>
        </w:rPr>
      </w:pPr>
    </w:p>
    <w:p w14:paraId="793908D9" w14:textId="77777777" w:rsidR="0001454A" w:rsidRPr="00233439" w:rsidRDefault="0001454A" w:rsidP="0001454A">
      <w:pPr>
        <w:pStyle w:val="NoSpacing"/>
        <w:spacing w:after="60"/>
        <w:rPr>
          <w:rFonts w:asciiTheme="minorHAnsi" w:hAnsiTheme="minorHAnsi" w:cstheme="minorHAnsi"/>
          <w:sz w:val="20"/>
        </w:rPr>
      </w:pPr>
      <w:r w:rsidRPr="00233439">
        <w:rPr>
          <w:rFonts w:asciiTheme="minorHAnsi" w:hAnsiTheme="minorHAnsi" w:cstheme="minorHAnsi"/>
          <w:b/>
          <w:bCs/>
          <w:sz w:val="24"/>
        </w:rPr>
        <w:t>Table A</w:t>
      </w:r>
      <w:r>
        <w:rPr>
          <w:rFonts w:asciiTheme="minorHAnsi" w:hAnsiTheme="minorHAnsi" w:cstheme="minorHAnsi"/>
          <w:b/>
          <w:bCs/>
          <w:sz w:val="24"/>
        </w:rPr>
        <w:t>2</w:t>
      </w:r>
      <w:r w:rsidRPr="00233439">
        <w:rPr>
          <w:rFonts w:asciiTheme="minorHAnsi" w:hAnsiTheme="minorHAnsi" w:cstheme="minorHAnsi"/>
          <w:b/>
          <w:bCs/>
          <w:sz w:val="24"/>
        </w:rPr>
        <w:t xml:space="preserve">. WSP rapid status </w:t>
      </w:r>
      <w:r w:rsidRPr="00233439">
        <w:rPr>
          <w:rFonts w:asciiTheme="minorHAnsi" w:hAnsiTheme="minorHAnsi" w:cstheme="minorHAnsi"/>
          <w:b/>
          <w:bCs/>
          <w:i/>
          <w:iCs/>
          <w:sz w:val="24"/>
        </w:rPr>
        <w:t>Learning Tree 3</w:t>
      </w:r>
      <w:r w:rsidRPr="00233439">
        <w:rPr>
          <w:rFonts w:asciiTheme="minorHAnsi" w:hAnsiTheme="minorHAnsi" w:cstheme="minorHAnsi"/>
          <w:b/>
          <w:bCs/>
          <w:sz w:val="24"/>
        </w:rPr>
        <w:t xml:space="preserve"> status assignments by node (see Figure 1).</w:t>
      </w:r>
      <w:r w:rsidRPr="00233439">
        <w:rPr>
          <w:rFonts w:asciiTheme="minorHAnsi" w:hAnsiTheme="minorHAnsi" w:cstheme="minorHAnsi"/>
        </w:rPr>
        <w:t xml:space="preserve"> This table presents the decisions in </w:t>
      </w:r>
      <w:r w:rsidRPr="00233439">
        <w:rPr>
          <w:rFonts w:asciiTheme="minorHAnsi" w:hAnsiTheme="minorHAnsi" w:cstheme="minorHAnsi"/>
          <w:i/>
          <w:iCs/>
        </w:rPr>
        <w:t>Learning Tree</w:t>
      </w:r>
      <w:r w:rsidRPr="00233439">
        <w:rPr>
          <w:rFonts w:asciiTheme="minorHAnsi" w:hAnsiTheme="minorHAnsi" w:cstheme="minorHAnsi"/>
        </w:rPr>
        <w:t xml:space="preserve"> </w:t>
      </w:r>
      <w:r w:rsidRPr="00233439">
        <w:rPr>
          <w:rFonts w:asciiTheme="minorHAnsi" w:hAnsiTheme="minorHAnsi" w:cstheme="minorHAnsi"/>
          <w:i/>
          <w:iCs/>
        </w:rPr>
        <w:t>3</w:t>
      </w:r>
      <w:r w:rsidRPr="00233439">
        <w:rPr>
          <w:rFonts w:asciiTheme="minorHAnsi" w:hAnsiTheme="minorHAnsi" w:cstheme="minorHAnsi"/>
        </w:rPr>
        <w:t xml:space="preserve"> that led to </w:t>
      </w:r>
      <w:r w:rsidRPr="00233439">
        <w:rPr>
          <w:rFonts w:asciiTheme="minorHAnsi" w:hAnsiTheme="minorHAnsi" w:cstheme="minorHAnsi"/>
          <w:i/>
        </w:rPr>
        <w:t>Red</w:t>
      </w:r>
      <w:r w:rsidRPr="00233439">
        <w:rPr>
          <w:rFonts w:asciiTheme="minorHAnsi" w:hAnsiTheme="minorHAnsi" w:cstheme="minorHAnsi"/>
        </w:rPr>
        <w:t xml:space="preserve"> or </w:t>
      </w:r>
      <w:r w:rsidRPr="00233439">
        <w:rPr>
          <w:rFonts w:asciiTheme="minorHAnsi" w:hAnsiTheme="minorHAnsi" w:cstheme="minorHAnsi"/>
          <w:i/>
          <w:iCs/>
        </w:rPr>
        <w:t>Amber</w:t>
      </w:r>
      <w:r w:rsidRPr="00233439">
        <w:rPr>
          <w:rFonts w:asciiTheme="minorHAnsi" w:hAnsiTheme="minorHAnsi" w:cstheme="minorHAnsi"/>
        </w:rPr>
        <w:t xml:space="preserve"> or </w:t>
      </w:r>
      <w:r w:rsidRPr="00233439">
        <w:rPr>
          <w:rFonts w:asciiTheme="minorHAnsi" w:hAnsiTheme="minorHAnsi" w:cstheme="minorHAnsi"/>
          <w:i/>
        </w:rPr>
        <w:t>Green</w:t>
      </w:r>
      <w:r w:rsidRPr="00233439">
        <w:rPr>
          <w:rFonts w:asciiTheme="minorHAnsi" w:hAnsiTheme="minorHAnsi" w:cstheme="minorHAnsi"/>
        </w:rPr>
        <w:t xml:space="preserve"> status assignments; status outcomes depend on the pathway and decisions made. The final node that corresponds to the status assignment is presented below (see Figure 1).</w:t>
      </w:r>
      <w:r w:rsidRPr="00233439">
        <w:rPr>
          <w:rFonts w:asciiTheme="minorHAnsi" w:hAnsiTheme="minorHAnsi" w:cstheme="minorHAnsi"/>
          <w:b/>
          <w:bCs/>
        </w:rPr>
        <w:t xml:space="preserve"> </w:t>
      </w:r>
    </w:p>
    <w:tbl>
      <w:tblPr>
        <w:tblStyle w:val="TableGrid"/>
        <w:tblW w:w="9175" w:type="dxa"/>
        <w:tblLook w:val="04A0" w:firstRow="1" w:lastRow="0" w:firstColumn="1" w:lastColumn="0" w:noHBand="0" w:noVBand="1"/>
      </w:tblPr>
      <w:tblGrid>
        <w:gridCol w:w="1119"/>
        <w:gridCol w:w="839"/>
        <w:gridCol w:w="7217"/>
      </w:tblGrid>
      <w:tr w:rsidR="0001454A" w14:paraId="53209E3A" w14:textId="77777777" w:rsidTr="006B2E23">
        <w:tc>
          <w:tcPr>
            <w:tcW w:w="1123" w:type="dxa"/>
            <w:tcBorders>
              <w:bottom w:val="single" w:sz="18" w:space="0" w:color="auto"/>
            </w:tcBorders>
          </w:tcPr>
          <w:p w14:paraId="1C1572BB" w14:textId="77777777" w:rsidR="0001454A" w:rsidRPr="00BD497A" w:rsidRDefault="0001454A" w:rsidP="006B2E23">
            <w:pPr>
              <w:rPr>
                <w:b/>
                <w:bCs/>
                <w:sz w:val="24"/>
                <w:szCs w:val="24"/>
              </w:rPr>
            </w:pPr>
            <w:r w:rsidRPr="00BD497A">
              <w:rPr>
                <w:b/>
                <w:bCs/>
                <w:sz w:val="24"/>
                <w:szCs w:val="24"/>
              </w:rPr>
              <w:t>Node</w:t>
            </w:r>
          </w:p>
        </w:tc>
        <w:tc>
          <w:tcPr>
            <w:tcW w:w="715" w:type="dxa"/>
            <w:tcBorders>
              <w:bottom w:val="single" w:sz="18" w:space="0" w:color="auto"/>
            </w:tcBorders>
          </w:tcPr>
          <w:p w14:paraId="7DDF3A2F" w14:textId="77777777" w:rsidR="0001454A" w:rsidRPr="00BD497A" w:rsidRDefault="0001454A" w:rsidP="006B2E23">
            <w:pPr>
              <w:rPr>
                <w:b/>
                <w:bCs/>
                <w:sz w:val="24"/>
                <w:szCs w:val="24"/>
              </w:rPr>
            </w:pPr>
            <w:r w:rsidRPr="00BD497A">
              <w:rPr>
                <w:b/>
                <w:bCs/>
                <w:sz w:val="24"/>
                <w:szCs w:val="24"/>
              </w:rPr>
              <w:t>Status</w:t>
            </w:r>
          </w:p>
        </w:tc>
        <w:tc>
          <w:tcPr>
            <w:tcW w:w="7337" w:type="dxa"/>
            <w:tcBorders>
              <w:bottom w:val="single" w:sz="18" w:space="0" w:color="auto"/>
            </w:tcBorders>
          </w:tcPr>
          <w:p w14:paraId="77C81D80" w14:textId="77777777" w:rsidR="0001454A" w:rsidRPr="00BD497A" w:rsidRDefault="0001454A" w:rsidP="006B2E23">
            <w:pPr>
              <w:rPr>
                <w:b/>
                <w:bCs/>
                <w:sz w:val="24"/>
                <w:szCs w:val="24"/>
              </w:rPr>
            </w:pPr>
            <w:r w:rsidRPr="00BD497A">
              <w:rPr>
                <w:b/>
                <w:bCs/>
                <w:sz w:val="24"/>
                <w:szCs w:val="24"/>
              </w:rPr>
              <w:t>Rule</w:t>
            </w:r>
          </w:p>
        </w:tc>
      </w:tr>
      <w:tr w:rsidR="0001454A" w14:paraId="0E21FB66" w14:textId="77777777" w:rsidTr="006B2E23">
        <w:trPr>
          <w:trHeight w:val="220"/>
        </w:trPr>
        <w:tc>
          <w:tcPr>
            <w:tcW w:w="1123" w:type="dxa"/>
            <w:tcBorders>
              <w:top w:val="single" w:sz="18" w:space="0" w:color="auto"/>
            </w:tcBorders>
          </w:tcPr>
          <w:p w14:paraId="2562F21C" w14:textId="77777777" w:rsidR="0001454A" w:rsidRDefault="0001454A" w:rsidP="006B2E23">
            <w:r>
              <w:t>Node3</w:t>
            </w:r>
          </w:p>
        </w:tc>
        <w:tc>
          <w:tcPr>
            <w:tcW w:w="715" w:type="dxa"/>
            <w:tcBorders>
              <w:top w:val="single" w:sz="18" w:space="0" w:color="auto"/>
            </w:tcBorders>
          </w:tcPr>
          <w:p w14:paraId="5FEEEA3F" w14:textId="77777777" w:rsidR="0001454A" w:rsidRDefault="0001454A" w:rsidP="006B2E23">
            <w:r w:rsidRPr="0044189E">
              <w:rPr>
                <w:i/>
              </w:rPr>
              <w:t>Red</w:t>
            </w:r>
          </w:p>
        </w:tc>
        <w:tc>
          <w:tcPr>
            <w:tcW w:w="7337" w:type="dxa"/>
            <w:tcBorders>
              <w:top w:val="single" w:sz="18" w:space="0" w:color="auto"/>
            </w:tcBorders>
          </w:tcPr>
          <w:p w14:paraId="6B9D5710" w14:textId="77777777" w:rsidR="0001454A" w:rsidRPr="00EA1D16" w:rsidRDefault="0001454A" w:rsidP="006B2E23">
            <w:pPr>
              <w:rPr>
                <w:rFonts w:cs="Arial"/>
              </w:rPr>
            </w:pPr>
            <w:r w:rsidRPr="00EA1D16">
              <w:rPr>
                <w:rFonts w:eastAsia="NimbusSanL-Regu" w:cs="Arial"/>
              </w:rPr>
              <w:t>Data Type is Abs</w:t>
            </w:r>
            <w:r>
              <w:rPr>
                <w:rFonts w:eastAsia="NimbusSanL-Regu" w:cs="Arial"/>
              </w:rPr>
              <w:t xml:space="preserve">olute </w:t>
            </w:r>
            <w:r w:rsidRPr="00EA1D16">
              <w:rPr>
                <w:rFonts w:eastAsia="NimbusSanL-Regu" w:cs="Arial"/>
              </w:rPr>
              <w:t>A</w:t>
            </w:r>
            <w:r>
              <w:rPr>
                <w:rFonts w:eastAsia="NimbusSanL-Regu" w:cs="Arial"/>
              </w:rPr>
              <w:t>bundance</w:t>
            </w:r>
            <w:r w:rsidRPr="00EA1D16">
              <w:rPr>
                <w:rFonts w:eastAsia="NimbusSanL-Regu" w:cs="Arial"/>
              </w:rPr>
              <w:t xml:space="preserve"> AND </w:t>
            </w:r>
            <w:r w:rsidRPr="00000F8C">
              <w:rPr>
                <w:rFonts w:eastAsia="NimbusSanL-Regu" w:cs="Arial"/>
                <w:i/>
                <w:iCs/>
              </w:rPr>
              <w:t>Absolute Abundance</w:t>
            </w:r>
            <w:r w:rsidRPr="00EA1D16">
              <w:rPr>
                <w:rFonts w:eastAsia="NimbusSanL-Regu" w:cs="Arial"/>
              </w:rPr>
              <w:t xml:space="preserve"> </w:t>
            </w:r>
            <w:r w:rsidRPr="00EA1D16">
              <w:rPr>
                <w:rFonts w:eastAsia="LMMathItalic10-Regular" w:cs="Arial"/>
                <w:i/>
                <w:iCs/>
              </w:rPr>
              <w:t xml:space="preserve">&lt; </w:t>
            </w:r>
            <w:r w:rsidRPr="00EA1D16">
              <w:rPr>
                <w:rFonts w:eastAsia="NimbusSanL-Regu" w:cs="Arial"/>
              </w:rPr>
              <w:t>1</w:t>
            </w:r>
            <w:r>
              <w:rPr>
                <w:rFonts w:eastAsia="NimbusSanL-Regu" w:cs="Arial"/>
              </w:rPr>
              <w:t>,</w:t>
            </w:r>
            <w:r w:rsidRPr="00EA1D16">
              <w:rPr>
                <w:rFonts w:eastAsia="NimbusSanL-Regu" w:cs="Arial"/>
              </w:rPr>
              <w:t>5</w:t>
            </w:r>
            <w:r>
              <w:rPr>
                <w:rFonts w:eastAsia="NimbusSanL-Regu" w:cs="Arial"/>
              </w:rPr>
              <w:t>00</w:t>
            </w:r>
          </w:p>
        </w:tc>
      </w:tr>
      <w:tr w:rsidR="0001454A" w14:paraId="55F8160D" w14:textId="77777777" w:rsidTr="006B2E23">
        <w:tc>
          <w:tcPr>
            <w:tcW w:w="1123" w:type="dxa"/>
          </w:tcPr>
          <w:p w14:paraId="48B631D3" w14:textId="77777777" w:rsidR="0001454A" w:rsidRDefault="0001454A" w:rsidP="006B2E23">
            <w:r>
              <w:t>Node17</w:t>
            </w:r>
          </w:p>
        </w:tc>
        <w:tc>
          <w:tcPr>
            <w:tcW w:w="715" w:type="dxa"/>
          </w:tcPr>
          <w:p w14:paraId="10A24738" w14:textId="77777777" w:rsidR="0001454A" w:rsidRDefault="0001454A" w:rsidP="006B2E23">
            <w:r w:rsidRPr="0044189E">
              <w:rPr>
                <w:i/>
              </w:rPr>
              <w:t>Red</w:t>
            </w:r>
          </w:p>
        </w:tc>
        <w:tc>
          <w:tcPr>
            <w:tcW w:w="7337" w:type="dxa"/>
          </w:tcPr>
          <w:p w14:paraId="3C92E179" w14:textId="77777777" w:rsidR="0001454A" w:rsidRDefault="0001454A" w:rsidP="006B2E23">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69E0A649" w14:textId="77777777" w:rsidR="0001454A" w:rsidRDefault="0001454A" w:rsidP="006B2E23">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6A583BB9" w14:textId="77777777" w:rsidR="0001454A" w:rsidRPr="00BD497A" w:rsidRDefault="0001454A" w:rsidP="006B2E23">
            <w:pPr>
              <w:autoSpaceDE w:val="0"/>
              <w:autoSpaceDN w:val="0"/>
              <w:adjustRightInd w:val="0"/>
              <w:rPr>
                <w:rFonts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 xml:space="preserve">; </w:t>
            </w: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Italic10-Regular" w:cs="Arial"/>
                <w:i/>
                <w:iCs/>
              </w:rPr>
              <w:t xml:space="preserve">&lt; </w:t>
            </w:r>
            <w:r w:rsidRPr="00BD497A">
              <w:rPr>
                <w:rFonts w:eastAsia="NimbusSanL-Regu" w:cs="Arial"/>
              </w:rPr>
              <w:t>79</w:t>
            </w:r>
            <w:r>
              <w:rPr>
                <w:rFonts w:eastAsia="NimbusSanL-Regu" w:cs="Arial"/>
              </w:rPr>
              <w:t>%</w:t>
            </w:r>
          </w:p>
        </w:tc>
      </w:tr>
      <w:tr w:rsidR="0001454A" w14:paraId="07D03AA5" w14:textId="77777777" w:rsidTr="006B2E23">
        <w:tc>
          <w:tcPr>
            <w:tcW w:w="1123" w:type="dxa"/>
          </w:tcPr>
          <w:p w14:paraId="2972D581" w14:textId="77777777" w:rsidR="0001454A" w:rsidRDefault="0001454A" w:rsidP="006B2E23">
            <w:r>
              <w:t>Node19</w:t>
            </w:r>
          </w:p>
        </w:tc>
        <w:tc>
          <w:tcPr>
            <w:tcW w:w="715" w:type="dxa"/>
          </w:tcPr>
          <w:p w14:paraId="3575751B" w14:textId="77777777" w:rsidR="0001454A" w:rsidRDefault="0001454A" w:rsidP="006B2E23">
            <w:r w:rsidRPr="0044189E">
              <w:rPr>
                <w:i/>
              </w:rPr>
              <w:t>Red</w:t>
            </w:r>
          </w:p>
        </w:tc>
        <w:tc>
          <w:tcPr>
            <w:tcW w:w="7337" w:type="dxa"/>
          </w:tcPr>
          <w:p w14:paraId="761A4BF8" w14:textId="77777777" w:rsidR="0001454A" w:rsidRDefault="0001454A" w:rsidP="006B2E23">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69E16E04" w14:textId="77777777" w:rsidR="0001454A" w:rsidRDefault="0001454A" w:rsidP="006B2E23">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27166C">
              <w:rPr>
                <w:rFonts w:eastAsia="NimbusSanL-Regu" w:cs="Arial"/>
                <w:i/>
                <w:iCs/>
              </w:rPr>
              <w:t>Absolute Abundance</w:t>
            </w:r>
            <w:r>
              <w:rPr>
                <w:rFonts w:eastAsia="NimbusSanL-Regu" w:cs="Arial"/>
              </w:rPr>
              <w:t xml:space="preserve"> </w:t>
            </w:r>
            <w:r w:rsidRPr="00BD497A">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0846724A" w14:textId="77777777" w:rsidR="0001454A" w:rsidRDefault="0001454A" w:rsidP="006B2E23">
            <w:pPr>
              <w:autoSpaceDE w:val="0"/>
              <w:autoSpaceDN w:val="0"/>
              <w:adjustRightInd w:val="0"/>
              <w:rPr>
                <w:rFonts w:eastAsia="NimbusSanL-Regu" w:cs="Arial"/>
                <w:i/>
                <w:iCs/>
              </w:rPr>
            </w:pPr>
            <w:r w:rsidRPr="00BD497A">
              <w:rPr>
                <w:rFonts w:eastAsia="NimbusSanL-Regu" w:cs="Arial"/>
              </w:rPr>
              <w:t xml:space="preserve">then </w:t>
            </w:r>
            <w:r>
              <w:rPr>
                <w:rFonts w:eastAsia="NimbusSanL-Regu" w:cs="Arial"/>
              </w:rPr>
              <w:t>have</w:t>
            </w:r>
            <w:r w:rsidRPr="00BD497A">
              <w:rPr>
                <w:rFonts w:eastAsia="NimbusSanL-Regu" w:cs="Arial"/>
              </w:rPr>
              <w:t xml:space="preserve"> </w:t>
            </w:r>
            <w:r w:rsidRPr="0064315B">
              <w:rPr>
                <w:rFonts w:eastAsia="NimbusSanL-Regu" w:cs="Arial"/>
                <w:i/>
                <w:iCs/>
              </w:rPr>
              <w:t xml:space="preserve">Relative Abundance </w:t>
            </w:r>
            <w:r w:rsidRPr="0027166C">
              <w:rPr>
                <w:rFonts w:eastAsia="NimbusSanL-Regu" w:cs="Arial"/>
              </w:rPr>
              <w:t>lower benchmark</w:t>
            </w:r>
            <w:r>
              <w:rPr>
                <w:rFonts w:eastAsia="NimbusSanL-Regu" w:cs="Arial"/>
                <w:i/>
                <w:iCs/>
              </w:rPr>
              <w:t>;</w:t>
            </w:r>
          </w:p>
          <w:p w14:paraId="119B2467" w14:textId="77777777" w:rsidR="0001454A" w:rsidRPr="00BD497A" w:rsidRDefault="0001454A" w:rsidP="006B2E23">
            <w:pPr>
              <w:autoSpaceDE w:val="0"/>
              <w:autoSpaceDN w:val="0"/>
              <w:adjustRightInd w:val="0"/>
              <w:rPr>
                <w:rFonts w:cs="Arial"/>
              </w:rPr>
            </w:pPr>
            <w:r w:rsidRPr="00BD497A">
              <w:rPr>
                <w:rFonts w:eastAsia="NimbusSanL-Regu" w:cs="Arial"/>
              </w:rPr>
              <w:t xml:space="preserve">then </w:t>
            </w:r>
            <w:r w:rsidRPr="0064315B">
              <w:rPr>
                <w:rFonts w:eastAsia="NimbusSanL-Regu" w:cs="Arial"/>
                <w:i/>
                <w:iCs/>
              </w:rPr>
              <w:t xml:space="preserve">Relative Abundance </w:t>
            </w:r>
            <w:r w:rsidRPr="00BD497A">
              <w:rPr>
                <w:rFonts w:eastAsia="LMMathItalic10-Regular" w:cs="Arial"/>
                <w:i/>
                <w:iCs/>
              </w:rPr>
              <w:t xml:space="preserve">&lt; </w:t>
            </w:r>
            <w:r w:rsidRPr="0064315B">
              <w:rPr>
                <w:rFonts w:eastAsia="NimbusSanL-Regu" w:cs="Arial"/>
                <w:i/>
                <w:iCs/>
              </w:rPr>
              <w:t xml:space="preserve">Relative Abundance </w:t>
            </w:r>
            <w:r w:rsidRPr="0027166C">
              <w:rPr>
                <w:rFonts w:eastAsia="NimbusSanL-Regu" w:cs="Arial"/>
              </w:rPr>
              <w:t>lower benchmark</w:t>
            </w:r>
          </w:p>
        </w:tc>
      </w:tr>
      <w:tr w:rsidR="0001454A" w14:paraId="26C8FC55" w14:textId="77777777" w:rsidTr="006B2E23">
        <w:tc>
          <w:tcPr>
            <w:tcW w:w="1123" w:type="dxa"/>
          </w:tcPr>
          <w:p w14:paraId="5A667A65" w14:textId="77777777" w:rsidR="0001454A" w:rsidRDefault="0001454A" w:rsidP="006B2E23">
            <w:r>
              <w:t>Node20</w:t>
            </w:r>
          </w:p>
        </w:tc>
        <w:tc>
          <w:tcPr>
            <w:tcW w:w="715" w:type="dxa"/>
          </w:tcPr>
          <w:p w14:paraId="28726636" w14:textId="77777777" w:rsidR="0001454A" w:rsidRPr="00215F46" w:rsidRDefault="0001454A" w:rsidP="006B2E23">
            <w:pPr>
              <w:rPr>
                <w:i/>
                <w:iCs/>
              </w:rPr>
            </w:pPr>
            <w:r w:rsidRPr="00215F46">
              <w:rPr>
                <w:i/>
                <w:iCs/>
              </w:rPr>
              <w:t>Amber</w:t>
            </w:r>
          </w:p>
        </w:tc>
        <w:tc>
          <w:tcPr>
            <w:tcW w:w="7337" w:type="dxa"/>
          </w:tcPr>
          <w:p w14:paraId="47C7E036" w14:textId="77777777" w:rsidR="0001454A" w:rsidRDefault="0001454A" w:rsidP="006B2E23">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59F1531A" w14:textId="77777777" w:rsidR="0001454A" w:rsidRDefault="0001454A" w:rsidP="006B2E23">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1A0E0455" w14:textId="77777777" w:rsidR="0001454A" w:rsidRPr="00BD497A" w:rsidRDefault="0001454A" w:rsidP="006B2E23">
            <w:pPr>
              <w:autoSpaceDE w:val="0"/>
              <w:autoSpaceDN w:val="0"/>
              <w:adjustRightInd w:val="0"/>
              <w:rPr>
                <w:rFonts w:cs="Arial"/>
              </w:rPr>
            </w:pPr>
            <w:r>
              <w:rPr>
                <w:rFonts w:eastAsia="NimbusSanL-Regu" w:cs="Arial"/>
              </w:rPr>
              <w:t>t</w:t>
            </w:r>
            <w:r w:rsidRPr="00BD497A">
              <w:rPr>
                <w:rFonts w:eastAsia="NimbusSanL-Regu" w:cs="Arial"/>
              </w:rPr>
              <w:t xml:space="preserve">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27166C">
              <w:rPr>
                <w:rFonts w:eastAsia="NimbusSanL-Regu" w:cs="Arial"/>
              </w:rPr>
              <w:t>lower benchmark</w:t>
            </w:r>
            <w:r>
              <w:rPr>
                <w:rFonts w:eastAsia="NimbusSanL-Regu" w:cs="Arial"/>
              </w:rPr>
              <w:t xml:space="preserve">; </w:t>
            </w: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NimbusSanL-Regu" w:cs="Arial"/>
              </w:rPr>
              <w:t>79</w:t>
            </w:r>
            <w:r>
              <w:rPr>
                <w:rFonts w:eastAsia="NimbusSanL-Regu" w:cs="Arial"/>
              </w:rPr>
              <w:t>%</w:t>
            </w:r>
          </w:p>
        </w:tc>
      </w:tr>
      <w:tr w:rsidR="0001454A" w14:paraId="3032768F" w14:textId="77777777" w:rsidTr="006B2E23">
        <w:tc>
          <w:tcPr>
            <w:tcW w:w="1123" w:type="dxa"/>
          </w:tcPr>
          <w:p w14:paraId="07851F5A" w14:textId="77777777" w:rsidR="0001454A" w:rsidRDefault="0001454A" w:rsidP="006B2E23">
            <w:r>
              <w:t>Node21</w:t>
            </w:r>
          </w:p>
        </w:tc>
        <w:tc>
          <w:tcPr>
            <w:tcW w:w="715" w:type="dxa"/>
          </w:tcPr>
          <w:p w14:paraId="19106457" w14:textId="77777777" w:rsidR="0001454A" w:rsidRDefault="0001454A" w:rsidP="006B2E23">
            <w:r w:rsidRPr="0044189E">
              <w:rPr>
                <w:i/>
              </w:rPr>
              <w:t>Red</w:t>
            </w:r>
          </w:p>
        </w:tc>
        <w:tc>
          <w:tcPr>
            <w:tcW w:w="7337" w:type="dxa"/>
          </w:tcPr>
          <w:p w14:paraId="24E60A44" w14:textId="77777777" w:rsidR="0001454A" w:rsidRDefault="0001454A" w:rsidP="006B2E23">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28249012" w14:textId="77777777" w:rsidR="0001454A" w:rsidRDefault="0001454A" w:rsidP="006B2E23">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1DB7D350" w14:textId="77777777" w:rsidR="0001454A" w:rsidRPr="0027166C" w:rsidRDefault="0001454A" w:rsidP="006B2E23">
            <w:pPr>
              <w:autoSpaceDE w:val="0"/>
              <w:autoSpaceDN w:val="0"/>
              <w:adjustRightInd w:val="0"/>
              <w:rPr>
                <w:rFonts w:eastAsia="NimbusSanL-Regu" w:cs="Arial"/>
              </w:rPr>
            </w:pPr>
            <w:r>
              <w:rPr>
                <w:rFonts w:eastAsia="NimbusSanL-Regu" w:cs="Arial"/>
              </w:rPr>
              <w:t>t</w:t>
            </w:r>
            <w:r w:rsidRPr="00BD497A">
              <w:rPr>
                <w:rFonts w:eastAsia="NimbusSanL-Regu" w:cs="Arial"/>
              </w:rPr>
              <w:t xml:space="preserve">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27166C">
              <w:rPr>
                <w:rFonts w:eastAsia="NimbusSanL-Regu" w:cs="Arial"/>
              </w:rPr>
              <w:t>lower benchmark</w:t>
            </w:r>
            <w:r>
              <w:rPr>
                <w:rFonts w:eastAsia="NimbusSanL-Regu" w:cs="Arial"/>
              </w:rPr>
              <w:t xml:space="preserve">; </w:t>
            </w:r>
            <w:r w:rsidRPr="00BD497A">
              <w:rPr>
                <w:rFonts w:eastAsia="NimbusSanL-Regu" w:cs="Arial"/>
              </w:rPr>
              <w:t xml:space="preserve">then </w:t>
            </w:r>
            <w:r w:rsidRPr="0064315B">
              <w:rPr>
                <w:rFonts w:eastAsia="NimbusSanL-Regu" w:cs="Arial"/>
                <w:i/>
                <w:iCs/>
              </w:rPr>
              <w:t xml:space="preserve">Long Term Trend </w:t>
            </w:r>
            <w:r>
              <w:rPr>
                <w:rFonts w:eastAsia="NimbusSanL-Regu" w:cs="Arial"/>
                <w:i/>
                <w:iCs/>
              </w:rPr>
              <w:t>&lt;</w:t>
            </w:r>
            <w:r w:rsidRPr="00BD497A">
              <w:rPr>
                <w:rFonts w:eastAsia="LMMathSymbols10-Regular" w:cs="Arial"/>
              </w:rPr>
              <w:t xml:space="preserve"> </w:t>
            </w:r>
            <w:r w:rsidRPr="00BD497A">
              <w:rPr>
                <w:rFonts w:eastAsia="NimbusSanL-Regu" w:cs="Arial"/>
              </w:rPr>
              <w:t>79</w:t>
            </w:r>
            <w:r>
              <w:rPr>
                <w:rFonts w:eastAsia="NimbusSanL-Regu" w:cs="Arial"/>
              </w:rPr>
              <w:t>%</w:t>
            </w:r>
            <w:r w:rsidRPr="0064315B">
              <w:rPr>
                <w:rFonts w:eastAsia="NimbusSanL-Regu" w:cs="Arial"/>
                <w:i/>
                <w:iCs/>
              </w:rPr>
              <w:t xml:space="preserve"> </w:t>
            </w:r>
          </w:p>
        </w:tc>
      </w:tr>
      <w:tr w:rsidR="0001454A" w14:paraId="196E97E5" w14:textId="77777777" w:rsidTr="006B2E23">
        <w:tc>
          <w:tcPr>
            <w:tcW w:w="1123" w:type="dxa"/>
          </w:tcPr>
          <w:p w14:paraId="1AFB2544" w14:textId="77777777" w:rsidR="0001454A" w:rsidRDefault="0001454A" w:rsidP="006B2E23">
            <w:r>
              <w:t>Node22</w:t>
            </w:r>
          </w:p>
        </w:tc>
        <w:tc>
          <w:tcPr>
            <w:tcW w:w="715" w:type="dxa"/>
          </w:tcPr>
          <w:p w14:paraId="2FD168F6" w14:textId="77777777" w:rsidR="0001454A" w:rsidRPr="00215F46" w:rsidRDefault="0001454A" w:rsidP="006B2E23">
            <w:pPr>
              <w:rPr>
                <w:i/>
                <w:iCs/>
              </w:rPr>
            </w:pPr>
            <w:r w:rsidRPr="00215F46">
              <w:rPr>
                <w:i/>
                <w:iCs/>
              </w:rPr>
              <w:t>Amber</w:t>
            </w:r>
          </w:p>
        </w:tc>
        <w:tc>
          <w:tcPr>
            <w:tcW w:w="7337" w:type="dxa"/>
          </w:tcPr>
          <w:p w14:paraId="0FB4753E" w14:textId="77777777" w:rsidR="0001454A" w:rsidRDefault="0001454A" w:rsidP="006B2E23">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19029721" w14:textId="77777777" w:rsidR="0001454A" w:rsidRDefault="0001454A" w:rsidP="006B2E23">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136C8B08" w14:textId="77777777" w:rsidR="0001454A" w:rsidRDefault="0001454A" w:rsidP="006B2E23">
            <w:pPr>
              <w:rPr>
                <w:rFonts w:eastAsia="NimbusSanL-Regu" w:cs="Arial"/>
              </w:rPr>
            </w:pPr>
            <w:r w:rsidRPr="00BD497A">
              <w:rPr>
                <w:rFonts w:eastAsia="NimbusSanL-Regu" w:cs="Arial"/>
              </w:rPr>
              <w:t xml:space="preserve">then </w:t>
            </w:r>
            <w:r>
              <w:rPr>
                <w:rFonts w:eastAsia="NimbusSanL-Regu" w:cs="Arial"/>
              </w:rPr>
              <w:t>h</w:t>
            </w:r>
            <w:r w:rsidRPr="00BD497A">
              <w:rPr>
                <w:rFonts w:eastAsia="NimbusSanL-Regu" w:cs="Arial"/>
              </w:rPr>
              <w:t xml:space="preserve">ave </w:t>
            </w:r>
            <w:r w:rsidRPr="0064315B">
              <w:rPr>
                <w:rFonts w:eastAsia="NimbusSanL-Regu" w:cs="Arial"/>
                <w:i/>
                <w:iCs/>
              </w:rPr>
              <w:t>Relative Abundance lower benchmark</w:t>
            </w:r>
            <w:r>
              <w:rPr>
                <w:rFonts w:eastAsia="NimbusSanL-Regu" w:cs="Arial"/>
                <w:i/>
                <w:iCs/>
              </w:rPr>
              <w:t>;</w:t>
            </w:r>
          </w:p>
          <w:p w14:paraId="461E74AB" w14:textId="77777777" w:rsidR="0001454A" w:rsidRPr="00BD497A" w:rsidRDefault="0001454A" w:rsidP="006B2E23">
            <w:pPr>
              <w:rPr>
                <w:rFonts w:cs="Arial"/>
              </w:rPr>
            </w:pPr>
            <w:r w:rsidRPr="00BD497A">
              <w:rPr>
                <w:rFonts w:eastAsia="NimbusSanL-Regu" w:cs="Arial"/>
              </w:rPr>
              <w:t xml:space="preserve">then </w:t>
            </w:r>
            <w:r w:rsidRPr="0064315B">
              <w:rPr>
                <w:rFonts w:eastAsia="NimbusSanL-Regu" w:cs="Arial"/>
                <w:i/>
                <w:iCs/>
              </w:rPr>
              <w:t xml:space="preserve">Relative Abundance </w:t>
            </w:r>
            <w:r w:rsidRPr="00BD497A">
              <w:rPr>
                <w:rFonts w:eastAsia="LMMathSymbols10-Regular" w:cs="Arial"/>
              </w:rPr>
              <w:t xml:space="preserve">≥ </w:t>
            </w:r>
            <w:r w:rsidRPr="0064315B">
              <w:rPr>
                <w:rFonts w:eastAsia="NimbusSanL-Regu" w:cs="Arial"/>
                <w:i/>
                <w:iCs/>
              </w:rPr>
              <w:t xml:space="preserve">Relative Abundance </w:t>
            </w:r>
            <w:r w:rsidRPr="0027166C">
              <w:rPr>
                <w:rFonts w:eastAsia="NimbusSanL-Regu" w:cs="Arial"/>
              </w:rPr>
              <w:t>lower benchmark</w:t>
            </w:r>
          </w:p>
        </w:tc>
      </w:tr>
      <w:tr w:rsidR="0001454A" w14:paraId="10592999" w14:textId="77777777" w:rsidTr="006B2E23">
        <w:tc>
          <w:tcPr>
            <w:tcW w:w="1123" w:type="dxa"/>
          </w:tcPr>
          <w:p w14:paraId="42C5E284" w14:textId="77777777" w:rsidR="0001454A" w:rsidRDefault="0001454A" w:rsidP="006B2E23">
            <w:r>
              <w:t>Node23</w:t>
            </w:r>
          </w:p>
        </w:tc>
        <w:tc>
          <w:tcPr>
            <w:tcW w:w="715" w:type="dxa"/>
          </w:tcPr>
          <w:p w14:paraId="3C8FAFE1" w14:textId="77777777" w:rsidR="0001454A" w:rsidRDefault="0001454A" w:rsidP="006B2E23">
            <w:r w:rsidRPr="0044189E">
              <w:rPr>
                <w:i/>
              </w:rPr>
              <w:t>Red</w:t>
            </w:r>
          </w:p>
        </w:tc>
        <w:tc>
          <w:tcPr>
            <w:tcW w:w="7337" w:type="dxa"/>
          </w:tcPr>
          <w:p w14:paraId="6F5B20FA" w14:textId="77777777" w:rsidR="0001454A" w:rsidRDefault="0001454A" w:rsidP="006B2E23">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160D19A6" w14:textId="77777777" w:rsidR="0001454A" w:rsidRDefault="0001454A" w:rsidP="006B2E23">
            <w:pPr>
              <w:autoSpaceDE w:val="0"/>
              <w:autoSpaceDN w:val="0"/>
              <w:adjustRightInd w:val="0"/>
              <w:rPr>
                <w:rFonts w:eastAsia="NimbusSanL-Regu" w:cs="Arial"/>
                <w:i/>
                <w:iCs/>
              </w:rPr>
            </w:pPr>
            <w:r w:rsidRPr="00BD497A">
              <w:rPr>
                <w:rFonts w:eastAsia="NimbusSanL-Regu" w:cs="Arial"/>
              </w:rPr>
              <w:t xml:space="preserve">then Data Type is </w:t>
            </w:r>
            <w:r>
              <w:rPr>
                <w:rFonts w:eastAsia="NimbusSanL-Regu" w:cs="Arial"/>
              </w:rPr>
              <w:t>Absolute Abundance</w:t>
            </w:r>
            <w:r w:rsidRPr="00BD497A">
              <w:rPr>
                <w:rFonts w:eastAsia="NimbusSanL-Regu" w:cs="Arial"/>
              </w:rPr>
              <w:t xml:space="preserve"> AND</w:t>
            </w:r>
            <w:r>
              <w:rPr>
                <w:rFonts w:eastAsia="NimbusSanL-Regu" w:cs="Arial"/>
              </w:rPr>
              <w:t xml:space="preserve"> </w:t>
            </w:r>
            <w:r w:rsidRPr="0064315B">
              <w:rPr>
                <w:rFonts w:eastAsia="NimbusSanL-Regu" w:cs="Arial"/>
                <w:i/>
                <w:iCs/>
              </w:rPr>
              <w:t>Absolute Abundance</w:t>
            </w:r>
            <w:r>
              <w:rPr>
                <w:rFonts w:eastAsia="NimbusSanL-Regu" w:cs="Arial"/>
                <w:i/>
                <w:iCs/>
              </w:rPr>
              <w:t>&lt;10,000;</w:t>
            </w:r>
          </w:p>
          <w:p w14:paraId="0F9DAE7A" w14:textId="77777777" w:rsidR="0001454A" w:rsidRDefault="0001454A" w:rsidP="006B2E23">
            <w:pPr>
              <w:rPr>
                <w:rFonts w:eastAsia="NimbusSanL-Regu" w:cs="Arial"/>
              </w:rPr>
            </w:pPr>
            <w:r w:rsidRPr="00BD497A">
              <w:rPr>
                <w:rFonts w:eastAsia="NimbusSanL-Regu" w:cs="Arial"/>
              </w:rPr>
              <w:t xml:space="preserve">then </w:t>
            </w:r>
            <w:r>
              <w:rPr>
                <w:rFonts w:eastAsia="NimbusSanL-Regu" w:cs="Arial"/>
              </w:rPr>
              <w:t>h</w:t>
            </w:r>
            <w:r w:rsidRPr="00BD497A">
              <w:rPr>
                <w:rFonts w:eastAsia="NimbusSanL-Regu" w:cs="Arial"/>
              </w:rPr>
              <w:t xml:space="preserve">ave </w:t>
            </w:r>
            <w:r w:rsidRPr="0064315B">
              <w:rPr>
                <w:rFonts w:eastAsia="NimbusSanL-Regu" w:cs="Arial"/>
                <w:i/>
                <w:iCs/>
              </w:rPr>
              <w:t>Relative Abundance lower benchmark</w:t>
            </w:r>
            <w:r>
              <w:rPr>
                <w:rFonts w:eastAsia="NimbusSanL-Regu" w:cs="Arial"/>
                <w:i/>
                <w:iCs/>
              </w:rPr>
              <w:t>;</w:t>
            </w:r>
          </w:p>
          <w:p w14:paraId="2F3B4880" w14:textId="77777777" w:rsidR="0001454A" w:rsidRPr="00BD497A" w:rsidRDefault="0001454A" w:rsidP="006B2E23">
            <w:pPr>
              <w:rPr>
                <w:rFonts w:cs="Arial"/>
              </w:rPr>
            </w:pPr>
            <w:r w:rsidRPr="00BD497A">
              <w:rPr>
                <w:rFonts w:eastAsia="NimbusSanL-Regu" w:cs="Arial"/>
              </w:rPr>
              <w:t xml:space="preserve">then </w:t>
            </w:r>
            <w:r w:rsidRPr="0064315B">
              <w:rPr>
                <w:rFonts w:eastAsia="NimbusSanL-Regu" w:cs="Arial"/>
                <w:i/>
                <w:iCs/>
              </w:rPr>
              <w:t>Relative Abundance</w:t>
            </w:r>
            <w:r>
              <w:rPr>
                <w:rFonts w:eastAsia="NimbusSanL-Regu" w:cs="Arial"/>
                <w:i/>
                <w:iCs/>
              </w:rPr>
              <w:t xml:space="preserve"> &lt;</w:t>
            </w:r>
            <w:r w:rsidRPr="00BD497A">
              <w:rPr>
                <w:rFonts w:eastAsia="LMMathSymbols10-Regular" w:cs="Arial"/>
              </w:rPr>
              <w:t xml:space="preserve"> </w:t>
            </w:r>
            <w:r w:rsidRPr="0064315B">
              <w:rPr>
                <w:rFonts w:eastAsia="NimbusSanL-Regu" w:cs="Arial"/>
                <w:i/>
                <w:iCs/>
              </w:rPr>
              <w:t xml:space="preserve">Relative Abundance </w:t>
            </w:r>
            <w:r w:rsidRPr="0027166C">
              <w:rPr>
                <w:rFonts w:eastAsia="NimbusSanL-Regu" w:cs="Arial"/>
              </w:rPr>
              <w:t>lower benchmark</w:t>
            </w:r>
          </w:p>
        </w:tc>
      </w:tr>
      <w:tr w:rsidR="0001454A" w14:paraId="6E293289" w14:textId="77777777" w:rsidTr="006B2E23">
        <w:tc>
          <w:tcPr>
            <w:tcW w:w="1123" w:type="dxa"/>
          </w:tcPr>
          <w:p w14:paraId="479D96EB" w14:textId="77777777" w:rsidR="0001454A" w:rsidRDefault="0001454A" w:rsidP="006B2E23">
            <w:r>
              <w:t>Node33</w:t>
            </w:r>
          </w:p>
        </w:tc>
        <w:tc>
          <w:tcPr>
            <w:tcW w:w="715" w:type="dxa"/>
          </w:tcPr>
          <w:p w14:paraId="03B38207" w14:textId="77777777" w:rsidR="0001454A" w:rsidRDefault="0001454A" w:rsidP="006B2E23">
            <w:r w:rsidRPr="0044189E">
              <w:rPr>
                <w:i/>
              </w:rPr>
              <w:t>Red</w:t>
            </w:r>
          </w:p>
        </w:tc>
        <w:tc>
          <w:tcPr>
            <w:tcW w:w="7337" w:type="dxa"/>
          </w:tcPr>
          <w:p w14:paraId="188FF30E" w14:textId="77777777" w:rsidR="0001454A" w:rsidRDefault="0001454A" w:rsidP="006B2E23">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656C0F83" w14:textId="77777777" w:rsidR="0001454A" w:rsidRDefault="0001454A" w:rsidP="006B2E23">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7D9C13F7" w14:textId="77777777" w:rsidR="0001454A" w:rsidRDefault="0001454A" w:rsidP="006B2E23">
            <w:pPr>
              <w:autoSpaceDE w:val="0"/>
              <w:autoSpaceDN w:val="0"/>
              <w:adjustRightInd w:val="0"/>
              <w:rPr>
                <w:rFonts w:eastAsia="NimbusSanL-Regu"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w:t>
            </w:r>
          </w:p>
          <w:p w14:paraId="67B6E2D7" w14:textId="77777777" w:rsidR="0001454A" w:rsidRPr="00BD497A" w:rsidRDefault="0001454A" w:rsidP="006B2E23">
            <w:pPr>
              <w:autoSpaceDE w:val="0"/>
              <w:autoSpaceDN w:val="0"/>
              <w:adjustRightInd w:val="0"/>
              <w:rPr>
                <w:rFonts w:cs="Arial"/>
              </w:rPr>
            </w:pP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LMMathItalic10-Regular" w:cs="Arial"/>
                <w:i/>
                <w:iCs/>
              </w:rPr>
              <w:t xml:space="preserve"> </w:t>
            </w:r>
            <w:r w:rsidRPr="00BD497A">
              <w:rPr>
                <w:rFonts w:eastAsia="NimbusSanL-Regu" w:cs="Arial"/>
              </w:rPr>
              <w:t>79</w:t>
            </w:r>
            <w:r>
              <w:rPr>
                <w:rFonts w:eastAsia="NimbusSanL-Regu" w:cs="Arial"/>
              </w:rPr>
              <w:t xml:space="preserve">%; </w:t>
            </w:r>
            <w:r w:rsidRPr="00BD497A">
              <w:rPr>
                <w:rFonts w:eastAsia="NimbusSanL-Regu" w:cs="Arial"/>
              </w:rPr>
              <w:t>then</w:t>
            </w:r>
            <w:r>
              <w:rPr>
                <w:rFonts w:eastAsia="NimbusSanL-Regu" w:cs="Arial"/>
              </w:rPr>
              <w:t xml:space="preserve"> </w:t>
            </w:r>
            <w:r w:rsidRPr="00BD497A">
              <w:rPr>
                <w:rFonts w:eastAsia="NimbusSanL-Regu" w:cs="Arial"/>
              </w:rPr>
              <w:t>Perc</w:t>
            </w:r>
            <w:r>
              <w:rPr>
                <w:rFonts w:eastAsia="NimbusSanL-Regu" w:cs="Arial"/>
              </w:rPr>
              <w:t xml:space="preserve">ent </w:t>
            </w:r>
            <w:r w:rsidRPr="00BD497A">
              <w:rPr>
                <w:rFonts w:eastAsia="NimbusSanL-Regu" w:cs="Arial"/>
              </w:rPr>
              <w:t xml:space="preserve">Change </w:t>
            </w:r>
            <w:r w:rsidRPr="00BD497A">
              <w:rPr>
                <w:rFonts w:eastAsia="LMMathItalic10-Regular" w:cs="Arial"/>
                <w:i/>
                <w:iCs/>
              </w:rPr>
              <w:t xml:space="preserve">&lt; </w:t>
            </w:r>
            <w:r w:rsidRPr="00BD497A">
              <w:rPr>
                <w:rFonts w:eastAsia="NimbusSanL-Regu" w:cs="Arial"/>
              </w:rPr>
              <w:t>-70</w:t>
            </w:r>
          </w:p>
        </w:tc>
      </w:tr>
      <w:tr w:rsidR="0001454A" w14:paraId="5E3E1623" w14:textId="77777777" w:rsidTr="006B2E23">
        <w:tc>
          <w:tcPr>
            <w:tcW w:w="1123" w:type="dxa"/>
          </w:tcPr>
          <w:p w14:paraId="3D84A935" w14:textId="77777777" w:rsidR="0001454A" w:rsidRDefault="0001454A" w:rsidP="006B2E23">
            <w:r>
              <w:t>Node36</w:t>
            </w:r>
          </w:p>
        </w:tc>
        <w:tc>
          <w:tcPr>
            <w:tcW w:w="715" w:type="dxa"/>
          </w:tcPr>
          <w:p w14:paraId="255C1E69" w14:textId="77777777" w:rsidR="0001454A" w:rsidRDefault="0001454A" w:rsidP="006B2E23">
            <w:r w:rsidRPr="0044189E">
              <w:rPr>
                <w:i/>
              </w:rPr>
              <w:t>Green</w:t>
            </w:r>
          </w:p>
        </w:tc>
        <w:tc>
          <w:tcPr>
            <w:tcW w:w="7337" w:type="dxa"/>
          </w:tcPr>
          <w:p w14:paraId="5A0778E9" w14:textId="77777777" w:rsidR="0001454A" w:rsidRPr="00905F8E" w:rsidRDefault="0001454A" w:rsidP="006B2E23">
            <w:pPr>
              <w:autoSpaceDE w:val="0"/>
              <w:autoSpaceDN w:val="0"/>
              <w:adjustRightInd w:val="0"/>
              <w:rPr>
                <w:rFonts w:eastAsia="NimbusSanL-Regu" w:cs="Arial"/>
              </w:rPr>
            </w:pPr>
            <w:r w:rsidRPr="00905F8E">
              <w:rPr>
                <w:rFonts w:eastAsia="NimbusSanL-Regu" w:cs="Arial"/>
              </w:rPr>
              <w:t>Data Type is Relative Index OR Absolute Abundance ≥ 1,500;</w:t>
            </w:r>
          </w:p>
          <w:p w14:paraId="6BB66985" w14:textId="77777777" w:rsidR="0001454A" w:rsidRPr="00905F8E" w:rsidRDefault="0001454A" w:rsidP="006B2E23">
            <w:pPr>
              <w:autoSpaceDE w:val="0"/>
              <w:autoSpaceDN w:val="0"/>
              <w:adjustRightInd w:val="0"/>
              <w:rPr>
                <w:rFonts w:eastAsia="NimbusSanL-Regu" w:cs="Arial"/>
              </w:rPr>
            </w:pPr>
            <w:r w:rsidRPr="00905F8E">
              <w:rPr>
                <w:rFonts w:eastAsia="NimbusSanL-Regu" w:cs="Arial"/>
              </w:rPr>
              <w:t>then Data Type is Relative Index OR Absolute Abundance  ≥ 10,000</w:t>
            </w:r>
          </w:p>
          <w:p w14:paraId="4FFAFC37" w14:textId="77777777" w:rsidR="0001454A" w:rsidRPr="00905F8E" w:rsidRDefault="0001454A" w:rsidP="006B2E23">
            <w:pPr>
              <w:autoSpaceDE w:val="0"/>
              <w:autoSpaceDN w:val="0"/>
              <w:adjustRightInd w:val="0"/>
              <w:rPr>
                <w:rFonts w:eastAsia="NimbusSanL-Regu" w:cs="Arial"/>
              </w:rPr>
            </w:pPr>
            <w:r w:rsidRPr="00905F8E">
              <w:rPr>
                <w:rFonts w:eastAsia="NimbusSanL-Regu" w:cs="Arial"/>
              </w:rPr>
              <w:t>then have Relative Abundance lower benchmark;</w:t>
            </w:r>
          </w:p>
          <w:p w14:paraId="6AAAAF35" w14:textId="77777777" w:rsidR="0001454A" w:rsidRDefault="0001454A" w:rsidP="006B2E23">
            <w:pPr>
              <w:autoSpaceDE w:val="0"/>
              <w:autoSpaceDN w:val="0"/>
              <w:adjustRightInd w:val="0"/>
              <w:rPr>
                <w:rFonts w:eastAsia="NimbusSanL-Regu" w:cs="Arial"/>
              </w:rPr>
            </w:pPr>
            <w:r w:rsidRPr="00905F8E">
              <w:rPr>
                <w:rFonts w:eastAsia="NimbusSanL-Regu" w:cs="Arial"/>
              </w:rPr>
              <w:lastRenderedPageBreak/>
              <w:t xml:space="preserve">then Relative Abundance </w:t>
            </w:r>
            <w:r w:rsidRPr="00BD497A">
              <w:rPr>
                <w:rFonts w:eastAsia="LMMathSymbols10-Regular" w:cs="Arial"/>
              </w:rPr>
              <w:t>≥</w:t>
            </w:r>
            <w:r w:rsidRPr="00905F8E">
              <w:rPr>
                <w:rFonts w:eastAsia="NimbusSanL-Regu" w:cs="Arial"/>
              </w:rPr>
              <w:t xml:space="preserve"> Relative Abundance lower benchmark</w:t>
            </w:r>
            <w:r>
              <w:rPr>
                <w:rFonts w:eastAsia="NimbusSanL-Regu" w:cs="Arial"/>
              </w:rPr>
              <w:t>;</w:t>
            </w:r>
          </w:p>
          <w:p w14:paraId="31106D4E" w14:textId="77777777" w:rsidR="0001454A" w:rsidRPr="00BD497A" w:rsidRDefault="0001454A" w:rsidP="006B2E23">
            <w:pPr>
              <w:autoSpaceDE w:val="0"/>
              <w:autoSpaceDN w:val="0"/>
              <w:adjustRightInd w:val="0"/>
              <w:rPr>
                <w:rFonts w:cs="Arial"/>
              </w:rPr>
            </w:pPr>
            <w:r>
              <w:rPr>
                <w:rFonts w:eastAsia="NimbusSanL-Regu" w:cs="Arial"/>
              </w:rPr>
              <w:t xml:space="preserve">then Relative Abundance </w:t>
            </w:r>
            <w:r w:rsidRPr="00BD497A">
              <w:rPr>
                <w:rFonts w:eastAsia="LMMathSymbols10-Regular" w:cs="Arial"/>
              </w:rPr>
              <w:t>≥</w:t>
            </w:r>
            <w:r>
              <w:rPr>
                <w:rFonts w:eastAsia="LMMathSymbols10-Regular" w:cs="Arial"/>
              </w:rPr>
              <w:t xml:space="preserve"> Relative Abundance upper benchmark x 1.1</w:t>
            </w:r>
          </w:p>
        </w:tc>
      </w:tr>
      <w:tr w:rsidR="0001454A" w14:paraId="3F4DAAE7" w14:textId="77777777" w:rsidTr="006B2E23">
        <w:tc>
          <w:tcPr>
            <w:tcW w:w="1123" w:type="dxa"/>
          </w:tcPr>
          <w:p w14:paraId="0EE41D87" w14:textId="77777777" w:rsidR="0001454A" w:rsidRDefault="0001454A" w:rsidP="006B2E23">
            <w:r>
              <w:lastRenderedPageBreak/>
              <w:t>Node37</w:t>
            </w:r>
          </w:p>
        </w:tc>
        <w:tc>
          <w:tcPr>
            <w:tcW w:w="715" w:type="dxa"/>
          </w:tcPr>
          <w:p w14:paraId="604D6B3B" w14:textId="77777777" w:rsidR="0001454A" w:rsidRPr="00215F46" w:rsidRDefault="0001454A" w:rsidP="006B2E23">
            <w:pPr>
              <w:rPr>
                <w:i/>
                <w:iCs/>
              </w:rPr>
            </w:pPr>
            <w:r w:rsidRPr="00215F46">
              <w:rPr>
                <w:i/>
                <w:iCs/>
              </w:rPr>
              <w:t>Amber</w:t>
            </w:r>
          </w:p>
        </w:tc>
        <w:tc>
          <w:tcPr>
            <w:tcW w:w="7337" w:type="dxa"/>
          </w:tcPr>
          <w:p w14:paraId="15179033" w14:textId="77777777" w:rsidR="0001454A" w:rsidRPr="00905F8E" w:rsidRDefault="0001454A" w:rsidP="006B2E23">
            <w:pPr>
              <w:autoSpaceDE w:val="0"/>
              <w:autoSpaceDN w:val="0"/>
              <w:adjustRightInd w:val="0"/>
              <w:rPr>
                <w:rFonts w:eastAsia="NimbusSanL-Regu" w:cs="Arial"/>
              </w:rPr>
            </w:pPr>
            <w:r w:rsidRPr="00905F8E">
              <w:rPr>
                <w:rFonts w:eastAsia="NimbusSanL-Regu" w:cs="Arial"/>
              </w:rPr>
              <w:t>Data Type is Relative Index OR Absolute Abundance ≥ 1,500;</w:t>
            </w:r>
          </w:p>
          <w:p w14:paraId="4403BF3B" w14:textId="77777777" w:rsidR="0001454A" w:rsidRPr="00905F8E" w:rsidRDefault="0001454A" w:rsidP="006B2E23">
            <w:pPr>
              <w:autoSpaceDE w:val="0"/>
              <w:autoSpaceDN w:val="0"/>
              <w:adjustRightInd w:val="0"/>
              <w:rPr>
                <w:rFonts w:eastAsia="NimbusSanL-Regu" w:cs="Arial"/>
              </w:rPr>
            </w:pPr>
            <w:r w:rsidRPr="00905F8E">
              <w:rPr>
                <w:rFonts w:eastAsia="NimbusSanL-Regu" w:cs="Arial"/>
              </w:rPr>
              <w:t>then Data Type is Relative Index OR Absolute Abundance  ≥ 10,000</w:t>
            </w:r>
          </w:p>
          <w:p w14:paraId="5ECC17F1" w14:textId="77777777" w:rsidR="0001454A" w:rsidRPr="00905F8E" w:rsidRDefault="0001454A" w:rsidP="006B2E23">
            <w:pPr>
              <w:autoSpaceDE w:val="0"/>
              <w:autoSpaceDN w:val="0"/>
              <w:adjustRightInd w:val="0"/>
              <w:rPr>
                <w:rFonts w:eastAsia="NimbusSanL-Regu" w:cs="Arial"/>
              </w:rPr>
            </w:pPr>
            <w:r w:rsidRPr="00905F8E">
              <w:rPr>
                <w:rFonts w:eastAsia="NimbusSanL-Regu" w:cs="Arial"/>
              </w:rPr>
              <w:t>then have Relative Abundance lower benchmark;</w:t>
            </w:r>
          </w:p>
          <w:p w14:paraId="56BF6CC3" w14:textId="77777777" w:rsidR="0001454A" w:rsidRDefault="0001454A" w:rsidP="006B2E23">
            <w:pPr>
              <w:autoSpaceDE w:val="0"/>
              <w:autoSpaceDN w:val="0"/>
              <w:adjustRightInd w:val="0"/>
              <w:rPr>
                <w:rFonts w:eastAsia="NimbusSanL-Regu" w:cs="Arial"/>
              </w:rPr>
            </w:pPr>
            <w:r w:rsidRPr="00905F8E">
              <w:rPr>
                <w:rFonts w:eastAsia="NimbusSanL-Regu" w:cs="Arial"/>
              </w:rPr>
              <w:t xml:space="preserve">then Relative Abundance </w:t>
            </w:r>
            <w:r w:rsidRPr="00BD497A">
              <w:rPr>
                <w:rFonts w:eastAsia="LMMathSymbols10-Regular" w:cs="Arial"/>
              </w:rPr>
              <w:t>≥</w:t>
            </w:r>
            <w:r w:rsidRPr="00905F8E">
              <w:rPr>
                <w:rFonts w:eastAsia="NimbusSanL-Regu" w:cs="Arial"/>
              </w:rPr>
              <w:t xml:space="preserve"> Relative Abundance lower benchmark</w:t>
            </w:r>
            <w:r>
              <w:rPr>
                <w:rFonts w:eastAsia="NimbusSanL-Regu" w:cs="Arial"/>
              </w:rPr>
              <w:t>;</w:t>
            </w:r>
          </w:p>
          <w:p w14:paraId="08BC6A7B" w14:textId="77777777" w:rsidR="0001454A" w:rsidRPr="00BD497A" w:rsidRDefault="0001454A" w:rsidP="006B2E23">
            <w:pPr>
              <w:autoSpaceDE w:val="0"/>
              <w:autoSpaceDN w:val="0"/>
              <w:adjustRightInd w:val="0"/>
              <w:rPr>
                <w:rFonts w:cs="Arial"/>
              </w:rPr>
            </w:pPr>
            <w:r>
              <w:rPr>
                <w:rFonts w:eastAsia="NimbusSanL-Regu" w:cs="Arial"/>
              </w:rPr>
              <w:t>then Relative Abundance &lt;</w:t>
            </w:r>
            <w:r>
              <w:rPr>
                <w:rFonts w:eastAsia="LMMathSymbols10-Regular" w:cs="Arial"/>
              </w:rPr>
              <w:t xml:space="preserve"> Relative Abundance upper benchmark x 1.1</w:t>
            </w:r>
          </w:p>
        </w:tc>
      </w:tr>
      <w:tr w:rsidR="0001454A" w14:paraId="5A4E43E2" w14:textId="77777777" w:rsidTr="006B2E23">
        <w:tc>
          <w:tcPr>
            <w:tcW w:w="1123" w:type="dxa"/>
          </w:tcPr>
          <w:p w14:paraId="21A23EEE" w14:textId="77777777" w:rsidR="0001454A" w:rsidRDefault="0001454A" w:rsidP="006B2E23">
            <w:r>
              <w:t>Node64</w:t>
            </w:r>
          </w:p>
        </w:tc>
        <w:tc>
          <w:tcPr>
            <w:tcW w:w="715" w:type="dxa"/>
          </w:tcPr>
          <w:p w14:paraId="6854F039" w14:textId="77777777" w:rsidR="0001454A" w:rsidRDefault="0001454A" w:rsidP="006B2E23">
            <w:r w:rsidRPr="0044189E">
              <w:rPr>
                <w:i/>
              </w:rPr>
              <w:t>Green</w:t>
            </w:r>
          </w:p>
        </w:tc>
        <w:tc>
          <w:tcPr>
            <w:tcW w:w="7337" w:type="dxa"/>
          </w:tcPr>
          <w:p w14:paraId="1D90AAA7" w14:textId="77777777" w:rsidR="0001454A" w:rsidRDefault="0001454A" w:rsidP="006B2E23">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51EF8A61" w14:textId="77777777" w:rsidR="0001454A" w:rsidRDefault="0001454A" w:rsidP="006B2E23">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6D9C908A" w14:textId="77777777" w:rsidR="0001454A" w:rsidRDefault="0001454A" w:rsidP="006B2E23">
            <w:pPr>
              <w:autoSpaceDE w:val="0"/>
              <w:autoSpaceDN w:val="0"/>
              <w:adjustRightInd w:val="0"/>
              <w:rPr>
                <w:rFonts w:eastAsia="NimbusSanL-Regu"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w:t>
            </w:r>
          </w:p>
          <w:p w14:paraId="2A61EE27" w14:textId="77777777" w:rsidR="0001454A" w:rsidRDefault="0001454A" w:rsidP="006B2E23">
            <w:pPr>
              <w:autoSpaceDE w:val="0"/>
              <w:autoSpaceDN w:val="0"/>
              <w:adjustRightInd w:val="0"/>
              <w:rPr>
                <w:rFonts w:eastAsia="NimbusSanL-Regu" w:cs="Arial"/>
              </w:rPr>
            </w:pP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LMMathItalic10-Regular" w:cs="Arial"/>
                <w:i/>
                <w:iCs/>
              </w:rPr>
              <w:t xml:space="preserve"> </w:t>
            </w:r>
            <w:r w:rsidRPr="00BD497A">
              <w:rPr>
                <w:rFonts w:eastAsia="NimbusSanL-Regu" w:cs="Arial"/>
              </w:rPr>
              <w:t>79</w:t>
            </w:r>
            <w:r>
              <w:rPr>
                <w:rFonts w:eastAsia="NimbusSanL-Regu" w:cs="Arial"/>
              </w:rPr>
              <w:t xml:space="preserve">%; </w:t>
            </w:r>
            <w:r w:rsidRPr="00BD497A">
              <w:rPr>
                <w:rFonts w:eastAsia="NimbusSanL-Regu" w:cs="Arial"/>
              </w:rPr>
              <w:t>then</w:t>
            </w:r>
            <w:r>
              <w:rPr>
                <w:rFonts w:eastAsia="NimbusSanL-Regu" w:cs="Arial"/>
              </w:rPr>
              <w:t xml:space="preserve"> </w:t>
            </w:r>
            <w:r w:rsidRPr="00BD497A">
              <w:rPr>
                <w:rFonts w:eastAsia="NimbusSanL-Regu" w:cs="Arial"/>
              </w:rPr>
              <w:t>Perc</w:t>
            </w:r>
            <w:r>
              <w:rPr>
                <w:rFonts w:eastAsia="NimbusSanL-Regu" w:cs="Arial"/>
              </w:rPr>
              <w:t xml:space="preserve">ent </w:t>
            </w:r>
            <w:r w:rsidRPr="00BD497A">
              <w:rPr>
                <w:rFonts w:eastAsia="NimbusSanL-Regu" w:cs="Arial"/>
              </w:rPr>
              <w:t xml:space="preserve">Change </w:t>
            </w:r>
            <w:r w:rsidRPr="00BD497A">
              <w:rPr>
                <w:rFonts w:eastAsia="LMMathItalic10-Regular" w:cs="Arial"/>
                <w:i/>
                <w:iCs/>
              </w:rPr>
              <w:t xml:space="preserve">&lt; </w:t>
            </w:r>
            <w:r w:rsidRPr="00BD497A">
              <w:rPr>
                <w:rFonts w:eastAsia="NimbusSanL-Regu" w:cs="Arial"/>
              </w:rPr>
              <w:t>-70</w:t>
            </w:r>
          </w:p>
          <w:p w14:paraId="09FA16ED" w14:textId="77777777" w:rsidR="0001454A" w:rsidRPr="00BD497A" w:rsidRDefault="0001454A" w:rsidP="006B2E23">
            <w:pPr>
              <w:autoSpaceDE w:val="0"/>
              <w:autoSpaceDN w:val="0"/>
              <w:adjustRightInd w:val="0"/>
              <w:rPr>
                <w:rFonts w:cs="Arial"/>
              </w:rPr>
            </w:pPr>
            <w:r>
              <w:rPr>
                <w:rFonts w:eastAsia="NimbusSanL-Regu" w:cs="Arial"/>
              </w:rPr>
              <w:t xml:space="preserve">then </w:t>
            </w:r>
            <w:r>
              <w:rPr>
                <w:rFonts w:eastAsia="NimbusSanL-Regu" w:cs="Arial"/>
                <w:i/>
                <w:iCs/>
              </w:rPr>
              <w:t xml:space="preserve">Long Term Trend </w:t>
            </w:r>
            <w:r w:rsidRPr="0064315B">
              <w:rPr>
                <w:rFonts w:eastAsia="NimbusSanL-Regu" w:cs="Arial"/>
                <w:i/>
                <w:iCs/>
              </w:rPr>
              <w:t xml:space="preserve"> </w:t>
            </w:r>
            <w:r w:rsidRPr="00BD497A">
              <w:rPr>
                <w:rFonts w:eastAsia="LMMathSymbols10-Regular" w:cs="Arial"/>
              </w:rPr>
              <w:t>≥</w:t>
            </w:r>
            <w:r>
              <w:rPr>
                <w:rFonts w:eastAsia="LMMathSymbols10-Regular" w:cs="Arial"/>
              </w:rPr>
              <w:t xml:space="preserve"> 233</w:t>
            </w:r>
          </w:p>
        </w:tc>
      </w:tr>
      <w:tr w:rsidR="0001454A" w14:paraId="3A31A2C8" w14:textId="77777777" w:rsidTr="006B2E23">
        <w:trPr>
          <w:trHeight w:val="944"/>
        </w:trPr>
        <w:tc>
          <w:tcPr>
            <w:tcW w:w="1123" w:type="dxa"/>
          </w:tcPr>
          <w:p w14:paraId="078F2160" w14:textId="77777777" w:rsidR="0001454A" w:rsidRDefault="0001454A" w:rsidP="006B2E23">
            <w:r>
              <w:t>Node65</w:t>
            </w:r>
          </w:p>
          <w:p w14:paraId="19002569" w14:textId="77777777" w:rsidR="0001454A" w:rsidRPr="001C24DC" w:rsidRDefault="0001454A" w:rsidP="006B2E23"/>
          <w:p w14:paraId="35A7F633" w14:textId="77777777" w:rsidR="0001454A" w:rsidRPr="001C24DC" w:rsidRDefault="0001454A" w:rsidP="006B2E23"/>
          <w:p w14:paraId="079CE031" w14:textId="77777777" w:rsidR="0001454A" w:rsidRDefault="0001454A" w:rsidP="006B2E23"/>
          <w:p w14:paraId="28516D3A" w14:textId="77777777" w:rsidR="0001454A" w:rsidRPr="001C24DC" w:rsidRDefault="0001454A" w:rsidP="006B2E23"/>
          <w:p w14:paraId="56D8111A" w14:textId="77777777" w:rsidR="0001454A" w:rsidRPr="001C24DC" w:rsidRDefault="0001454A" w:rsidP="006B2E23"/>
        </w:tc>
        <w:tc>
          <w:tcPr>
            <w:tcW w:w="715" w:type="dxa"/>
          </w:tcPr>
          <w:p w14:paraId="3A14F3C7" w14:textId="77777777" w:rsidR="0001454A" w:rsidRPr="00215F46" w:rsidRDefault="0001454A" w:rsidP="006B2E23">
            <w:pPr>
              <w:rPr>
                <w:i/>
                <w:iCs/>
              </w:rPr>
            </w:pPr>
            <w:r w:rsidRPr="00215F46">
              <w:rPr>
                <w:i/>
                <w:iCs/>
              </w:rPr>
              <w:t>Amber</w:t>
            </w:r>
          </w:p>
        </w:tc>
        <w:tc>
          <w:tcPr>
            <w:tcW w:w="7337" w:type="dxa"/>
          </w:tcPr>
          <w:p w14:paraId="50D8F142" w14:textId="77777777" w:rsidR="0001454A" w:rsidRDefault="0001454A" w:rsidP="006B2E23">
            <w:pPr>
              <w:autoSpaceDE w:val="0"/>
              <w:autoSpaceDN w:val="0"/>
              <w:adjustRightInd w:val="0"/>
              <w:rPr>
                <w:rFonts w:eastAsia="NimbusSanL-Regu" w:cs="Arial"/>
              </w:rPr>
            </w:pPr>
            <w:r w:rsidRPr="00BD497A">
              <w:rPr>
                <w:rFonts w:eastAsia="NimbusSanL-Regu" w:cs="Arial"/>
              </w:rPr>
              <w:t>Data Type is Rel</w:t>
            </w:r>
            <w:r>
              <w:rPr>
                <w:rFonts w:eastAsia="NimbusSanL-Regu" w:cs="Arial"/>
              </w:rPr>
              <w:t>ative Index</w:t>
            </w:r>
            <w:r w:rsidRPr="00BD497A">
              <w:rPr>
                <w:rFonts w:eastAsia="NimbusSanL-Regu" w:cs="Arial"/>
              </w:rPr>
              <w:t xml:space="preserve"> OR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,500;</w:t>
            </w:r>
          </w:p>
          <w:p w14:paraId="2DAC5442" w14:textId="77777777" w:rsidR="0001454A" w:rsidRDefault="0001454A" w:rsidP="006B2E23">
            <w:pPr>
              <w:autoSpaceDE w:val="0"/>
              <w:autoSpaceDN w:val="0"/>
              <w:adjustRightInd w:val="0"/>
              <w:rPr>
                <w:rFonts w:eastAsia="NimbusSanL-Regu" w:cs="Arial"/>
              </w:rPr>
            </w:pPr>
            <w:r w:rsidRPr="00BD497A">
              <w:rPr>
                <w:rFonts w:eastAsia="NimbusSanL-Regu" w:cs="Arial"/>
              </w:rPr>
              <w:t xml:space="preserve">then Data Type is </w:t>
            </w:r>
            <w:r>
              <w:rPr>
                <w:rFonts w:eastAsia="NimbusSanL-Regu" w:cs="Arial"/>
              </w:rPr>
              <w:t>Relative Index</w:t>
            </w:r>
            <w:r w:rsidRPr="00BD497A">
              <w:rPr>
                <w:rFonts w:eastAsia="NimbusSanL-Regu" w:cs="Arial"/>
              </w:rPr>
              <w:t xml:space="preserve"> OR</w:t>
            </w:r>
            <w:r>
              <w:rPr>
                <w:rFonts w:eastAsia="NimbusSanL-Regu" w:cs="Arial"/>
              </w:rPr>
              <w:t xml:space="preserve"> </w:t>
            </w:r>
            <w:r w:rsidRPr="0064315B">
              <w:rPr>
                <w:rFonts w:eastAsia="NimbusSanL-Regu" w:cs="Arial"/>
                <w:i/>
                <w:iCs/>
              </w:rPr>
              <w:t>Absolute Abundance</w:t>
            </w:r>
            <w:r>
              <w:rPr>
                <w:rFonts w:eastAsia="NimbusSanL-Regu" w:cs="Arial"/>
              </w:rPr>
              <w:t xml:space="preserve"> </w:t>
            </w:r>
            <w:r w:rsidRPr="00BD497A">
              <w:rPr>
                <w:rFonts w:eastAsia="LMMathSymbols10-Regular" w:cs="Arial"/>
              </w:rPr>
              <w:t xml:space="preserve">≥ </w:t>
            </w:r>
            <w:r w:rsidRPr="00BD497A">
              <w:rPr>
                <w:rFonts w:eastAsia="NimbusSanL-Regu" w:cs="Arial"/>
              </w:rPr>
              <w:t>1</w:t>
            </w:r>
            <w:r>
              <w:rPr>
                <w:rFonts w:eastAsia="NimbusSanL-Regu" w:cs="Arial"/>
              </w:rPr>
              <w:t>0,000;</w:t>
            </w:r>
          </w:p>
          <w:p w14:paraId="4729354D" w14:textId="77777777" w:rsidR="0001454A" w:rsidRDefault="0001454A" w:rsidP="006B2E23">
            <w:pPr>
              <w:autoSpaceDE w:val="0"/>
              <w:autoSpaceDN w:val="0"/>
              <w:adjustRightInd w:val="0"/>
              <w:rPr>
                <w:rFonts w:eastAsia="NimbusSanL-Regu" w:cs="Arial"/>
              </w:rPr>
            </w:pPr>
            <w:r w:rsidRPr="00BD497A">
              <w:rPr>
                <w:rFonts w:eastAsia="NimbusSanL-Regu" w:cs="Arial"/>
              </w:rPr>
              <w:t xml:space="preserve">then </w:t>
            </w:r>
            <w:r>
              <w:rPr>
                <w:rFonts w:eastAsia="NimbusSanL-Regu" w:cs="Arial"/>
              </w:rPr>
              <w:t>no</w:t>
            </w:r>
            <w:r w:rsidRPr="00BD497A">
              <w:rPr>
                <w:rFonts w:eastAsia="NimbusSanL-Regu" w:cs="Arial"/>
              </w:rPr>
              <w:t xml:space="preserve"> </w:t>
            </w:r>
            <w:r w:rsidRPr="0064315B">
              <w:rPr>
                <w:rFonts w:eastAsia="NimbusSanL-Regu" w:cs="Arial"/>
                <w:i/>
                <w:iCs/>
              </w:rPr>
              <w:t xml:space="preserve">Relative Abundance </w:t>
            </w:r>
            <w:r w:rsidRPr="0064315B">
              <w:rPr>
                <w:rFonts w:eastAsia="NimbusSanL-Regu" w:cs="Arial"/>
              </w:rPr>
              <w:t>lower benchmark</w:t>
            </w:r>
            <w:r>
              <w:rPr>
                <w:rFonts w:eastAsia="NimbusSanL-Regu" w:cs="Arial"/>
              </w:rPr>
              <w:t>;</w:t>
            </w:r>
          </w:p>
          <w:p w14:paraId="12EEB633" w14:textId="77777777" w:rsidR="0001454A" w:rsidRDefault="0001454A" w:rsidP="006B2E23">
            <w:pPr>
              <w:autoSpaceDE w:val="0"/>
              <w:autoSpaceDN w:val="0"/>
              <w:adjustRightInd w:val="0"/>
              <w:rPr>
                <w:rFonts w:eastAsia="NimbusSanL-Regu" w:cs="Arial"/>
              </w:rPr>
            </w:pPr>
            <w:r w:rsidRPr="00BD497A">
              <w:rPr>
                <w:rFonts w:eastAsia="NimbusSanL-Regu" w:cs="Arial"/>
              </w:rPr>
              <w:t xml:space="preserve">then </w:t>
            </w:r>
            <w:r w:rsidRPr="0064315B">
              <w:rPr>
                <w:rFonts w:eastAsia="NimbusSanL-Regu" w:cs="Arial"/>
                <w:i/>
                <w:iCs/>
              </w:rPr>
              <w:t xml:space="preserve">Long Term Trend </w:t>
            </w:r>
            <w:r w:rsidRPr="00BD497A">
              <w:rPr>
                <w:rFonts w:eastAsia="NimbusSanL-Regu" w:cs="Arial"/>
              </w:rPr>
              <w:t xml:space="preserve"> </w:t>
            </w:r>
            <w:r w:rsidRPr="00BD497A">
              <w:rPr>
                <w:rFonts w:eastAsia="LMMathSymbols10-Regular" w:cs="Arial"/>
              </w:rPr>
              <w:t xml:space="preserve">≥ </w:t>
            </w:r>
            <w:r w:rsidRPr="00BD497A">
              <w:rPr>
                <w:rFonts w:eastAsia="LMMathItalic10-Regular" w:cs="Arial"/>
                <w:i/>
                <w:iCs/>
              </w:rPr>
              <w:t xml:space="preserve"> </w:t>
            </w:r>
            <w:r w:rsidRPr="00BD497A">
              <w:rPr>
                <w:rFonts w:eastAsia="NimbusSanL-Regu" w:cs="Arial"/>
              </w:rPr>
              <w:t>79</w:t>
            </w:r>
            <w:r>
              <w:rPr>
                <w:rFonts w:eastAsia="NimbusSanL-Regu" w:cs="Arial"/>
              </w:rPr>
              <w:t>%;</w:t>
            </w:r>
          </w:p>
          <w:p w14:paraId="6AD0733A" w14:textId="77777777" w:rsidR="0001454A" w:rsidRDefault="0001454A" w:rsidP="006B2E23">
            <w:pPr>
              <w:autoSpaceDE w:val="0"/>
              <w:autoSpaceDN w:val="0"/>
              <w:adjustRightInd w:val="0"/>
              <w:rPr>
                <w:rFonts w:eastAsia="NimbusSanL-Regu" w:cs="Arial"/>
              </w:rPr>
            </w:pPr>
            <w:r w:rsidRPr="00BD497A">
              <w:rPr>
                <w:rFonts w:eastAsia="NimbusSanL-Regu" w:cs="Arial"/>
              </w:rPr>
              <w:t>then</w:t>
            </w:r>
            <w:r>
              <w:rPr>
                <w:rFonts w:eastAsia="NimbusSanL-Regu" w:cs="Arial"/>
              </w:rPr>
              <w:t xml:space="preserve"> </w:t>
            </w:r>
            <w:r w:rsidRPr="00BD497A">
              <w:rPr>
                <w:rFonts w:eastAsia="NimbusSanL-Regu" w:cs="Arial"/>
              </w:rPr>
              <w:t>Perc</w:t>
            </w:r>
            <w:r>
              <w:rPr>
                <w:rFonts w:eastAsia="NimbusSanL-Regu" w:cs="Arial"/>
              </w:rPr>
              <w:t xml:space="preserve">ent </w:t>
            </w:r>
            <w:r w:rsidRPr="00BD497A">
              <w:rPr>
                <w:rFonts w:eastAsia="NimbusSanL-Regu" w:cs="Arial"/>
              </w:rPr>
              <w:t xml:space="preserve">Change </w:t>
            </w:r>
            <w:r w:rsidRPr="00BD497A">
              <w:rPr>
                <w:rFonts w:eastAsia="LMMathItalic10-Regular" w:cs="Arial"/>
                <w:i/>
                <w:iCs/>
              </w:rPr>
              <w:t xml:space="preserve">&lt; </w:t>
            </w:r>
            <w:r w:rsidRPr="00BD497A">
              <w:rPr>
                <w:rFonts w:eastAsia="NimbusSanL-Regu" w:cs="Arial"/>
              </w:rPr>
              <w:t>-70</w:t>
            </w:r>
          </w:p>
          <w:p w14:paraId="59E17AD2" w14:textId="77777777" w:rsidR="0001454A" w:rsidRPr="00BD497A" w:rsidRDefault="0001454A" w:rsidP="006B2E23">
            <w:pPr>
              <w:autoSpaceDE w:val="0"/>
              <w:autoSpaceDN w:val="0"/>
              <w:adjustRightInd w:val="0"/>
              <w:rPr>
                <w:rFonts w:cs="Arial"/>
              </w:rPr>
            </w:pPr>
            <w:r>
              <w:rPr>
                <w:rFonts w:eastAsia="NimbusSanL-Regu" w:cs="Arial"/>
              </w:rPr>
              <w:t xml:space="preserve">then </w:t>
            </w:r>
            <w:r>
              <w:rPr>
                <w:rFonts w:eastAsia="NimbusSanL-Regu" w:cs="Arial"/>
                <w:i/>
                <w:iCs/>
              </w:rPr>
              <w:t>Long Term Trend &lt;</w:t>
            </w:r>
            <w:r>
              <w:rPr>
                <w:rFonts w:eastAsia="LMMathSymbols10-Regular" w:cs="Arial"/>
              </w:rPr>
              <w:t xml:space="preserve"> 233</w:t>
            </w:r>
          </w:p>
        </w:tc>
      </w:tr>
    </w:tbl>
    <w:p w14:paraId="1D3E99FE" w14:textId="77777777" w:rsidR="0001454A" w:rsidRDefault="0001454A" w:rsidP="0001454A">
      <w:pPr>
        <w:sectPr w:rsidR="0001454A" w:rsidSect="0001454A">
          <w:headerReference w:type="default" r:id="rId19"/>
          <w:footerReference w:type="default" r:id="rId20"/>
          <w:pgSz w:w="12240" w:h="15840"/>
          <w:pgMar w:top="1440" w:right="1440" w:bottom="1440" w:left="1440" w:header="720" w:footer="720" w:gutter="0"/>
          <w:cols w:space="720"/>
          <w:docGrid w:linePitch="360"/>
        </w:sectPr>
      </w:pPr>
    </w:p>
    <w:p w14:paraId="05A655C2" w14:textId="77777777" w:rsidR="0001454A" w:rsidRDefault="0001454A" w:rsidP="0001454A">
      <w:pPr>
        <w:pStyle w:val="NoSpacing"/>
        <w:rPr>
          <w:b/>
          <w:bCs/>
        </w:rPr>
      </w:pPr>
      <w:r>
        <w:rPr>
          <w:b/>
          <w:bCs/>
          <w:noProof/>
        </w:rPr>
        <w:lastRenderedPageBreak/>
        <w:drawing>
          <wp:inline distT="0" distB="0" distL="0" distR="0" wp14:anchorId="040EAA80" wp14:editId="41AFACD1">
            <wp:extent cx="8229600" cy="4293870"/>
            <wp:effectExtent l="0" t="0" r="0" b="0"/>
            <wp:docPr id="697433053"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33053" name="Picture 1" descr="A diagram of a company&#10;&#10;Description automatically generated"/>
                    <pic:cNvPicPr/>
                  </pic:nvPicPr>
                  <pic:blipFill rotWithShape="1">
                    <a:blip r:embed="rId21">
                      <a:extLst>
                        <a:ext uri="{28A0092B-C50C-407E-A947-70E740481C1C}">
                          <a14:useLocalDpi xmlns:a14="http://schemas.microsoft.com/office/drawing/2010/main" val="0"/>
                        </a:ext>
                      </a:extLst>
                    </a:blip>
                    <a:srcRect t="7243"/>
                    <a:stretch/>
                  </pic:blipFill>
                  <pic:spPr bwMode="auto">
                    <a:xfrm>
                      <a:off x="0" y="0"/>
                      <a:ext cx="8229600" cy="4293870"/>
                    </a:xfrm>
                    <a:prstGeom prst="rect">
                      <a:avLst/>
                    </a:prstGeom>
                    <a:ln>
                      <a:noFill/>
                    </a:ln>
                    <a:extLst>
                      <a:ext uri="{53640926-AAD7-44D8-BBD7-CCE9431645EC}">
                        <a14:shadowObscured xmlns:a14="http://schemas.microsoft.com/office/drawing/2010/main"/>
                      </a:ext>
                    </a:extLst>
                  </pic:spPr>
                </pic:pic>
              </a:graphicData>
            </a:graphic>
          </wp:inline>
        </w:drawing>
      </w:r>
    </w:p>
    <w:p w14:paraId="59349498" w14:textId="77777777" w:rsidR="0001454A" w:rsidRDefault="0001454A" w:rsidP="0001454A">
      <w:pPr>
        <w:pStyle w:val="NoSpacing"/>
        <w:rPr>
          <w:b/>
          <w:bCs/>
        </w:rPr>
      </w:pPr>
    </w:p>
    <w:p w14:paraId="51356FFF" w14:textId="77777777" w:rsidR="0001454A" w:rsidRDefault="0001454A" w:rsidP="0001454A">
      <w:pPr>
        <w:pStyle w:val="NoSpacing"/>
        <w:spacing w:before="120"/>
        <w:rPr>
          <w:rFonts w:asciiTheme="minorHAnsi" w:hAnsiTheme="minorHAnsi" w:cstheme="minorHAnsi"/>
        </w:rPr>
        <w:sectPr w:rsidR="0001454A" w:rsidSect="0001454A">
          <w:pgSz w:w="15840" w:h="12240" w:orient="landscape"/>
          <w:pgMar w:top="1440" w:right="1440" w:bottom="1440" w:left="1440" w:header="720" w:footer="720" w:gutter="0"/>
          <w:cols w:space="720"/>
          <w:docGrid w:linePitch="360"/>
        </w:sectPr>
      </w:pPr>
      <w:r w:rsidRPr="00233439">
        <w:rPr>
          <w:rFonts w:asciiTheme="minorHAnsi" w:hAnsiTheme="minorHAnsi" w:cstheme="minorHAnsi"/>
          <w:b/>
          <w:bCs/>
        </w:rPr>
        <w:t>Figure A1.</w:t>
      </w:r>
      <w:r w:rsidRPr="00233439">
        <w:rPr>
          <w:rFonts w:asciiTheme="minorHAnsi" w:hAnsiTheme="minorHAnsi" w:cstheme="minorHAnsi"/>
        </w:rPr>
        <w:t xml:space="preserve"> WSP rapid status </w:t>
      </w:r>
      <w:r>
        <w:rPr>
          <w:rFonts w:asciiTheme="minorHAnsi" w:hAnsiTheme="minorHAnsi" w:cstheme="minorHAnsi"/>
        </w:rPr>
        <w:t>decision tree</w:t>
      </w:r>
      <w:r w:rsidRPr="00233439">
        <w:rPr>
          <w:rFonts w:asciiTheme="minorHAnsi" w:hAnsiTheme="minorHAnsi" w:cstheme="minorHAnsi"/>
        </w:rPr>
        <w:t xml:space="preserve"> (Table 2 includes written descriptions). To assess a CU, metric values are compared to thresholds presented at each decision point. Yes or No answers split each path of the decision tree, terminating at WSP rapid status assignments. The different splits are identified as nodes: 1 to 65. </w:t>
      </w:r>
      <w:r w:rsidRPr="00233439">
        <w:rPr>
          <w:rFonts w:asciiTheme="minorHAnsi" w:hAnsiTheme="minorHAnsi" w:cstheme="minorHAnsi"/>
          <w:b/>
          <w:bCs/>
        </w:rPr>
        <w:t>Pathway 1</w:t>
      </w:r>
      <w:r w:rsidRPr="00233439">
        <w:rPr>
          <w:rFonts w:asciiTheme="minorHAnsi" w:hAnsiTheme="minorHAnsi" w:cstheme="minorHAnsi"/>
        </w:rPr>
        <w:t xml:space="preserve"> is taken when the CU has no absolute abundance data, or these data exist, but fall above its upper threshold of 10,000. </w:t>
      </w:r>
      <w:r w:rsidRPr="00233439">
        <w:rPr>
          <w:rFonts w:asciiTheme="minorHAnsi" w:hAnsiTheme="minorHAnsi" w:cstheme="minorHAnsi"/>
          <w:b/>
          <w:bCs/>
        </w:rPr>
        <w:t>Pathway 2</w:t>
      </w:r>
      <w:r w:rsidRPr="00233439">
        <w:rPr>
          <w:rFonts w:asciiTheme="minorHAnsi" w:hAnsiTheme="minorHAnsi" w:cstheme="minorHAnsi"/>
        </w:rPr>
        <w:t xml:space="preserve"> is taken when the CU has absolute abundance data and these fall under its upper benchmark of 10,000. </w:t>
      </w:r>
    </w:p>
    <w:p w14:paraId="0A166F3E" w14:textId="77777777" w:rsidR="0001454A" w:rsidRDefault="0001454A" w:rsidP="0001454A">
      <w:pPr>
        <w:pStyle w:val="Heading1"/>
      </w:pPr>
      <w:r>
        <w:lastRenderedPageBreak/>
        <w:t>Appendix B: Meeting History and Participants</w:t>
      </w:r>
    </w:p>
    <w:p w14:paraId="19B65CB1" w14:textId="77777777" w:rsidR="0001454A" w:rsidRPr="004F1924" w:rsidRDefault="0001454A" w:rsidP="0001454A">
      <w:r>
        <w:t>Tables and summaries of meetings and participants, specifically participants who identified as a subject matter expert for one or more CUs.</w:t>
      </w:r>
    </w:p>
    <w:p w14:paraId="0AF68A51" w14:textId="77777777" w:rsidR="00A43F02" w:rsidRPr="00A43F02" w:rsidRDefault="00A43F02" w:rsidP="00E43885">
      <w:pPr>
        <w:spacing w:before="120" w:after="0"/>
      </w:pPr>
    </w:p>
    <w:sectPr w:rsidR="00A43F02" w:rsidRPr="00A43F02" w:rsidSect="008B29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638D8" w14:textId="77777777" w:rsidR="00A77CE3" w:rsidRDefault="00A77CE3" w:rsidP="00DF380B">
      <w:pPr>
        <w:spacing w:after="0" w:line="240" w:lineRule="auto"/>
      </w:pPr>
      <w:r>
        <w:separator/>
      </w:r>
    </w:p>
  </w:endnote>
  <w:endnote w:type="continuationSeparator" w:id="0">
    <w:p w14:paraId="5D3D8013" w14:textId="77777777" w:rsidR="00A77CE3" w:rsidRDefault="00A77CE3" w:rsidP="00DF38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NimbusSanL-Regu">
    <w:altName w:val="Yu Gothic"/>
    <w:panose1 w:val="00000000000000000000"/>
    <w:charset w:val="80"/>
    <w:family w:val="auto"/>
    <w:notTrueType/>
    <w:pitch w:val="default"/>
    <w:sig w:usb0="00000001" w:usb1="08070000" w:usb2="00000010" w:usb3="00000000" w:csb0="00020000" w:csb1="00000000"/>
  </w:font>
  <w:font w:name="LMMathItalic10-Regular">
    <w:altName w:val="Malgun Gothic"/>
    <w:panose1 w:val="00000000000000000000"/>
    <w:charset w:val="81"/>
    <w:family w:val="auto"/>
    <w:notTrueType/>
    <w:pitch w:val="default"/>
    <w:sig w:usb0="00000001" w:usb1="09060000" w:usb2="00000010" w:usb3="00000000" w:csb0="00080000" w:csb1="00000000"/>
  </w:font>
  <w:font w:name="LMMathSymbols10-Regular">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0610457"/>
      <w:docPartObj>
        <w:docPartGallery w:val="Page Numbers (Bottom of Page)"/>
        <w:docPartUnique/>
      </w:docPartObj>
    </w:sdtPr>
    <w:sdtEndPr>
      <w:rPr>
        <w:noProof/>
      </w:rPr>
    </w:sdtEndPr>
    <w:sdtContent>
      <w:p w14:paraId="31155F9B" w14:textId="77777777" w:rsidR="0001454A" w:rsidRDefault="000145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69AD9" w14:textId="77777777" w:rsidR="00A77CE3" w:rsidRDefault="00A77CE3" w:rsidP="00DF380B">
      <w:pPr>
        <w:spacing w:after="0" w:line="240" w:lineRule="auto"/>
      </w:pPr>
      <w:r>
        <w:separator/>
      </w:r>
    </w:p>
  </w:footnote>
  <w:footnote w:type="continuationSeparator" w:id="0">
    <w:p w14:paraId="768CF914" w14:textId="77777777" w:rsidR="00A77CE3" w:rsidRDefault="00A77CE3" w:rsidP="00DF380B">
      <w:pPr>
        <w:spacing w:after="0" w:line="240" w:lineRule="auto"/>
      </w:pPr>
      <w:r>
        <w:continuationSeparator/>
      </w:r>
    </w:p>
  </w:footnote>
  <w:footnote w:id="1">
    <w:p w14:paraId="1FA1B5AF" w14:textId="437E483E" w:rsidR="00A12C10" w:rsidRDefault="00A12C10">
      <w:pPr>
        <w:pStyle w:val="FootnoteText"/>
      </w:pPr>
      <w:r>
        <w:rPr>
          <w:rStyle w:val="FootnoteReference"/>
        </w:rPr>
        <w:footnoteRef/>
      </w:r>
      <w:r>
        <w:t xml:space="preserve"> The values presented here are slightly different than what will be published in the publication due to minor modifications in the modelling requested at Sprint Week and should not affect the 2023 Rapid Status.</w:t>
      </w:r>
    </w:p>
  </w:footnote>
  <w:footnote w:id="2">
    <w:p w14:paraId="189558CE" w14:textId="44C18A8F" w:rsidR="00296524" w:rsidRDefault="00296524">
      <w:pPr>
        <w:pStyle w:val="FootnoteText"/>
      </w:pPr>
      <w:r>
        <w:rPr>
          <w:rStyle w:val="FootnoteReference"/>
        </w:rPr>
        <w:footnoteRef/>
      </w:r>
      <w:r>
        <w:t xml:space="preserve"> Consensus: </w:t>
      </w:r>
      <w:r w:rsidRPr="002545BD">
        <w:t xml:space="preserve">general agreement of group as a whole, or absence of evidence-based opposition to conclusions. Determined by the “weight of evidence” </w:t>
      </w:r>
      <w:r>
        <w:t>(</w:t>
      </w:r>
      <w:r w:rsidRPr="002545BD">
        <w:t xml:space="preserve">scientific data, information, and analysis </w:t>
      </w:r>
      <w:r>
        <w:t xml:space="preserve">) </w:t>
      </w:r>
      <w:r w:rsidRPr="002545BD">
        <w:t>where multiple results are reported. In the event of disagreements, equally plausible conclusions can be reported.</w:t>
      </w:r>
      <w:r>
        <w:t xml:space="preserve"> </w:t>
      </w:r>
      <w:r w:rsidRPr="002545BD">
        <w:t xml:space="preserve">Dissenting views must be clearly described </w:t>
      </w:r>
      <w:r>
        <w:t>in the narrative.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C7BEB" w14:textId="77777777" w:rsidR="0001454A" w:rsidRDefault="0001454A">
    <w:pPr>
      <w:pStyle w:val="Header"/>
    </w:pPr>
    <w:r>
      <w:rPr>
        <w:noProof/>
      </w:rPr>
      <mc:AlternateContent>
        <mc:Choice Requires="wps">
          <w:drawing>
            <wp:anchor distT="45720" distB="45720" distL="114300" distR="114300" simplePos="0" relativeHeight="251661312" behindDoc="0" locked="0" layoutInCell="1" allowOverlap="1" wp14:anchorId="04B1573D" wp14:editId="226C7197">
              <wp:simplePos x="0" y="0"/>
              <wp:positionH relativeFrom="margin">
                <wp:align>left</wp:align>
              </wp:positionH>
              <wp:positionV relativeFrom="paragraph">
                <wp:posOffset>148590</wp:posOffset>
              </wp:positionV>
              <wp:extent cx="5673090" cy="198120"/>
              <wp:effectExtent l="0" t="0" r="22860" b="1143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92D050">
                              <a:shade val="30000"/>
                              <a:satMod val="115000"/>
                            </a:srgbClr>
                          </a:gs>
                          <a:gs pos="50000">
                            <a:srgbClr val="92D050">
                              <a:shade val="67500"/>
                              <a:satMod val="115000"/>
                            </a:srgbClr>
                          </a:gs>
                          <a:gs pos="100000">
                            <a:schemeClr val="bg1">
                              <a:lumMod val="95000"/>
                            </a:schemeClr>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0B85B03C" w14:textId="77777777" w:rsidR="0001454A" w:rsidRPr="006E536A" w:rsidRDefault="0001454A" w:rsidP="006E536A">
                          <w:pPr>
                            <w:rPr>
                              <w:b/>
                              <w:bCs/>
                              <w:sz w:val="16"/>
                              <w:szCs w:val="16"/>
                            </w:rPr>
                          </w:pPr>
                          <w:r w:rsidRPr="006E536A">
                            <w:rPr>
                              <w:b/>
                              <w:bCs/>
                              <w:sz w:val="16"/>
                              <w:szCs w:val="16"/>
                            </w:rPr>
                            <w:t>GREEN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B1573D" id="_x0000_t202" coordsize="21600,21600" o:spt="202" path="m,l,21600r21600,l21600,xe">
              <v:stroke joinstyle="miter"/>
              <v:path gradientshapeok="t" o:connecttype="rect"/>
            </v:shapetype>
            <v:shape id="Text Box 2" o:spid="_x0000_s1026" type="#_x0000_t202" style="position:absolute;margin-left:0;margin-top:11.7pt;width:446.7pt;height:15.6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" fillcolor="#537e25">
              <v:fill color2="#f2f2f2 [3052]" rotate="t" angle="90" colors="0 #537e25;.5 #7ab73a;1 #f2f2f2" focus="100%" type="gradient"/>
              <v:textbox>
                <w:txbxContent>
                  <w:p w14:paraId="0B85B03C" w14:textId="77777777" w:rsidR="0001454A" w:rsidRPr="006E536A" w:rsidRDefault="0001454A" w:rsidP="006E536A">
                    <w:pPr>
                      <w:rPr>
                        <w:b/>
                        <w:bCs/>
                        <w:sz w:val="16"/>
                        <w:szCs w:val="16"/>
                      </w:rPr>
                    </w:pPr>
                    <w:r w:rsidRPr="006E536A">
                      <w:rPr>
                        <w:b/>
                        <w:bCs/>
                        <w:sz w:val="16"/>
                        <w:szCs w:val="16"/>
                      </w:rPr>
                      <w:t>GREEN</w:t>
                    </w:r>
                  </w:p>
                </w:txbxContent>
              </v:textbox>
              <w10:wrap type="square" anchorx="margin"/>
            </v:shape>
          </w:pict>
        </mc:Fallback>
      </mc:AlternateContent>
    </w:r>
    <w:r>
      <w:rPr>
        <w:noProof/>
      </w:rPr>
      <mc:AlternateContent>
        <mc:Choice Requires="wps">
          <w:drawing>
            <wp:anchor distT="45720" distB="45720" distL="114300" distR="114300" simplePos="0" relativeHeight="251659264" behindDoc="0" locked="0" layoutInCell="1" allowOverlap="1" wp14:anchorId="354E6AB3" wp14:editId="1C601B63">
              <wp:simplePos x="0" y="0"/>
              <wp:positionH relativeFrom="margin">
                <wp:align>left</wp:align>
              </wp:positionH>
              <wp:positionV relativeFrom="paragraph">
                <wp:posOffset>-297180</wp:posOffset>
              </wp:positionV>
              <wp:extent cx="5673090" cy="1981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FF0000">
                              <a:shade val="30000"/>
                              <a:satMod val="115000"/>
                            </a:srgbClr>
                          </a:gs>
                          <a:gs pos="50000">
                            <a:srgbClr val="FF0000">
                              <a:shade val="67500"/>
                              <a:satMod val="115000"/>
                            </a:srgbClr>
                          </a:gs>
                          <a:gs pos="95000">
                            <a:schemeClr val="bg1"/>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3AF1B769" w14:textId="77777777" w:rsidR="0001454A" w:rsidRPr="006E536A" w:rsidRDefault="0001454A">
                          <w:pPr>
                            <w:rPr>
                              <w:b/>
                              <w:bCs/>
                              <w:sz w:val="16"/>
                              <w:szCs w:val="16"/>
                            </w:rPr>
                          </w:pPr>
                          <w:r w:rsidRPr="006E536A">
                            <w:rPr>
                              <w:b/>
                              <w:bCs/>
                              <w:sz w:val="16"/>
                              <w:szCs w:val="16"/>
                            </w:rPr>
                            <w:t>RED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E6AB3" id="_x0000_s1027" type="#_x0000_t202" style="position:absolute;margin-left:0;margin-top:-23.4pt;width:446.7pt;height:15.6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" fillcolor="#a00000">
              <v:fill color2="white [3212]" rotate="t" angle="90" colors="0 #a00000;.5 #e60000;62259f white" focus="100%" type="gradient"/>
              <v:textbox>
                <w:txbxContent>
                  <w:p w14:paraId="3AF1B769" w14:textId="77777777" w:rsidR="0001454A" w:rsidRPr="006E536A" w:rsidRDefault="0001454A">
                    <w:pPr>
                      <w:rPr>
                        <w:b/>
                        <w:bCs/>
                        <w:sz w:val="16"/>
                        <w:szCs w:val="16"/>
                      </w:rPr>
                    </w:pPr>
                    <w:r w:rsidRPr="006E536A">
                      <w:rPr>
                        <w:b/>
                        <w:bCs/>
                        <w:sz w:val="16"/>
                        <w:szCs w:val="16"/>
                      </w:rPr>
                      <w:t>RED</w:t>
                    </w:r>
                  </w:p>
                </w:txbxContent>
              </v:textbox>
              <w10:wrap type="square"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2E076DF2" wp14:editId="6E11B39B">
              <wp:simplePos x="0" y="0"/>
              <wp:positionH relativeFrom="margin">
                <wp:align>left</wp:align>
              </wp:positionH>
              <wp:positionV relativeFrom="paragraph">
                <wp:posOffset>-76200</wp:posOffset>
              </wp:positionV>
              <wp:extent cx="5673090" cy="198120"/>
              <wp:effectExtent l="0" t="0" r="22860" b="1143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3090" cy="198120"/>
                      </a:xfrm>
                      <a:prstGeom prst="rect">
                        <a:avLst/>
                      </a:prstGeom>
                      <a:gradFill flip="none" rotWithShape="1">
                        <a:gsLst>
                          <a:gs pos="0">
                            <a:srgbClr val="FFFF00">
                              <a:shade val="30000"/>
                              <a:satMod val="115000"/>
                            </a:srgbClr>
                          </a:gs>
                          <a:gs pos="50000">
                            <a:srgbClr val="FFFF00">
                              <a:shade val="67500"/>
                              <a:satMod val="115000"/>
                            </a:srgbClr>
                          </a:gs>
                          <a:gs pos="100000">
                            <a:schemeClr val="bg1"/>
                          </a:gs>
                        </a:gsLst>
                        <a:lin ang="0" scaled="1"/>
                        <a:tileRect/>
                      </a:gra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miter lim="800000"/>
                        <a:headEnd/>
                        <a:tailEnd/>
                      </a:ln>
                    </wps:spPr>
                    <wps:txbx>
                      <w:txbxContent>
                        <w:p w14:paraId="76713268" w14:textId="77777777" w:rsidR="0001454A" w:rsidRPr="006E536A" w:rsidRDefault="0001454A" w:rsidP="006E536A">
                          <w:pPr>
                            <w:rPr>
                              <w:b/>
                              <w:bCs/>
                              <w:sz w:val="16"/>
                              <w:szCs w:val="16"/>
                            </w:rPr>
                          </w:pPr>
                          <w:r w:rsidRPr="006E536A">
                            <w:rPr>
                              <w:b/>
                              <w:bCs/>
                              <w:sz w:val="16"/>
                              <w:szCs w:val="16"/>
                            </w:rPr>
                            <w:t>AMBER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076DF2" id="_x0000_s1028" type="#_x0000_t202" style="position:absolute;margin-left:0;margin-top:-6pt;width:446.7pt;height:15.6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" fillcolor="#a0a000">
              <v:fill color2="white [3212]" rotate="t" angle="90" colors="0 #a0a000;.5 #e6e600;1 white" focus="100%" type="gradient"/>
              <v:textbox>
                <w:txbxContent>
                  <w:p w14:paraId="76713268" w14:textId="77777777" w:rsidR="0001454A" w:rsidRPr="006E536A" w:rsidRDefault="0001454A" w:rsidP="006E536A">
                    <w:pPr>
                      <w:rPr>
                        <w:b/>
                        <w:bCs/>
                        <w:sz w:val="16"/>
                        <w:szCs w:val="16"/>
                      </w:rPr>
                    </w:pPr>
                    <w:r w:rsidRPr="006E536A">
                      <w:rPr>
                        <w:b/>
                        <w:bCs/>
                        <w:sz w:val="16"/>
                        <w:szCs w:val="16"/>
                      </w:rPr>
                      <w:t>AMBER</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47124"/>
    <w:multiLevelType w:val="hybridMultilevel"/>
    <w:tmpl w:val="73C81E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63E4CCD"/>
    <w:multiLevelType w:val="hybridMultilevel"/>
    <w:tmpl w:val="32262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DA07F8"/>
    <w:multiLevelType w:val="hybridMultilevel"/>
    <w:tmpl w:val="E14CA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627DCA"/>
    <w:multiLevelType w:val="hybridMultilevel"/>
    <w:tmpl w:val="839216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3497063">
    <w:abstractNumId w:val="2"/>
  </w:num>
  <w:num w:numId="2" w16cid:durableId="530455410">
    <w:abstractNumId w:val="0"/>
  </w:num>
  <w:num w:numId="3" w16cid:durableId="1664822282">
    <w:abstractNumId w:val="3"/>
  </w:num>
  <w:num w:numId="4" w16cid:durableId="862784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BD6"/>
    <w:rsid w:val="000133E2"/>
    <w:rsid w:val="00013E4B"/>
    <w:rsid w:val="0001454A"/>
    <w:rsid w:val="00017CAA"/>
    <w:rsid w:val="00022B24"/>
    <w:rsid w:val="00024157"/>
    <w:rsid w:val="0002555C"/>
    <w:rsid w:val="00030A4C"/>
    <w:rsid w:val="0003695E"/>
    <w:rsid w:val="00037ACA"/>
    <w:rsid w:val="00040DD8"/>
    <w:rsid w:val="00054ADE"/>
    <w:rsid w:val="00085540"/>
    <w:rsid w:val="00086C5B"/>
    <w:rsid w:val="000875B5"/>
    <w:rsid w:val="000A0053"/>
    <w:rsid w:val="000A44B2"/>
    <w:rsid w:val="000B23EC"/>
    <w:rsid w:val="000B4204"/>
    <w:rsid w:val="000C2FD7"/>
    <w:rsid w:val="000C512E"/>
    <w:rsid w:val="000C68C0"/>
    <w:rsid w:val="000D76B9"/>
    <w:rsid w:val="000E5081"/>
    <w:rsid w:val="00100427"/>
    <w:rsid w:val="001014DF"/>
    <w:rsid w:val="001020F1"/>
    <w:rsid w:val="00103828"/>
    <w:rsid w:val="001221E8"/>
    <w:rsid w:val="00124207"/>
    <w:rsid w:val="001268B0"/>
    <w:rsid w:val="00133A62"/>
    <w:rsid w:val="001354F8"/>
    <w:rsid w:val="00136AFB"/>
    <w:rsid w:val="00136C86"/>
    <w:rsid w:val="00140917"/>
    <w:rsid w:val="00152CF7"/>
    <w:rsid w:val="00155242"/>
    <w:rsid w:val="00157067"/>
    <w:rsid w:val="001773C4"/>
    <w:rsid w:val="00185069"/>
    <w:rsid w:val="00187B99"/>
    <w:rsid w:val="00190FB7"/>
    <w:rsid w:val="0019215C"/>
    <w:rsid w:val="00196B7E"/>
    <w:rsid w:val="001972A2"/>
    <w:rsid w:val="001C785D"/>
    <w:rsid w:val="001D28BB"/>
    <w:rsid w:val="001D67C0"/>
    <w:rsid w:val="001F53C0"/>
    <w:rsid w:val="00200E80"/>
    <w:rsid w:val="00202028"/>
    <w:rsid w:val="00217AD9"/>
    <w:rsid w:val="00223A7B"/>
    <w:rsid w:val="00226D0B"/>
    <w:rsid w:val="00227451"/>
    <w:rsid w:val="00236C3D"/>
    <w:rsid w:val="002434DB"/>
    <w:rsid w:val="0026226F"/>
    <w:rsid w:val="00265E53"/>
    <w:rsid w:val="00266564"/>
    <w:rsid w:val="00296524"/>
    <w:rsid w:val="002A228F"/>
    <w:rsid w:val="002A5357"/>
    <w:rsid w:val="002A635F"/>
    <w:rsid w:val="002B1DF5"/>
    <w:rsid w:val="002C6C14"/>
    <w:rsid w:val="002E5B47"/>
    <w:rsid w:val="00313E82"/>
    <w:rsid w:val="003236EE"/>
    <w:rsid w:val="003373A5"/>
    <w:rsid w:val="0033765E"/>
    <w:rsid w:val="003421AF"/>
    <w:rsid w:val="00343C0F"/>
    <w:rsid w:val="003449BB"/>
    <w:rsid w:val="003505C1"/>
    <w:rsid w:val="00357853"/>
    <w:rsid w:val="003600A5"/>
    <w:rsid w:val="003672EC"/>
    <w:rsid w:val="0038017D"/>
    <w:rsid w:val="003935EB"/>
    <w:rsid w:val="0039395D"/>
    <w:rsid w:val="00394144"/>
    <w:rsid w:val="00397ACA"/>
    <w:rsid w:val="003A574F"/>
    <w:rsid w:val="003A5BDF"/>
    <w:rsid w:val="003A7B8C"/>
    <w:rsid w:val="003B6689"/>
    <w:rsid w:val="003C7761"/>
    <w:rsid w:val="003D1AC2"/>
    <w:rsid w:val="003D27F2"/>
    <w:rsid w:val="003E00D7"/>
    <w:rsid w:val="003E23DE"/>
    <w:rsid w:val="003E4C5D"/>
    <w:rsid w:val="003E7E61"/>
    <w:rsid w:val="003F4015"/>
    <w:rsid w:val="004019AC"/>
    <w:rsid w:val="00404991"/>
    <w:rsid w:val="00404C26"/>
    <w:rsid w:val="00420309"/>
    <w:rsid w:val="004262A0"/>
    <w:rsid w:val="00430D4F"/>
    <w:rsid w:val="004366A4"/>
    <w:rsid w:val="00436DB0"/>
    <w:rsid w:val="00447749"/>
    <w:rsid w:val="004568A5"/>
    <w:rsid w:val="00467A90"/>
    <w:rsid w:val="004707D4"/>
    <w:rsid w:val="00475D02"/>
    <w:rsid w:val="00485264"/>
    <w:rsid w:val="00495C72"/>
    <w:rsid w:val="004A3C5C"/>
    <w:rsid w:val="004B0B69"/>
    <w:rsid w:val="004C3AED"/>
    <w:rsid w:val="004D08F8"/>
    <w:rsid w:val="004D1F9B"/>
    <w:rsid w:val="004F0CFF"/>
    <w:rsid w:val="0050114B"/>
    <w:rsid w:val="00523F07"/>
    <w:rsid w:val="00524DEA"/>
    <w:rsid w:val="00526CAE"/>
    <w:rsid w:val="00552637"/>
    <w:rsid w:val="00561BE9"/>
    <w:rsid w:val="00562658"/>
    <w:rsid w:val="005863E1"/>
    <w:rsid w:val="005879B9"/>
    <w:rsid w:val="005955B3"/>
    <w:rsid w:val="005B14F7"/>
    <w:rsid w:val="005C38B9"/>
    <w:rsid w:val="005D37C7"/>
    <w:rsid w:val="005E04A5"/>
    <w:rsid w:val="005E09BE"/>
    <w:rsid w:val="005E1314"/>
    <w:rsid w:val="005E1D4B"/>
    <w:rsid w:val="005F1362"/>
    <w:rsid w:val="005F583E"/>
    <w:rsid w:val="005F6FA4"/>
    <w:rsid w:val="00600602"/>
    <w:rsid w:val="006022F1"/>
    <w:rsid w:val="00602FD3"/>
    <w:rsid w:val="00607CDD"/>
    <w:rsid w:val="00612A6F"/>
    <w:rsid w:val="00614916"/>
    <w:rsid w:val="00621359"/>
    <w:rsid w:val="00621A4D"/>
    <w:rsid w:val="006322E1"/>
    <w:rsid w:val="006474E0"/>
    <w:rsid w:val="006677A1"/>
    <w:rsid w:val="006757A7"/>
    <w:rsid w:val="00692AD1"/>
    <w:rsid w:val="006A1110"/>
    <w:rsid w:val="006A7434"/>
    <w:rsid w:val="006B7A4D"/>
    <w:rsid w:val="006C17CB"/>
    <w:rsid w:val="006C5473"/>
    <w:rsid w:val="006E3724"/>
    <w:rsid w:val="006E5517"/>
    <w:rsid w:val="006E6119"/>
    <w:rsid w:val="006F3124"/>
    <w:rsid w:val="007029AE"/>
    <w:rsid w:val="00702AA9"/>
    <w:rsid w:val="0070720D"/>
    <w:rsid w:val="007109A7"/>
    <w:rsid w:val="00733490"/>
    <w:rsid w:val="00733F20"/>
    <w:rsid w:val="00737FB3"/>
    <w:rsid w:val="007440CA"/>
    <w:rsid w:val="00763ABF"/>
    <w:rsid w:val="00770FFF"/>
    <w:rsid w:val="00781150"/>
    <w:rsid w:val="00791E81"/>
    <w:rsid w:val="007A184F"/>
    <w:rsid w:val="007A77F3"/>
    <w:rsid w:val="007D5A1A"/>
    <w:rsid w:val="007E1628"/>
    <w:rsid w:val="007E32D3"/>
    <w:rsid w:val="007E3685"/>
    <w:rsid w:val="007E791C"/>
    <w:rsid w:val="008012B5"/>
    <w:rsid w:val="00802730"/>
    <w:rsid w:val="00813C26"/>
    <w:rsid w:val="0084047F"/>
    <w:rsid w:val="00852281"/>
    <w:rsid w:val="00867992"/>
    <w:rsid w:val="00872ED0"/>
    <w:rsid w:val="00881A29"/>
    <w:rsid w:val="0089000B"/>
    <w:rsid w:val="00893CAF"/>
    <w:rsid w:val="008A17CA"/>
    <w:rsid w:val="008A72EE"/>
    <w:rsid w:val="008B0F1A"/>
    <w:rsid w:val="008B2911"/>
    <w:rsid w:val="008B4DE9"/>
    <w:rsid w:val="008B5ABA"/>
    <w:rsid w:val="008C6417"/>
    <w:rsid w:val="008C689D"/>
    <w:rsid w:val="008C696C"/>
    <w:rsid w:val="008D0A7F"/>
    <w:rsid w:val="008D11E1"/>
    <w:rsid w:val="008D19DE"/>
    <w:rsid w:val="008D4509"/>
    <w:rsid w:val="008E65C0"/>
    <w:rsid w:val="008F1603"/>
    <w:rsid w:val="009040B5"/>
    <w:rsid w:val="00904109"/>
    <w:rsid w:val="00910B72"/>
    <w:rsid w:val="0092155D"/>
    <w:rsid w:val="009255BF"/>
    <w:rsid w:val="0092633A"/>
    <w:rsid w:val="00927E62"/>
    <w:rsid w:val="00934B4A"/>
    <w:rsid w:val="00940B59"/>
    <w:rsid w:val="00942778"/>
    <w:rsid w:val="009455FB"/>
    <w:rsid w:val="009617D5"/>
    <w:rsid w:val="00965A6E"/>
    <w:rsid w:val="0096626D"/>
    <w:rsid w:val="00967772"/>
    <w:rsid w:val="00970F99"/>
    <w:rsid w:val="00971781"/>
    <w:rsid w:val="00971EDA"/>
    <w:rsid w:val="009869C2"/>
    <w:rsid w:val="0099760B"/>
    <w:rsid w:val="009A0301"/>
    <w:rsid w:val="009C1C9C"/>
    <w:rsid w:val="009C2026"/>
    <w:rsid w:val="009D0427"/>
    <w:rsid w:val="009D3520"/>
    <w:rsid w:val="009E3433"/>
    <w:rsid w:val="009F5BD7"/>
    <w:rsid w:val="00A058E7"/>
    <w:rsid w:val="00A12C10"/>
    <w:rsid w:val="00A3028F"/>
    <w:rsid w:val="00A43F02"/>
    <w:rsid w:val="00A77CE3"/>
    <w:rsid w:val="00A90980"/>
    <w:rsid w:val="00A955D6"/>
    <w:rsid w:val="00A95EBE"/>
    <w:rsid w:val="00AA217E"/>
    <w:rsid w:val="00AB4EB3"/>
    <w:rsid w:val="00AB7F6D"/>
    <w:rsid w:val="00AC063B"/>
    <w:rsid w:val="00AC5C35"/>
    <w:rsid w:val="00B1639F"/>
    <w:rsid w:val="00B3121E"/>
    <w:rsid w:val="00B327BC"/>
    <w:rsid w:val="00B431C7"/>
    <w:rsid w:val="00B73570"/>
    <w:rsid w:val="00B840AF"/>
    <w:rsid w:val="00B860B4"/>
    <w:rsid w:val="00B872DB"/>
    <w:rsid w:val="00B97E2F"/>
    <w:rsid w:val="00BA3B2C"/>
    <w:rsid w:val="00BA42EC"/>
    <w:rsid w:val="00BB347F"/>
    <w:rsid w:val="00BC115D"/>
    <w:rsid w:val="00BC28C7"/>
    <w:rsid w:val="00BC2DA8"/>
    <w:rsid w:val="00BD67FB"/>
    <w:rsid w:val="00BD7D31"/>
    <w:rsid w:val="00BF0AB4"/>
    <w:rsid w:val="00BF5A64"/>
    <w:rsid w:val="00BF70F2"/>
    <w:rsid w:val="00BF7905"/>
    <w:rsid w:val="00C07DD9"/>
    <w:rsid w:val="00C10D7D"/>
    <w:rsid w:val="00C11FF5"/>
    <w:rsid w:val="00C14061"/>
    <w:rsid w:val="00C15251"/>
    <w:rsid w:val="00C31BD6"/>
    <w:rsid w:val="00C47233"/>
    <w:rsid w:val="00C47F1D"/>
    <w:rsid w:val="00C54A28"/>
    <w:rsid w:val="00C54AE5"/>
    <w:rsid w:val="00C62677"/>
    <w:rsid w:val="00C65BF0"/>
    <w:rsid w:val="00C75731"/>
    <w:rsid w:val="00C76AF8"/>
    <w:rsid w:val="00C821C2"/>
    <w:rsid w:val="00C93311"/>
    <w:rsid w:val="00CA2E06"/>
    <w:rsid w:val="00CC0878"/>
    <w:rsid w:val="00CF0FC6"/>
    <w:rsid w:val="00CF313B"/>
    <w:rsid w:val="00D003AB"/>
    <w:rsid w:val="00D05284"/>
    <w:rsid w:val="00D071B8"/>
    <w:rsid w:val="00D075AC"/>
    <w:rsid w:val="00D13381"/>
    <w:rsid w:val="00D13829"/>
    <w:rsid w:val="00D2195A"/>
    <w:rsid w:val="00D22504"/>
    <w:rsid w:val="00D362A9"/>
    <w:rsid w:val="00D55728"/>
    <w:rsid w:val="00D730C4"/>
    <w:rsid w:val="00D77C88"/>
    <w:rsid w:val="00D80197"/>
    <w:rsid w:val="00D922CA"/>
    <w:rsid w:val="00D94EDE"/>
    <w:rsid w:val="00D9770F"/>
    <w:rsid w:val="00D97AFF"/>
    <w:rsid w:val="00DA2E66"/>
    <w:rsid w:val="00DB3A4C"/>
    <w:rsid w:val="00DC0FEE"/>
    <w:rsid w:val="00DC57EF"/>
    <w:rsid w:val="00DD1D4B"/>
    <w:rsid w:val="00DD2DCA"/>
    <w:rsid w:val="00DD33FC"/>
    <w:rsid w:val="00DD648E"/>
    <w:rsid w:val="00DD6A37"/>
    <w:rsid w:val="00DF25C7"/>
    <w:rsid w:val="00DF380B"/>
    <w:rsid w:val="00DF40BF"/>
    <w:rsid w:val="00DF5092"/>
    <w:rsid w:val="00E20B5D"/>
    <w:rsid w:val="00E307F7"/>
    <w:rsid w:val="00E43885"/>
    <w:rsid w:val="00E45A53"/>
    <w:rsid w:val="00E5193A"/>
    <w:rsid w:val="00E54144"/>
    <w:rsid w:val="00E70FC8"/>
    <w:rsid w:val="00E816FF"/>
    <w:rsid w:val="00E9198C"/>
    <w:rsid w:val="00E937A7"/>
    <w:rsid w:val="00E94284"/>
    <w:rsid w:val="00E96BCB"/>
    <w:rsid w:val="00EB0047"/>
    <w:rsid w:val="00EB0B4D"/>
    <w:rsid w:val="00EB5E51"/>
    <w:rsid w:val="00EC36FD"/>
    <w:rsid w:val="00ED6317"/>
    <w:rsid w:val="00EE3081"/>
    <w:rsid w:val="00EE5AA3"/>
    <w:rsid w:val="00EE7A9B"/>
    <w:rsid w:val="00EF7FC7"/>
    <w:rsid w:val="00F22B12"/>
    <w:rsid w:val="00F22EFE"/>
    <w:rsid w:val="00F33033"/>
    <w:rsid w:val="00F36AB9"/>
    <w:rsid w:val="00F37D15"/>
    <w:rsid w:val="00F60EE4"/>
    <w:rsid w:val="00F67661"/>
    <w:rsid w:val="00F72B82"/>
    <w:rsid w:val="00F75052"/>
    <w:rsid w:val="00F839F4"/>
    <w:rsid w:val="00F869B6"/>
    <w:rsid w:val="00F94116"/>
    <w:rsid w:val="00FA7531"/>
    <w:rsid w:val="00FB0F6D"/>
    <w:rsid w:val="00FC2C42"/>
    <w:rsid w:val="00FD1593"/>
    <w:rsid w:val="00FE30F1"/>
    <w:rsid w:val="00FF28DF"/>
    <w:rsid w:val="00FF3706"/>
    <w:rsid w:val="00FF3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4E19D"/>
  <w15:chartTrackingRefBased/>
  <w15:docId w15:val="{F973B870-6E77-45F9-BE5A-E869C34FC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89D"/>
  </w:style>
  <w:style w:type="paragraph" w:styleId="Heading1">
    <w:name w:val="heading 1"/>
    <w:basedOn w:val="Normal"/>
    <w:next w:val="Normal"/>
    <w:link w:val="Heading1Char"/>
    <w:uiPriority w:val="9"/>
    <w:qFormat/>
    <w:rsid w:val="00DD64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D64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D648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C31BD6"/>
    <w:pPr>
      <w:spacing w:after="0" w:line="240" w:lineRule="auto"/>
    </w:pPr>
    <w:rPr>
      <w:rFonts w:ascii="Arial" w:eastAsia="Times New Roman" w:hAnsi="Arial" w:cs="Times New Roman"/>
      <w:sz w:val="20"/>
      <w:szCs w:val="20"/>
    </w:rPr>
  </w:style>
  <w:style w:type="character" w:customStyle="1" w:styleId="CommentTextChar">
    <w:name w:val="Comment Text Char"/>
    <w:basedOn w:val="DefaultParagraphFont"/>
    <w:link w:val="CommentText"/>
    <w:rsid w:val="00C31BD6"/>
    <w:rPr>
      <w:rFonts w:ascii="Arial" w:eastAsia="Times New Roman" w:hAnsi="Arial" w:cs="Times New Roman"/>
      <w:sz w:val="20"/>
      <w:szCs w:val="20"/>
    </w:rPr>
  </w:style>
  <w:style w:type="character" w:styleId="CommentReference">
    <w:name w:val="annotation reference"/>
    <w:basedOn w:val="DefaultParagraphFont"/>
    <w:semiHidden/>
    <w:unhideWhenUsed/>
    <w:rsid w:val="00C31BD6"/>
    <w:rPr>
      <w:sz w:val="16"/>
      <w:szCs w:val="16"/>
    </w:rPr>
  </w:style>
  <w:style w:type="paragraph" w:styleId="NoSpacing">
    <w:name w:val="No Spacing"/>
    <w:uiPriority w:val="99"/>
    <w:qFormat/>
    <w:rsid w:val="00C31BD6"/>
    <w:pPr>
      <w:widowControl w:val="0"/>
      <w:spacing w:after="0" w:line="240" w:lineRule="auto"/>
    </w:pPr>
    <w:rPr>
      <w:rFonts w:ascii="Arial" w:eastAsia="Times New Roman" w:hAnsi="Arial" w:cs="Times New Roman"/>
      <w:szCs w:val="24"/>
      <w:lang w:val="en-CA"/>
    </w:rPr>
  </w:style>
  <w:style w:type="paragraph" w:styleId="ListParagraph">
    <w:name w:val="List Paragraph"/>
    <w:basedOn w:val="Normal"/>
    <w:uiPriority w:val="34"/>
    <w:qFormat/>
    <w:rsid w:val="00C31BD6"/>
    <w:pPr>
      <w:ind w:left="720"/>
      <w:contextualSpacing/>
    </w:pPr>
  </w:style>
  <w:style w:type="table" w:styleId="TableGrid">
    <w:name w:val="Table Grid"/>
    <w:basedOn w:val="TableNormal"/>
    <w:uiPriority w:val="59"/>
    <w:rsid w:val="00C31B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F38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380B"/>
  </w:style>
  <w:style w:type="paragraph" w:styleId="Footer">
    <w:name w:val="footer"/>
    <w:basedOn w:val="Normal"/>
    <w:link w:val="FooterChar"/>
    <w:uiPriority w:val="99"/>
    <w:unhideWhenUsed/>
    <w:rsid w:val="00DF38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380B"/>
  </w:style>
  <w:style w:type="paragraph" w:styleId="Caption">
    <w:name w:val="caption"/>
    <w:basedOn w:val="Normal"/>
    <w:next w:val="Normal"/>
    <w:link w:val="CaptionChar"/>
    <w:uiPriority w:val="35"/>
    <w:qFormat/>
    <w:rsid w:val="00DF380B"/>
    <w:pPr>
      <w:widowControl w:val="0"/>
      <w:spacing w:after="120" w:line="240" w:lineRule="auto"/>
    </w:pPr>
    <w:rPr>
      <w:rFonts w:ascii="Arial" w:eastAsia="Times New Roman" w:hAnsi="Arial" w:cs="Times New Roman"/>
      <w:bCs/>
      <w:sz w:val="20"/>
      <w:szCs w:val="20"/>
      <w:lang w:val="en-CA"/>
    </w:rPr>
  </w:style>
  <w:style w:type="paragraph" w:customStyle="1" w:styleId="CaptionTable">
    <w:name w:val="CaptionTable"/>
    <w:basedOn w:val="Caption"/>
    <w:link w:val="CaptionTableChar"/>
    <w:qFormat/>
    <w:rsid w:val="00DF380B"/>
  </w:style>
  <w:style w:type="character" w:customStyle="1" w:styleId="CaptionChar">
    <w:name w:val="Caption Char"/>
    <w:basedOn w:val="DefaultParagraphFont"/>
    <w:link w:val="Caption"/>
    <w:uiPriority w:val="35"/>
    <w:rsid w:val="00DF380B"/>
    <w:rPr>
      <w:rFonts w:ascii="Arial" w:eastAsia="Times New Roman" w:hAnsi="Arial" w:cs="Times New Roman"/>
      <w:bCs/>
      <w:sz w:val="20"/>
      <w:szCs w:val="20"/>
      <w:lang w:val="en-CA"/>
    </w:rPr>
  </w:style>
  <w:style w:type="character" w:customStyle="1" w:styleId="CaptionTableChar">
    <w:name w:val="CaptionTable Char"/>
    <w:basedOn w:val="CaptionChar"/>
    <w:link w:val="CaptionTable"/>
    <w:rsid w:val="00DF380B"/>
    <w:rPr>
      <w:rFonts w:ascii="Arial" w:eastAsia="Times New Roman" w:hAnsi="Arial" w:cs="Times New Roman"/>
      <w:bCs/>
      <w:sz w:val="20"/>
      <w:szCs w:val="20"/>
      <w:lang w:val="en-CA"/>
    </w:rPr>
  </w:style>
  <w:style w:type="paragraph" w:styleId="BodyText">
    <w:name w:val="Body Text"/>
    <w:basedOn w:val="Normal"/>
    <w:link w:val="BodyTextChar"/>
    <w:uiPriority w:val="99"/>
    <w:qFormat/>
    <w:rsid w:val="00DF380B"/>
    <w:pPr>
      <w:widowControl w:val="0"/>
      <w:spacing w:after="120" w:line="240" w:lineRule="auto"/>
    </w:pPr>
    <w:rPr>
      <w:rFonts w:ascii="Arial" w:eastAsia="Times New Roman" w:hAnsi="Arial" w:cs="Times New Roman"/>
      <w:szCs w:val="20"/>
    </w:rPr>
  </w:style>
  <w:style w:type="character" w:customStyle="1" w:styleId="BodyTextChar">
    <w:name w:val="Body Text Char"/>
    <w:basedOn w:val="DefaultParagraphFont"/>
    <w:link w:val="BodyText"/>
    <w:uiPriority w:val="99"/>
    <w:rsid w:val="00DF380B"/>
    <w:rPr>
      <w:rFonts w:ascii="Arial" w:eastAsia="Times New Roman" w:hAnsi="Arial" w:cs="Times New Roman"/>
      <w:szCs w:val="20"/>
    </w:rPr>
  </w:style>
  <w:style w:type="character" w:styleId="Hyperlink">
    <w:name w:val="Hyperlink"/>
    <w:basedOn w:val="DefaultParagraphFont"/>
    <w:uiPriority w:val="99"/>
    <w:unhideWhenUsed/>
    <w:rsid w:val="00DF380B"/>
    <w:rPr>
      <w:color w:val="0563C1" w:themeColor="hyperlink"/>
      <w:u w:val="single"/>
    </w:rPr>
  </w:style>
  <w:style w:type="paragraph" w:styleId="Revision">
    <w:name w:val="Revision"/>
    <w:hidden/>
    <w:uiPriority w:val="99"/>
    <w:semiHidden/>
    <w:rsid w:val="006E6119"/>
    <w:pPr>
      <w:spacing w:after="0" w:line="240" w:lineRule="auto"/>
    </w:pPr>
  </w:style>
  <w:style w:type="paragraph" w:styleId="CommentSubject">
    <w:name w:val="annotation subject"/>
    <w:basedOn w:val="CommentText"/>
    <w:next w:val="CommentText"/>
    <w:link w:val="CommentSubjectChar"/>
    <w:uiPriority w:val="99"/>
    <w:semiHidden/>
    <w:unhideWhenUsed/>
    <w:rsid w:val="004D1F9B"/>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4D1F9B"/>
    <w:rPr>
      <w:rFonts w:ascii="Arial" w:eastAsia="Times New Roman" w:hAnsi="Arial" w:cs="Times New Roman"/>
      <w:b/>
      <w:bCs/>
      <w:sz w:val="20"/>
      <w:szCs w:val="20"/>
    </w:rPr>
  </w:style>
  <w:style w:type="character" w:styleId="UnresolvedMention">
    <w:name w:val="Unresolved Mention"/>
    <w:basedOn w:val="DefaultParagraphFont"/>
    <w:uiPriority w:val="99"/>
    <w:semiHidden/>
    <w:unhideWhenUsed/>
    <w:rsid w:val="002B1DF5"/>
    <w:rPr>
      <w:color w:val="605E5C"/>
      <w:shd w:val="clear" w:color="auto" w:fill="E1DFDD"/>
    </w:rPr>
  </w:style>
  <w:style w:type="character" w:customStyle="1" w:styleId="Heading1Char">
    <w:name w:val="Heading 1 Char"/>
    <w:basedOn w:val="DefaultParagraphFont"/>
    <w:link w:val="Heading1"/>
    <w:uiPriority w:val="9"/>
    <w:rsid w:val="00DD648E"/>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DD648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48E"/>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DD648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D648E"/>
    <w:rPr>
      <w:rFonts w:asciiTheme="majorHAnsi" w:eastAsiaTheme="majorEastAsia" w:hAnsiTheme="majorHAnsi" w:cstheme="majorBidi"/>
      <w:color w:val="1F3763" w:themeColor="accent1" w:themeShade="7F"/>
      <w:sz w:val="24"/>
      <w:szCs w:val="24"/>
    </w:rPr>
  </w:style>
  <w:style w:type="paragraph" w:styleId="FootnoteText">
    <w:name w:val="footnote text"/>
    <w:basedOn w:val="Normal"/>
    <w:link w:val="FootnoteTextChar"/>
    <w:uiPriority w:val="99"/>
    <w:semiHidden/>
    <w:unhideWhenUsed/>
    <w:rsid w:val="0029652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96524"/>
    <w:rPr>
      <w:sz w:val="20"/>
      <w:szCs w:val="20"/>
    </w:rPr>
  </w:style>
  <w:style w:type="character" w:styleId="FootnoteReference">
    <w:name w:val="footnote reference"/>
    <w:basedOn w:val="DefaultParagraphFont"/>
    <w:uiPriority w:val="99"/>
    <w:semiHidden/>
    <w:unhideWhenUsed/>
    <w:rsid w:val="00296524"/>
    <w:rPr>
      <w:vertAlign w:val="superscript"/>
    </w:rPr>
  </w:style>
  <w:style w:type="character" w:styleId="FollowedHyperlink">
    <w:name w:val="FollowedHyperlink"/>
    <w:basedOn w:val="DefaultParagraphFont"/>
    <w:uiPriority w:val="99"/>
    <w:semiHidden/>
    <w:unhideWhenUsed/>
    <w:rsid w:val="0001454A"/>
    <w:rPr>
      <w:color w:val="954F72" w:themeColor="followedHyperlink"/>
      <w:u w:val="single"/>
    </w:rPr>
  </w:style>
  <w:style w:type="table" w:styleId="ListTable2">
    <w:name w:val="List Table 2"/>
    <w:basedOn w:val="TableNormal"/>
    <w:uiPriority w:val="47"/>
    <w:rsid w:val="0001454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
    <w:name w:val="List Table 6 Colorful"/>
    <w:basedOn w:val="TableNormal"/>
    <w:uiPriority w:val="51"/>
    <w:rsid w:val="0001454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75376">
      <w:bodyDiv w:val="1"/>
      <w:marLeft w:val="0"/>
      <w:marRight w:val="0"/>
      <w:marTop w:val="0"/>
      <w:marBottom w:val="0"/>
      <w:divBdr>
        <w:top w:val="none" w:sz="0" w:space="0" w:color="auto"/>
        <w:left w:val="none" w:sz="0" w:space="0" w:color="auto"/>
        <w:bottom w:val="none" w:sz="0" w:space="0" w:color="auto"/>
        <w:right w:val="none" w:sz="0" w:space="0" w:color="auto"/>
      </w:divBdr>
    </w:div>
    <w:div w:id="760947981">
      <w:bodyDiv w:val="1"/>
      <w:marLeft w:val="0"/>
      <w:marRight w:val="0"/>
      <w:marTop w:val="0"/>
      <w:marBottom w:val="0"/>
      <w:divBdr>
        <w:top w:val="none" w:sz="0" w:space="0" w:color="auto"/>
        <w:left w:val="none" w:sz="0" w:space="0" w:color="auto"/>
        <w:bottom w:val="none" w:sz="0" w:space="0" w:color="auto"/>
        <w:right w:val="none" w:sz="0" w:space="0" w:color="auto"/>
      </w:divBdr>
    </w:div>
    <w:div w:id="1691369116">
      <w:bodyDiv w:val="1"/>
      <w:marLeft w:val="0"/>
      <w:marRight w:val="0"/>
      <w:marTop w:val="0"/>
      <w:marBottom w:val="0"/>
      <w:divBdr>
        <w:top w:val="none" w:sz="0" w:space="0" w:color="auto"/>
        <w:left w:val="none" w:sz="0" w:space="0" w:color="auto"/>
        <w:bottom w:val="none" w:sz="0" w:space="0" w:color="auto"/>
        <w:right w:val="none" w:sz="0" w:space="0" w:color="auto"/>
      </w:divBdr>
    </w:div>
    <w:div w:id="1860000899">
      <w:bodyDiv w:val="1"/>
      <w:marLeft w:val="0"/>
      <w:marRight w:val="0"/>
      <w:marTop w:val="0"/>
      <w:marBottom w:val="0"/>
      <w:divBdr>
        <w:top w:val="none" w:sz="0" w:space="0" w:color="auto"/>
        <w:left w:val="none" w:sz="0" w:space="0" w:color="auto"/>
        <w:bottom w:val="none" w:sz="0" w:space="0" w:color="auto"/>
        <w:right w:val="none" w:sz="0" w:space="0" w:color="auto"/>
      </w:divBdr>
    </w:div>
    <w:div w:id="188856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ublications.gc.ca/collections/collection_2023/mpo-dfo/fs70-6/Fs70-6-2023-009-eng.pdf" TargetMode="External"/><Relationship Id="rId18" Type="http://schemas.openxmlformats.org/officeDocument/2006/relationships/hyperlink" Target="https://waves-vagues.dfo-mpo.gc.ca/library-bibliotheque/41207890.pdf" TargetMode="Externa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s://www.dfo-mpo.gc.ca/csas-sccs/Publications/SAR-AS/2022/2022_030-eng.html" TargetMode="External"/><Relationship Id="rId17" Type="http://schemas.openxmlformats.org/officeDocument/2006/relationships/hyperlink" Target="https://www.dfo-mpo.gc.ca/csas-sccs/Publications/ResDocs-DocRech/2023/2023_010-eng.html" TargetMode="External"/><Relationship Id="rId2" Type="http://schemas.openxmlformats.org/officeDocument/2006/relationships/numbering" Target="numbering.xml"/><Relationship Id="rId16" Type="http://schemas.openxmlformats.org/officeDocument/2006/relationships/hyperlink" Target="https://publications.gc.ca/collections/collection_2023/mpo-dfo/fs70-5/Fs70-5-2023-009-eng.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aves-vagues.dfo-mpo.gc.ca/Library/364851.pdf" TargetMode="External"/><Relationship Id="rId5" Type="http://schemas.openxmlformats.org/officeDocument/2006/relationships/webSettings" Target="webSettings.xml"/><Relationship Id="rId15" Type="http://schemas.openxmlformats.org/officeDocument/2006/relationships/hyperlink" Target="https://www.psc.org/download/509/information/8561/s13-i06-fraser-pink-salmon-oncorhynchus-gorbuscha-escapement-goals-data-report.pdf"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dfo-mpo.gc.ca/csas-sccs/Publications/ScR-RS/2024/2024_004-eng.pdf"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0242F-402C-4E92-B46D-E1F152EAD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3699</Words>
  <Characters>21087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Sue</dc:creator>
  <cp:keywords/>
  <dc:description/>
  <cp:lastModifiedBy>Arbeider, Michael (DFO/MPO)</cp:lastModifiedBy>
  <cp:revision>5</cp:revision>
  <dcterms:created xsi:type="dcterms:W3CDTF">2024-12-10T18:06:00Z</dcterms:created>
  <dcterms:modified xsi:type="dcterms:W3CDTF">2024-12-12T22:29:00Z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49ee4f2b-d2ae-326f-8e86-30c2f265ce84</vt:lpwstr>
  </property>
  <property fmtid="{D5CDD505-2E9C-101B-9397-08002B2CF9AE}" pid="4" name="Mendeley Citation Style_1">
    <vt:lpwstr>http://www.zotero.org/styles/canadian-journal-of-fisheries-and-aquatic-sciences</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http://www.zotero.org/styles/canadian-journal-of-experimental-psychology</vt:lpwstr>
  </property>
  <property fmtid="{D5CDD505-2E9C-101B-9397-08002B2CF9AE}" pid="10" name="Mendeley Recent Style Name 2_1">
    <vt:lpwstr>Canadian Journal of Experimental Psychology / Revue canadienne de psychologie expérimentale</vt:lpwstr>
  </property>
  <property fmtid="{D5CDD505-2E9C-101B-9397-08002B2CF9AE}" pid="11" name="Mendeley Recent Style Id 3_1">
    <vt:lpwstr>http://www.zotero.org/styles/canadian-journal-of-fisheries-and-aquatic-sciences</vt:lpwstr>
  </property>
  <property fmtid="{D5CDD505-2E9C-101B-9397-08002B2CF9AE}" pid="12" name="Mendeley Recent Style Name 3_1">
    <vt:lpwstr>Canadian Journal of Fisheries and Aquatic Sciences</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