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32"/>
        </w:rPr>
        <w:t>PLAN MAESTRO</w:t>
      </w:r>
    </w:p>
    <w:p>
      <w:pPr>
        <w:jc w:val="center"/>
      </w:pPr>
      <w:r>
        <w:rPr>
          <w:rFonts w:ascii="Aptos Display" w:hAnsi="Aptos Display"/>
          <w:b/>
          <w:sz w:val="60"/>
        </w:rPr>
        <w:t>ALQUILER DE TECNOLOGÍA</w:t>
        <w:br/>
        <w:t>PARA EVENTOS</w:t>
      </w:r>
    </w:p>
    <w:p>
      <w:pPr>
        <w:jc w:val="center"/>
      </w:pPr>
      <w:r>
        <w:rPr>
          <w:sz w:val="26"/>
        </w:rPr>
        <w:t>VR como vertical de entrada · Plataforma escalable a tecnología interactiva</w:t>
      </w:r>
    </w:p>
    <w:p>
      <w:pPr>
        <w:jc w:val="center"/>
      </w:pPr>
      <w:r>
        <w:rPr>
          <w:sz w:val="20"/>
        </w:rPr>
        <w:br/>
        <w:t>Versión 1.0 · 26 septiembre 2026</w:t>
        <w:br/>
        <w:t>Bogotá, Colombia</w:t>
        <w:br/>
        <w:br/>
        <w:t>Documento base para ejecución con Codex</w:t>
      </w:r>
    </w:p>
    <w:p>
      <w:r>
        <w:br w:type="page"/>
      </w:r>
    </w:p>
    <w:p>
      <w:pPr>
        <w:pStyle w:val="Heading1"/>
      </w:pPr>
      <w:r>
        <w:t>1. Resumen ejecutivo</w:t>
      </w:r>
    </w:p>
    <w:p>
      <w:r>
        <w:t>La oportunidad no debe plantearse como una empresa de realidad virtual, sino como una plataforma B2B de alquiler de tecnología para eventos. El primer vertical será VR porque el inventario ya existe: 14 Meta Quest 2 + 14 Meta Quest 3. Esto permite validar demanda, pricing, adquisición y operación sin una inversión relevante en nuevos activos. Una vez probado el motor comercial, el catálogo puede crecer hacia proyectores especializados, hologramas, tótems, pantallas táctiles, tablets, displays y otros equipos de alto valor para eventos.</w:t>
      </w:r>
    </w:p>
    <w:p>
      <w:r>
        <w:t>La propuesta de valor debe ser distinta a la cotización tradicional del sector: catálogo claro, precios orientativos visibles, disponibilidad por fecha, cotización instantánea, reserva con anticipo, WhatsApp/IA y operación estandarizada. El objetivo es que la mayor parte del ciclo comercial ocurra sin intervención humana.</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8EEF7"/>
          </w:tcPr>
          <w:p>
            <w:r/>
            <w:r>
              <w:rPr>
                <w:rFonts w:ascii="Aptos" w:hAnsi="Aptos"/>
                <w:b/>
                <w:sz w:val="16"/>
              </w:rPr>
              <w:t>Decisión</w:t>
            </w:r>
          </w:p>
        </w:tc>
        <w:tc>
          <w:tcPr>
            <w:tcW w:type="dxa" w:w="6912"/>
            <w:vAlign w:val="center"/>
            <w:shd w:fill="E8EEF7"/>
          </w:tcPr>
          <w:p>
            <w:r/>
            <w:r>
              <w:rPr>
                <w:rFonts w:ascii="Aptos" w:hAnsi="Aptos"/>
                <w:b/>
                <w:sz w:val="16"/>
              </w:rPr>
              <w:t>Recomendación base</w:t>
            </w:r>
          </w:p>
        </w:tc>
      </w:tr>
      <w:tr>
        <w:tc>
          <w:tcPr>
            <w:tcW w:type="dxa" w:w="2880"/>
            <w:vAlign w:val="center"/>
          </w:tcPr>
          <w:p>
            <w:r/>
            <w:r>
              <w:rPr>
                <w:rFonts w:ascii="Aptos" w:hAnsi="Aptos"/>
                <w:b w:val="0"/>
                <w:sz w:val="16"/>
              </w:rPr>
              <w:t>Marca</w:t>
            </w:r>
          </w:p>
        </w:tc>
        <w:tc>
          <w:tcPr>
            <w:tcW w:type="dxa" w:w="6912"/>
            <w:vAlign w:val="center"/>
          </w:tcPr>
          <w:p>
            <w:r/>
            <w:r>
              <w:rPr>
                <w:rFonts w:ascii="Aptos" w:hAnsi="Aptos"/>
                <w:b w:val="0"/>
                <w:sz w:val="16"/>
              </w:rPr>
              <w:t>Independiente y amplia: tecnología para eventos; no usar una marca limitada a VR.</w:t>
            </w:r>
          </w:p>
        </w:tc>
      </w:tr>
      <w:tr>
        <w:tc>
          <w:tcPr>
            <w:tcW w:type="dxa" w:w="2880"/>
            <w:vAlign w:val="center"/>
          </w:tcPr>
          <w:p>
            <w:r/>
            <w:r>
              <w:rPr>
                <w:rFonts w:ascii="Aptos" w:hAnsi="Aptos"/>
                <w:b w:val="0"/>
                <w:sz w:val="16"/>
              </w:rPr>
              <w:t>Producto inicial</w:t>
            </w:r>
          </w:p>
        </w:tc>
        <w:tc>
          <w:tcPr>
            <w:tcW w:type="dxa" w:w="6912"/>
            <w:vAlign w:val="center"/>
          </w:tcPr>
          <w:p>
            <w:r/>
            <w:r>
              <w:rPr>
                <w:rFonts w:ascii="Aptos" w:hAnsi="Aptos"/>
                <w:b w:val="0"/>
                <w:sz w:val="16"/>
              </w:rPr>
              <w:t>Alquiler operado de Quest 2 / Quest 3 para eventos corporativos. Siempre con soporte/experto presencial.</w:t>
            </w:r>
          </w:p>
        </w:tc>
      </w:tr>
      <w:tr>
        <w:tc>
          <w:tcPr>
            <w:tcW w:type="dxa" w:w="2880"/>
            <w:vAlign w:val="center"/>
          </w:tcPr>
          <w:p>
            <w:r/>
            <w:r>
              <w:rPr>
                <w:rFonts w:ascii="Aptos" w:hAnsi="Aptos"/>
                <w:b w:val="0"/>
                <w:sz w:val="16"/>
              </w:rPr>
              <w:t>Canal principal de validación</w:t>
            </w:r>
          </w:p>
        </w:tc>
        <w:tc>
          <w:tcPr>
            <w:tcW w:type="dxa" w:w="6912"/>
            <w:vAlign w:val="center"/>
          </w:tcPr>
          <w:p>
            <w:r/>
            <w:r>
              <w:rPr>
                <w:rFonts w:ascii="Aptos" w:hAnsi="Aptos"/>
                <w:b w:val="0"/>
                <w:sz w:val="16"/>
              </w:rPr>
              <w:t>Google Search + outbound B2B a agencias/productoras/event planners.</w:t>
            </w:r>
          </w:p>
        </w:tc>
      </w:tr>
      <w:tr>
        <w:tc>
          <w:tcPr>
            <w:tcW w:type="dxa" w:w="2880"/>
            <w:vAlign w:val="center"/>
          </w:tcPr>
          <w:p>
            <w:r/>
            <w:r>
              <w:rPr>
                <w:rFonts w:ascii="Aptos" w:hAnsi="Aptos"/>
                <w:b w:val="0"/>
                <w:sz w:val="16"/>
              </w:rPr>
              <w:t>Web MVP</w:t>
            </w:r>
          </w:p>
        </w:tc>
        <w:tc>
          <w:tcPr>
            <w:tcW w:type="dxa" w:w="6912"/>
            <w:vAlign w:val="center"/>
          </w:tcPr>
          <w:p>
            <w:r/>
            <w:r>
              <w:rPr>
                <w:rFonts w:ascii="Aptos" w:hAnsi="Aptos"/>
                <w:b w:val="0"/>
                <w:sz w:val="16"/>
              </w:rPr>
              <w:t>Cotizador + disponibilidad + solicitud/reserva + anticipo. No construir todavía un e-commerce/ERP complejo.</w:t>
            </w:r>
          </w:p>
        </w:tc>
      </w:tr>
      <w:tr>
        <w:tc>
          <w:tcPr>
            <w:tcW w:type="dxa" w:w="2880"/>
            <w:vAlign w:val="center"/>
          </w:tcPr>
          <w:p>
            <w:r/>
            <w:r>
              <w:rPr>
                <w:rFonts w:ascii="Aptos" w:hAnsi="Aptos"/>
                <w:b w:val="0"/>
                <w:sz w:val="16"/>
              </w:rPr>
              <w:t>Ciudad inicial</w:t>
            </w:r>
          </w:p>
        </w:tc>
        <w:tc>
          <w:tcPr>
            <w:tcW w:type="dxa" w:w="6912"/>
            <w:vAlign w:val="center"/>
          </w:tcPr>
          <w:p>
            <w:r/>
            <w:r>
              <w:rPr>
                <w:rFonts w:ascii="Aptos" w:hAnsi="Aptos"/>
                <w:b w:val="0"/>
                <w:sz w:val="16"/>
              </w:rPr>
              <w:t>Bogotá. Expandir geografía después de validar unit economics y operación.</w:t>
            </w:r>
          </w:p>
        </w:tc>
      </w:tr>
      <w:tr>
        <w:tc>
          <w:tcPr>
            <w:tcW w:type="dxa" w:w="2880"/>
            <w:vAlign w:val="center"/>
          </w:tcPr>
          <w:p>
            <w:r/>
            <w:r>
              <w:rPr>
                <w:rFonts w:ascii="Aptos" w:hAnsi="Aptos"/>
                <w:b w:val="0"/>
                <w:sz w:val="16"/>
              </w:rPr>
              <w:t>Horizonte de validación</w:t>
            </w:r>
          </w:p>
        </w:tc>
        <w:tc>
          <w:tcPr>
            <w:tcW w:type="dxa" w:w="6912"/>
            <w:vAlign w:val="center"/>
          </w:tcPr>
          <w:p>
            <w:r/>
            <w:r>
              <w:rPr>
                <w:rFonts w:ascii="Aptos" w:hAnsi="Aptos"/>
                <w:b w:val="0"/>
                <w:sz w:val="16"/>
              </w:rPr>
              <w:t>8 semanas desde publicación del MVP.</w:t>
            </w:r>
          </w:p>
        </w:tc>
      </w:tr>
      <w:tr>
        <w:tc>
          <w:tcPr>
            <w:tcW w:type="dxa" w:w="2880"/>
            <w:vAlign w:val="center"/>
          </w:tcPr>
          <w:p>
            <w:r/>
            <w:r>
              <w:rPr>
                <w:rFonts w:ascii="Aptos" w:hAnsi="Aptos"/>
                <w:b w:val="0"/>
                <w:sz w:val="16"/>
              </w:rPr>
              <w:t>Presupuesto piloto sugerido</w:t>
            </w:r>
          </w:p>
        </w:tc>
        <w:tc>
          <w:tcPr>
            <w:tcW w:type="dxa" w:w="6912"/>
            <w:vAlign w:val="center"/>
          </w:tcPr>
          <w:p>
            <w:r/>
            <w:r>
              <w:rPr>
                <w:rFonts w:ascii="Aptos" w:hAnsi="Aptos"/>
                <w:b w:val="0"/>
                <w:sz w:val="16"/>
              </w:rPr>
              <w:t>COP 4,5–7,0 M excluyendo tiempo interno y activos existentes.</w:t>
            </w:r>
          </w:p>
        </w:tc>
      </w:tr>
      <w:tr>
        <w:tc>
          <w:tcPr>
            <w:tcW w:type="dxa" w:w="2880"/>
            <w:vAlign w:val="center"/>
          </w:tcPr>
          <w:p>
            <w:r/>
            <w:r>
              <w:rPr>
                <w:rFonts w:ascii="Aptos" w:hAnsi="Aptos"/>
                <w:b w:val="0"/>
                <w:sz w:val="16"/>
              </w:rPr>
              <w:t>Gate principal</w:t>
            </w:r>
          </w:p>
        </w:tc>
        <w:tc>
          <w:tcPr>
            <w:tcW w:type="dxa" w:w="6912"/>
            <w:vAlign w:val="center"/>
          </w:tcPr>
          <w:p>
            <w:r/>
            <w:r>
              <w:rPr>
                <w:rFonts w:ascii="Aptos" w:hAnsi="Aptos"/>
                <w:b w:val="0"/>
                <w:sz w:val="16"/>
              </w:rPr>
              <w:t>Demostrar demanda rentable y repetible antes de comprar nuevos equipos o automatizar excepciones.</w:t>
            </w:r>
          </w:p>
        </w:tc>
      </w:tr>
    </w:tbl>
    <w:p/>
    <w:p>
      <w:pPr>
        <w:pStyle w:val="Heading1"/>
      </w:pPr>
      <w:r>
        <w:t>2. Evidencia y lectura del mercado</w:t>
      </w:r>
    </w:p>
    <w:p>
      <w:r>
        <w:t>El mercado colombiano muestra oferta fragmentada entre empresas de experiencias inmersivas, productoras audiovisuales y compañías de alquiler tecnológico. La oportunidad no consiste únicamente en tener equipos: consiste en convertir un servicio normalmente cotizado de forma manual en un producto comprable y reservable.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E8EEF7"/>
          </w:tcPr>
          <w:p>
            <w:r/>
            <w:r>
              <w:rPr>
                <w:rFonts w:ascii="Aptos" w:hAnsi="Aptos"/>
                <w:b/>
                <w:sz w:val="16"/>
              </w:rPr>
              <w:t>Referencia</w:t>
            </w:r>
          </w:p>
        </w:tc>
        <w:tc>
          <w:tcPr>
            <w:tcW w:type="dxa" w:w="3672"/>
            <w:vAlign w:val="center"/>
            <w:shd w:fill="E8EEF7"/>
          </w:tcPr>
          <w:p>
            <w:r/>
            <w:r>
              <w:rPr>
                <w:rFonts w:ascii="Aptos" w:hAnsi="Aptos"/>
                <w:b/>
                <w:sz w:val="16"/>
              </w:rPr>
              <w:t>Señal observada</w:t>
            </w:r>
          </w:p>
        </w:tc>
        <w:tc>
          <w:tcPr>
            <w:tcW w:type="dxa" w:w="4320"/>
            <w:vAlign w:val="center"/>
            <w:shd w:fill="E8EEF7"/>
          </w:tcPr>
          <w:p>
            <w:r/>
            <w:r>
              <w:rPr>
                <w:rFonts w:ascii="Aptos" w:hAnsi="Aptos"/>
                <w:b/>
                <w:sz w:val="16"/>
              </w:rPr>
              <w:t>Implicación</w:t>
            </w:r>
          </w:p>
        </w:tc>
      </w:tr>
      <w:tr>
        <w:tc>
          <w:tcPr>
            <w:tcW w:type="dxa" w:w="1800"/>
            <w:vAlign w:val="center"/>
          </w:tcPr>
          <w:p>
            <w:r/>
            <w:r>
              <w:rPr>
                <w:rFonts w:ascii="Aptos" w:hAnsi="Aptos"/>
                <w:b w:val="0"/>
                <w:sz w:val="16"/>
              </w:rPr>
              <w:t>Pixarq360 (benchmark directo)</w:t>
            </w:r>
          </w:p>
        </w:tc>
        <w:tc>
          <w:tcPr>
            <w:tcW w:type="dxa" w:w="3672"/>
            <w:vAlign w:val="center"/>
          </w:tcPr>
          <w:p>
            <w:r/>
            <w:r>
              <w:rPr>
                <w:rFonts w:ascii="Aptos" w:hAnsi="Aptos"/>
                <w:b w:val="0"/>
                <w:sz w:val="16"/>
              </w:rPr>
              <w:t>4 visores; Quest 2 ~COP 120.000/visor/día; técnico COP 210.000/día; transporte Bogotá COP 100.000; sin disponibilidad en octubre.</w:t>
            </w:r>
          </w:p>
        </w:tc>
        <w:tc>
          <w:tcPr>
            <w:tcW w:type="dxa" w:w="4320"/>
            <w:vAlign w:val="center"/>
          </w:tcPr>
          <w:p>
            <w:r/>
            <w:r>
              <w:rPr>
                <w:rFonts w:ascii="Aptos" w:hAnsi="Aptos"/>
                <w:b w:val="0"/>
                <w:sz w:val="16"/>
              </w:rPr>
              <w:t>Nuestro stock de 28 visores puede ser una ventaja de capacidad. Existe un extremo de mercado de alquiler básico.</w:t>
            </w:r>
          </w:p>
        </w:tc>
      </w:tr>
      <w:tr>
        <w:tc>
          <w:tcPr>
            <w:tcW w:type="dxa" w:w="1800"/>
            <w:vAlign w:val="center"/>
          </w:tcPr>
          <w:p>
            <w:r/>
            <w:r>
              <w:rPr>
                <w:rFonts w:ascii="Aptos" w:hAnsi="Aptos"/>
                <w:b w:val="0"/>
                <w:sz w:val="16"/>
              </w:rPr>
              <w:t>Mocion (benchmark directo)</w:t>
            </w:r>
          </w:p>
        </w:tc>
        <w:tc>
          <w:tcPr>
            <w:tcW w:type="dxa" w:w="3672"/>
            <w:vAlign w:val="center"/>
          </w:tcPr>
          <w:p>
            <w:r/>
            <w:r>
              <w:rPr>
                <w:rFonts w:ascii="Aptos" w:hAnsi="Aptos"/>
                <w:b w:val="0"/>
                <w:sz w:val="16"/>
              </w:rPr>
              <w:t>10 Quest 3 / 4 h: COP 325.000 por visor; propuesta total ~COP 7,86 M con configuración, técnicos, productor, transporte, imprevistos e IVA.</w:t>
            </w:r>
          </w:p>
        </w:tc>
        <w:tc>
          <w:tcPr>
            <w:tcW w:type="dxa" w:w="4320"/>
            <w:vAlign w:val="center"/>
          </w:tcPr>
          <w:p>
            <w:r/>
            <w:r>
              <w:rPr>
                <w:rFonts w:ascii="Aptos" w:hAnsi="Aptos"/>
                <w:b w:val="0"/>
                <w:sz w:val="16"/>
              </w:rPr>
              <w:t>El valor no está solo en el hardware: operación, configuración y producción elevan fuertemente el ticket.</w:t>
            </w:r>
          </w:p>
        </w:tc>
      </w:tr>
      <w:tr>
        <w:tc>
          <w:tcPr>
            <w:tcW w:type="dxa" w:w="1800"/>
            <w:vAlign w:val="center"/>
          </w:tcPr>
          <w:p>
            <w:r/>
            <w:r>
              <w:rPr>
                <w:rFonts w:ascii="Aptos" w:hAnsi="Aptos"/>
                <w:b w:val="0"/>
                <w:sz w:val="16"/>
              </w:rPr>
              <w:t>Immersive VR-Media</w:t>
            </w:r>
          </w:p>
        </w:tc>
        <w:tc>
          <w:tcPr>
            <w:tcW w:type="dxa" w:w="3672"/>
            <w:vAlign w:val="center"/>
          </w:tcPr>
          <w:p>
            <w:r/>
            <w:r>
              <w:rPr>
                <w:rFonts w:ascii="Aptos" w:hAnsi="Aptos"/>
                <w:b w:val="0"/>
                <w:sz w:val="16"/>
              </w:rPr>
              <w:t>Publica alquiler de Meta Quest con configuración, contenido y asistencia técnica.</w:t>
            </w:r>
          </w:p>
        </w:tc>
        <w:tc>
          <w:tcPr>
            <w:tcW w:type="dxa" w:w="4320"/>
            <w:vAlign w:val="center"/>
          </w:tcPr>
          <w:p>
            <w:r/>
            <w:r>
              <w:rPr>
                <w:rFonts w:ascii="Aptos" w:hAnsi="Aptos"/>
                <w:b w:val="0"/>
                <w:sz w:val="16"/>
              </w:rPr>
              <w:t>Confirma demanda B2B por solución operada, no únicamente entrega de equipo.</w:t>
            </w:r>
          </w:p>
        </w:tc>
      </w:tr>
      <w:tr>
        <w:tc>
          <w:tcPr>
            <w:tcW w:type="dxa" w:w="1800"/>
            <w:vAlign w:val="center"/>
          </w:tcPr>
          <w:p>
            <w:r/>
            <w:r>
              <w:rPr>
                <w:rFonts w:ascii="Aptos" w:hAnsi="Aptos"/>
                <w:b w:val="0"/>
                <w:sz w:val="16"/>
              </w:rPr>
              <w:t>NextBot Eventos</w:t>
            </w:r>
          </w:p>
        </w:tc>
        <w:tc>
          <w:tcPr>
            <w:tcW w:type="dxa" w:w="3672"/>
            <w:vAlign w:val="center"/>
          </w:tcPr>
          <w:p>
            <w:r/>
            <w:r>
              <w:rPr>
                <w:rFonts w:ascii="Aptos" w:hAnsi="Aptos"/>
                <w:b w:val="0"/>
                <w:sz w:val="16"/>
              </w:rPr>
              <w:t>Catálogo público incluye tótems, pantallas, simuladores, Oculus/Meta Quest y VR; tótem touch COP 700.000/día + IVA.</w:t>
            </w:r>
          </w:p>
        </w:tc>
        <w:tc>
          <w:tcPr>
            <w:tcW w:type="dxa" w:w="4320"/>
            <w:vAlign w:val="center"/>
          </w:tcPr>
          <w:p>
            <w:r/>
            <w:r>
              <w:rPr>
                <w:rFonts w:ascii="Aptos" w:hAnsi="Aptos"/>
                <w:b w:val="0"/>
                <w:sz w:val="16"/>
              </w:rPr>
              <w:t>Confirma que la categoría natural es tecnología/equipos para eventos.</w:t>
            </w:r>
          </w:p>
        </w:tc>
      </w:tr>
      <w:tr>
        <w:tc>
          <w:tcPr>
            <w:tcW w:type="dxa" w:w="1800"/>
            <w:vAlign w:val="center"/>
          </w:tcPr>
          <w:p>
            <w:r/>
            <w:r>
              <w:rPr>
                <w:rFonts w:ascii="Aptos" w:hAnsi="Aptos"/>
                <w:b w:val="0"/>
                <w:sz w:val="16"/>
              </w:rPr>
              <w:t>TEKNO by TAKUB</w:t>
            </w:r>
          </w:p>
        </w:tc>
        <w:tc>
          <w:tcPr>
            <w:tcW w:type="dxa" w:w="3672"/>
            <w:vAlign w:val="center"/>
          </w:tcPr>
          <w:p>
            <w:r/>
            <w:r>
              <w:rPr>
                <w:rFonts w:ascii="Aptos" w:hAnsi="Aptos"/>
                <w:b w:val="0"/>
                <w:sz w:val="16"/>
              </w:rPr>
              <w:t>Tótems desde COP 678.000 + IVA; monitores desde COP 368.000 + IVA; tablets desde COP 312.000; soporte y montaje.</w:t>
            </w:r>
          </w:p>
        </w:tc>
        <w:tc>
          <w:tcPr>
            <w:tcW w:type="dxa" w:w="4320"/>
            <w:vAlign w:val="center"/>
          </w:tcPr>
          <w:p>
            <w:r/>
            <w:r>
              <w:rPr>
                <w:rFonts w:ascii="Aptos" w:hAnsi="Aptos"/>
                <w:b w:val="0"/>
                <w:sz w:val="16"/>
              </w:rPr>
              <w:t>Demuestra un modelo de catálogo multitecnología con precios publicados.</w:t>
            </w:r>
          </w:p>
        </w:tc>
      </w:tr>
      <w:tr>
        <w:tc>
          <w:tcPr>
            <w:tcW w:type="dxa" w:w="1800"/>
            <w:vAlign w:val="center"/>
          </w:tcPr>
          <w:p>
            <w:r/>
            <w:r>
              <w:rPr>
                <w:rFonts w:ascii="Aptos" w:hAnsi="Aptos"/>
                <w:b w:val="0"/>
                <w:sz w:val="16"/>
              </w:rPr>
              <w:t>MiTotem / APG / King Productions</w:t>
            </w:r>
          </w:p>
        </w:tc>
        <w:tc>
          <w:tcPr>
            <w:tcW w:type="dxa" w:w="3672"/>
            <w:vAlign w:val="center"/>
          </w:tcPr>
          <w:p>
            <w:r/>
            <w:r>
              <w:rPr>
                <w:rFonts w:ascii="Aptos" w:hAnsi="Aptos"/>
                <w:b w:val="0"/>
                <w:sz w:val="16"/>
              </w:rPr>
              <w:t>Alquiler de tablets, kioscos, computadores y pantallas con soporte y configuración.</w:t>
            </w:r>
          </w:p>
        </w:tc>
        <w:tc>
          <w:tcPr>
            <w:tcW w:type="dxa" w:w="4320"/>
            <w:vAlign w:val="center"/>
          </w:tcPr>
          <w:p>
            <w:r/>
            <w:r>
              <w:rPr>
                <w:rFonts w:ascii="Aptos" w:hAnsi="Aptos"/>
                <w:b w:val="0"/>
                <w:sz w:val="16"/>
              </w:rPr>
              <w:t>Hay espacio futuro para cross-sell y ampliación del catálogo.</w:t>
            </w:r>
          </w:p>
        </w:tc>
      </w:tr>
    </w:tbl>
    <w:p/>
    <w:p>
      <w:pPr>
        <w:pStyle w:val="Heading1"/>
      </w:pPr>
      <w:r>
        <w:t>3. Posicionamiento y marca</w:t>
      </w:r>
    </w:p>
    <w:p>
      <w:r>
        <w:t>Posicionamiento recomendado: “Tecnología lista para tu evento”. La marca debe responder a una categoría amplia y transaccional. No debe depender de las palabras VR, Oculus o Meta en su nombre, aunque estas sí deben dominar las páginas SEO iniciales.</w:t>
      </w:r>
    </w:p>
    <w:p>
      <w:r>
        <w:t>Principios de naming:</w:t>
      </w:r>
    </w:p>
    <w:p>
      <w:pPr>
        <w:pStyle w:val="ListBullet"/>
      </w:pPr>
      <w:r>
        <w:t>Corto, pronunciable en español y usable en Colombia/LatAm.</w:t>
      </w:r>
    </w:p>
    <w:p>
      <w:pPr>
        <w:pStyle w:val="ListBullet"/>
      </w:pPr>
      <w:r>
        <w:t>Asociado a tecnología, eventos, renta, kit, gear, lab, tech o experiencias; no atado a un fabricante.</w:t>
      </w:r>
    </w:p>
    <w:p>
      <w:pPr>
        <w:pStyle w:val="ListBullet"/>
      </w:pPr>
      <w:r>
        <w:t>Dominio .co o .com disponible y fácil de escribir.</w:t>
      </w:r>
    </w:p>
    <w:p>
      <w:pPr>
        <w:pStyle w:val="ListBullet"/>
      </w:pPr>
      <w:r>
        <w:t>Permitir arquitectura de categorías: /vr, /pantallas, /proyectores, /hologramas, /interactivos.</w:t>
      </w:r>
    </w:p>
    <w:p>
      <w:pPr>
        <w:pStyle w:val="ListBullet"/>
      </w:pPr>
      <w:r>
        <w:t>La razón social puede seguir siendo Sosa Díaz; la marca funciona como front comercial independiente.</w:t>
      </w:r>
    </w:p>
    <w:p>
      <w:r>
        <w:t>En la conversación previa el concepto ya se había definido como “Tech Rental B2B para eventos”: precio visible, disponibilidad real, reserva/pago rápido y catálogo ampliable. Ese concepto se mantiene; el naming definitivo debe resolverse en un sprint corto antes del desarrollo visual.</w:t>
      </w:r>
    </w:p>
    <w:p>
      <w:pPr>
        <w:pStyle w:val="Heading1"/>
      </w:pPr>
      <w:r>
        <w:t>4. Modelo de negocio</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E8EEF7"/>
          </w:tcPr>
          <w:p>
            <w:r/>
            <w:r>
              <w:rPr>
                <w:rFonts w:ascii="Aptos" w:hAnsi="Aptos"/>
                <w:b/>
                <w:sz w:val="16"/>
              </w:rPr>
              <w:t>Componente</w:t>
            </w:r>
          </w:p>
        </w:tc>
        <w:tc>
          <w:tcPr>
            <w:tcW w:type="dxa" w:w="7632"/>
            <w:vAlign w:val="center"/>
            <w:shd w:fill="E8EEF7"/>
          </w:tcPr>
          <w:p>
            <w:r/>
            <w:r>
              <w:rPr>
                <w:rFonts w:ascii="Aptos" w:hAnsi="Aptos"/>
                <w:b/>
                <w:sz w:val="16"/>
              </w:rPr>
              <w:t>Diseño inicial</w:t>
            </w:r>
          </w:p>
        </w:tc>
      </w:tr>
      <w:tr>
        <w:tc>
          <w:tcPr>
            <w:tcW w:type="dxa" w:w="2160"/>
            <w:vAlign w:val="center"/>
          </w:tcPr>
          <w:p>
            <w:r/>
            <w:r>
              <w:rPr>
                <w:rFonts w:ascii="Aptos" w:hAnsi="Aptos"/>
                <w:b w:val="0"/>
                <w:sz w:val="16"/>
              </w:rPr>
              <w:t>Cliente principal</w:t>
            </w:r>
          </w:p>
        </w:tc>
        <w:tc>
          <w:tcPr>
            <w:tcW w:type="dxa" w:w="7632"/>
            <w:vAlign w:val="center"/>
          </w:tcPr>
          <w:p>
            <w:r/>
            <w:r>
              <w:rPr>
                <w:rFonts w:ascii="Aptos" w:hAnsi="Aptos"/>
                <w:b w:val="0"/>
                <w:sz w:val="16"/>
              </w:rPr>
              <w:t>Agencias BTL, productoras, departamentos de marketing/innovación, organizadores de congresos, universidades y empresas.</w:t>
            </w:r>
          </w:p>
        </w:tc>
      </w:tr>
      <w:tr>
        <w:tc>
          <w:tcPr>
            <w:tcW w:type="dxa" w:w="2160"/>
            <w:vAlign w:val="center"/>
          </w:tcPr>
          <w:p>
            <w:r/>
            <w:r>
              <w:rPr>
                <w:rFonts w:ascii="Aptos" w:hAnsi="Aptos"/>
                <w:b w:val="0"/>
                <w:sz w:val="16"/>
              </w:rPr>
              <w:t>Cliente secundario</w:t>
            </w:r>
          </w:p>
        </w:tc>
        <w:tc>
          <w:tcPr>
            <w:tcW w:type="dxa" w:w="7632"/>
            <w:vAlign w:val="center"/>
          </w:tcPr>
          <w:p>
            <w:r/>
            <w:r>
              <w:rPr>
                <w:rFonts w:ascii="Aptos" w:hAnsi="Aptos"/>
                <w:b w:val="0"/>
                <w:sz w:val="16"/>
              </w:rPr>
              <w:t>Eventos privados/público general cuando el ticket y el riesgo operativo lo justifiquen.</w:t>
            </w:r>
          </w:p>
        </w:tc>
      </w:tr>
      <w:tr>
        <w:tc>
          <w:tcPr>
            <w:tcW w:type="dxa" w:w="2160"/>
            <w:vAlign w:val="center"/>
          </w:tcPr>
          <w:p>
            <w:r/>
            <w:r>
              <w:rPr>
                <w:rFonts w:ascii="Aptos" w:hAnsi="Aptos"/>
                <w:b w:val="0"/>
                <w:sz w:val="16"/>
              </w:rPr>
              <w:t>Unidad de venta</w:t>
            </w:r>
          </w:p>
        </w:tc>
        <w:tc>
          <w:tcPr>
            <w:tcW w:type="dxa" w:w="7632"/>
            <w:vAlign w:val="center"/>
          </w:tcPr>
          <w:p>
            <w:r/>
            <w:r>
              <w:rPr>
                <w:rFonts w:ascii="Aptos" w:hAnsi="Aptos"/>
                <w:b w:val="0"/>
                <w:sz w:val="16"/>
              </w:rPr>
              <w:t>Equipo + jornada/horas + técnico + logística + configuración/contenido.</w:t>
            </w:r>
          </w:p>
        </w:tc>
      </w:tr>
      <w:tr>
        <w:tc>
          <w:tcPr>
            <w:tcW w:type="dxa" w:w="2160"/>
            <w:vAlign w:val="center"/>
          </w:tcPr>
          <w:p>
            <w:r/>
            <w:r>
              <w:rPr>
                <w:rFonts w:ascii="Aptos" w:hAnsi="Aptos"/>
                <w:b w:val="0"/>
                <w:sz w:val="16"/>
              </w:rPr>
              <w:t>Modelo operativo</w:t>
            </w:r>
          </w:p>
        </w:tc>
        <w:tc>
          <w:tcPr>
            <w:tcW w:type="dxa" w:w="7632"/>
            <w:vAlign w:val="center"/>
          </w:tcPr>
          <w:p>
            <w:r/>
            <w:r>
              <w:rPr>
                <w:rFonts w:ascii="Aptos" w:hAnsi="Aptos"/>
                <w:b w:val="0"/>
                <w:sz w:val="16"/>
              </w:rPr>
              <w:t>Alquiler operado. No entregar visores sin experto en el MVP.</w:t>
            </w:r>
          </w:p>
        </w:tc>
      </w:tr>
      <w:tr>
        <w:tc>
          <w:tcPr>
            <w:tcW w:type="dxa" w:w="2160"/>
            <w:vAlign w:val="center"/>
          </w:tcPr>
          <w:p>
            <w:r/>
            <w:r>
              <w:rPr>
                <w:rFonts w:ascii="Aptos" w:hAnsi="Aptos"/>
                <w:b w:val="0"/>
                <w:sz w:val="16"/>
              </w:rPr>
              <w:t>Cobro</w:t>
            </w:r>
          </w:p>
        </w:tc>
        <w:tc>
          <w:tcPr>
            <w:tcW w:type="dxa" w:w="7632"/>
            <w:vAlign w:val="center"/>
          </w:tcPr>
          <w:p>
            <w:r/>
            <w:r>
              <w:rPr>
                <w:rFonts w:ascii="Aptos" w:hAnsi="Aptos"/>
                <w:b w:val="0"/>
                <w:sz w:val="16"/>
              </w:rPr>
              <w:t>Anticipo para bloquear fecha + saldo previo/al cierre según cliente. Pago online para tickets estandarizados.</w:t>
            </w:r>
          </w:p>
        </w:tc>
      </w:tr>
      <w:tr>
        <w:tc>
          <w:tcPr>
            <w:tcW w:type="dxa" w:w="2160"/>
            <w:vAlign w:val="center"/>
          </w:tcPr>
          <w:p>
            <w:r/>
            <w:r>
              <w:rPr>
                <w:rFonts w:ascii="Aptos" w:hAnsi="Aptos"/>
                <w:b w:val="0"/>
                <w:sz w:val="16"/>
              </w:rPr>
              <w:t>Upsells</w:t>
            </w:r>
          </w:p>
        </w:tc>
        <w:tc>
          <w:tcPr>
            <w:tcW w:type="dxa" w:w="7632"/>
            <w:vAlign w:val="center"/>
          </w:tcPr>
          <w:p>
            <w:r/>
            <w:r>
              <w:rPr>
                <w:rFonts w:ascii="Aptos" w:hAnsi="Aptos"/>
                <w:b w:val="0"/>
                <w:sz w:val="16"/>
              </w:rPr>
              <w:t>Técnico adicional, contenido 360, juegos/experiencias, personalización gráfica, internet dedicado, producción, horas extra.</w:t>
            </w:r>
          </w:p>
        </w:tc>
      </w:tr>
      <w:tr>
        <w:tc>
          <w:tcPr>
            <w:tcW w:type="dxa" w:w="2160"/>
            <w:vAlign w:val="center"/>
          </w:tcPr>
          <w:p>
            <w:r/>
            <w:r>
              <w:rPr>
                <w:rFonts w:ascii="Aptos" w:hAnsi="Aptos"/>
                <w:b w:val="0"/>
                <w:sz w:val="16"/>
              </w:rPr>
              <w:t>Expansión</w:t>
            </w:r>
          </w:p>
        </w:tc>
        <w:tc>
          <w:tcPr>
            <w:tcW w:type="dxa" w:w="7632"/>
            <w:vAlign w:val="center"/>
          </w:tcPr>
          <w:p>
            <w:r/>
            <w:r>
              <w:rPr>
                <w:rFonts w:ascii="Aptos" w:hAnsi="Aptos"/>
                <w:b w:val="0"/>
                <w:sz w:val="16"/>
              </w:rPr>
              <w:t>Agregar categorías solo cuando exista demanda demostrada o posibilidad de subalquiler rentable antes de comprar activo.</w:t>
            </w:r>
          </w:p>
        </w:tc>
      </w:tr>
    </w:tbl>
    <w:p/>
    <w:p>
      <w:pPr>
        <w:pStyle w:val="Heading1"/>
      </w:pPr>
      <w:r>
        <w:t>5. Arquitectura de producto y pricing</w:t>
      </w:r>
    </w:p>
    <w:p>
      <w:r>
        <w:t>El sitio debe vender resultados y paquetes, no una lista técnica infinita. Durante validación conviene publicar precios “desde” y permitir que el cotizador ajuste cantidad, fecha, duración y extras.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E8EEF7"/>
          </w:tcPr>
          <w:p>
            <w:r/>
            <w:r>
              <w:rPr>
                <w:rFonts w:ascii="Aptos" w:hAnsi="Aptos"/>
                <w:b/>
                <w:sz w:val="16"/>
              </w:rPr>
              <w:t>Oferta</w:t>
            </w:r>
          </w:p>
        </w:tc>
        <w:tc>
          <w:tcPr>
            <w:tcW w:type="dxa" w:w="2592"/>
            <w:vAlign w:val="center"/>
            <w:shd w:fill="E8EEF7"/>
          </w:tcPr>
          <w:p>
            <w:r/>
            <w:r>
              <w:rPr>
                <w:rFonts w:ascii="Aptos" w:hAnsi="Aptos"/>
                <w:b/>
                <w:sz w:val="16"/>
              </w:rPr>
              <w:t>Uso</w:t>
            </w:r>
          </w:p>
        </w:tc>
        <w:tc>
          <w:tcPr>
            <w:tcW w:type="dxa" w:w="2592"/>
            <w:vAlign w:val="center"/>
            <w:shd w:fill="E8EEF7"/>
          </w:tcPr>
          <w:p>
            <w:r/>
            <w:r>
              <w:rPr>
                <w:rFonts w:ascii="Aptos" w:hAnsi="Aptos"/>
                <w:b/>
                <w:sz w:val="16"/>
              </w:rPr>
              <w:t>Precio de prueba recomendado*</w:t>
            </w:r>
          </w:p>
        </w:tc>
        <w:tc>
          <w:tcPr>
            <w:tcW w:type="dxa" w:w="2880"/>
            <w:vAlign w:val="center"/>
            <w:shd w:fill="E8EEF7"/>
          </w:tcPr>
          <w:p>
            <w:r/>
            <w:r>
              <w:rPr>
                <w:rFonts w:ascii="Aptos" w:hAnsi="Aptos"/>
                <w:b/>
                <w:sz w:val="16"/>
              </w:rPr>
              <w:t>Objetivo</w:t>
            </w:r>
          </w:p>
        </w:tc>
      </w:tr>
      <w:tr>
        <w:tc>
          <w:tcPr>
            <w:tcW w:type="dxa" w:w="1800"/>
            <w:vAlign w:val="center"/>
          </w:tcPr>
          <w:p>
            <w:r/>
            <w:r>
              <w:rPr>
                <w:rFonts w:ascii="Aptos" w:hAnsi="Aptos"/>
                <w:b w:val="0"/>
                <w:sz w:val="16"/>
              </w:rPr>
              <w:t>Quest 2 Essential</w:t>
            </w:r>
          </w:p>
        </w:tc>
        <w:tc>
          <w:tcPr>
            <w:tcW w:type="dxa" w:w="2592"/>
            <w:vAlign w:val="center"/>
          </w:tcPr>
          <w:p>
            <w:r/>
            <w:r>
              <w:rPr>
                <w:rFonts w:ascii="Aptos" w:hAnsi="Aptos"/>
                <w:b w:val="0"/>
                <w:sz w:val="16"/>
              </w:rPr>
              <w:t>Video 360, capacitaciones, alto volumen</w:t>
            </w:r>
          </w:p>
        </w:tc>
        <w:tc>
          <w:tcPr>
            <w:tcW w:type="dxa" w:w="2592"/>
            <w:vAlign w:val="center"/>
          </w:tcPr>
          <w:p>
            <w:r/>
            <w:r>
              <w:rPr>
                <w:rFonts w:ascii="Aptos" w:hAnsi="Aptos"/>
                <w:b w:val="0"/>
                <w:sz w:val="16"/>
              </w:rPr>
              <w:t>Desde COP 150–190k / visor / jornada</w:t>
            </w:r>
          </w:p>
        </w:tc>
        <w:tc>
          <w:tcPr>
            <w:tcW w:type="dxa" w:w="2880"/>
            <w:vAlign w:val="center"/>
          </w:tcPr>
          <w:p>
            <w:r/>
            <w:r>
              <w:rPr>
                <w:rFonts w:ascii="Aptos" w:hAnsi="Aptos"/>
                <w:b w:val="0"/>
                <w:sz w:val="16"/>
              </w:rPr>
              <w:t>Entrada competitiva y utilización del inventario.</w:t>
            </w:r>
          </w:p>
        </w:tc>
      </w:tr>
      <w:tr>
        <w:tc>
          <w:tcPr>
            <w:tcW w:type="dxa" w:w="1800"/>
            <w:vAlign w:val="center"/>
          </w:tcPr>
          <w:p>
            <w:r/>
            <w:r>
              <w:rPr>
                <w:rFonts w:ascii="Aptos" w:hAnsi="Aptos"/>
                <w:b w:val="0"/>
                <w:sz w:val="16"/>
              </w:rPr>
              <w:t>Quest 3 Event</w:t>
            </w:r>
          </w:p>
        </w:tc>
        <w:tc>
          <w:tcPr>
            <w:tcW w:type="dxa" w:w="2592"/>
            <w:vAlign w:val="center"/>
          </w:tcPr>
          <w:p>
            <w:r/>
            <w:r>
              <w:rPr>
                <w:rFonts w:ascii="Aptos" w:hAnsi="Aptos"/>
                <w:b w:val="0"/>
                <w:sz w:val="16"/>
              </w:rPr>
              <w:t>Eventos corporativos y experiencias premium</w:t>
            </w:r>
          </w:p>
        </w:tc>
        <w:tc>
          <w:tcPr>
            <w:tcW w:type="dxa" w:w="2592"/>
            <w:vAlign w:val="center"/>
          </w:tcPr>
          <w:p>
            <w:r/>
            <w:r>
              <w:rPr>
                <w:rFonts w:ascii="Aptos" w:hAnsi="Aptos"/>
                <w:b w:val="0"/>
                <w:sz w:val="16"/>
              </w:rPr>
              <w:t>Desde COP 250–325k / visor / jornada</w:t>
            </w:r>
          </w:p>
        </w:tc>
        <w:tc>
          <w:tcPr>
            <w:tcW w:type="dxa" w:w="2880"/>
            <w:vAlign w:val="center"/>
          </w:tcPr>
          <w:p>
            <w:r/>
            <w:r>
              <w:rPr>
                <w:rFonts w:ascii="Aptos" w:hAnsi="Aptos"/>
                <w:b w:val="0"/>
                <w:sz w:val="16"/>
              </w:rPr>
              <w:t>Producto principal.</w:t>
            </w:r>
          </w:p>
        </w:tc>
      </w:tr>
      <w:tr>
        <w:tc>
          <w:tcPr>
            <w:tcW w:type="dxa" w:w="1800"/>
            <w:vAlign w:val="center"/>
          </w:tcPr>
          <w:p>
            <w:r/>
            <w:r>
              <w:rPr>
                <w:rFonts w:ascii="Aptos" w:hAnsi="Aptos"/>
                <w:b w:val="0"/>
                <w:sz w:val="16"/>
              </w:rPr>
              <w:t>VR Event Pack</w:t>
            </w:r>
          </w:p>
        </w:tc>
        <w:tc>
          <w:tcPr>
            <w:tcW w:type="dxa" w:w="2592"/>
            <w:vAlign w:val="center"/>
          </w:tcPr>
          <w:p>
            <w:r/>
            <w:r>
              <w:rPr>
                <w:rFonts w:ascii="Aptos" w:hAnsi="Aptos"/>
                <w:b w:val="0"/>
                <w:sz w:val="16"/>
              </w:rPr>
              <w:t>5–10 Quest + técnico + setup</w:t>
            </w:r>
          </w:p>
        </w:tc>
        <w:tc>
          <w:tcPr>
            <w:tcW w:type="dxa" w:w="2592"/>
            <w:vAlign w:val="center"/>
          </w:tcPr>
          <w:p>
            <w:r/>
            <w:r>
              <w:rPr>
                <w:rFonts w:ascii="Aptos" w:hAnsi="Aptos"/>
                <w:b w:val="0"/>
                <w:sz w:val="16"/>
              </w:rPr>
              <w:t>Cotización instantánea por variables</w:t>
            </w:r>
          </w:p>
        </w:tc>
        <w:tc>
          <w:tcPr>
            <w:tcW w:type="dxa" w:w="2880"/>
            <w:vAlign w:val="center"/>
          </w:tcPr>
          <w:p>
            <w:r/>
            <w:r>
              <w:rPr>
                <w:rFonts w:ascii="Aptos" w:hAnsi="Aptos"/>
                <w:b w:val="0"/>
                <w:sz w:val="16"/>
              </w:rPr>
              <w:t>Simplificar compra B2B.</w:t>
            </w:r>
          </w:p>
        </w:tc>
      </w:tr>
      <w:tr>
        <w:tc>
          <w:tcPr>
            <w:tcW w:type="dxa" w:w="1800"/>
            <w:vAlign w:val="center"/>
          </w:tcPr>
          <w:p>
            <w:r/>
            <w:r>
              <w:rPr>
                <w:rFonts w:ascii="Aptos" w:hAnsi="Aptos"/>
                <w:b w:val="0"/>
                <w:sz w:val="16"/>
              </w:rPr>
              <w:t>VR Full Experience</w:t>
            </w:r>
          </w:p>
        </w:tc>
        <w:tc>
          <w:tcPr>
            <w:tcW w:type="dxa" w:w="2592"/>
            <w:vAlign w:val="center"/>
          </w:tcPr>
          <w:p>
            <w:r/>
            <w:r>
              <w:rPr>
                <w:rFonts w:ascii="Aptos" w:hAnsi="Aptos"/>
                <w:b w:val="0"/>
                <w:sz w:val="16"/>
              </w:rPr>
              <w:t>Quest + contenido + producción + técnicos</w:t>
            </w:r>
          </w:p>
        </w:tc>
        <w:tc>
          <w:tcPr>
            <w:tcW w:type="dxa" w:w="2592"/>
            <w:vAlign w:val="center"/>
          </w:tcPr>
          <w:p>
            <w:r/>
            <w:r>
              <w:rPr>
                <w:rFonts w:ascii="Aptos" w:hAnsi="Aptos"/>
                <w:b w:val="0"/>
                <w:sz w:val="16"/>
              </w:rPr>
              <w:t>A medida, ticket alto</w:t>
            </w:r>
          </w:p>
        </w:tc>
        <w:tc>
          <w:tcPr>
            <w:tcW w:type="dxa" w:w="2880"/>
            <w:vAlign w:val="center"/>
          </w:tcPr>
          <w:p>
            <w:r/>
            <w:r>
              <w:rPr>
                <w:rFonts w:ascii="Aptos" w:hAnsi="Aptos"/>
                <w:b w:val="0"/>
                <w:sz w:val="16"/>
              </w:rPr>
              <w:t>Competir por solución, no por hardware.</w:t>
            </w:r>
          </w:p>
        </w:tc>
      </w:tr>
    </w:tbl>
    <w:p/>
    <w:p>
      <w:r>
        <w:t>*Rangos de lanzamiento para test A/B, no tarifa definitiva. Deben recalibrarse con las cotizaciones restantes, tasa de cierre y costos reales. El benchmark actual muestra desde ~COP 120k/día para Quest 2 básico hasta COP 325k por Quest 3 en una propuesta de 4 horas antes de otros componentes.</w:t>
      </w:r>
    </w:p>
    <w:p>
      <w:pPr>
        <w:pStyle w:val="Heading1"/>
      </w:pPr>
      <w:r>
        <w:t>6. Unit economics y reglas financieras</w:t>
      </w:r>
    </w:p>
    <w:p>
      <w:r>
        <w:t>La métrica central será ingreso por visor disponible y por día de evento, acompañada de margen de contribución por reserva. No debe optimizarse únicamente ocupación: un evento barato puede bloquear inventario y personal que podría venderse mejor.</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E8EEF7"/>
          </w:tcPr>
          <w:p>
            <w:r/>
            <w:r>
              <w:rPr>
                <w:rFonts w:ascii="Aptos" w:hAnsi="Aptos"/>
                <w:b/>
                <w:sz w:val="16"/>
              </w:rPr>
              <w:t>Métrica</w:t>
            </w:r>
          </w:p>
        </w:tc>
        <w:tc>
          <w:tcPr>
            <w:tcW w:type="dxa" w:w="4896"/>
            <w:vAlign w:val="center"/>
            <w:shd w:fill="E8EEF7"/>
          </w:tcPr>
          <w:p>
            <w:r/>
            <w:r>
              <w:rPr>
                <w:rFonts w:ascii="Aptos" w:hAnsi="Aptos"/>
                <w:b/>
                <w:sz w:val="16"/>
              </w:rPr>
              <w:t>Fórmula / regla</w:t>
            </w:r>
          </w:p>
        </w:tc>
        <w:tc>
          <w:tcPr>
            <w:tcW w:type="dxa" w:w="3168"/>
            <w:vAlign w:val="center"/>
            <w:shd w:fill="E8EEF7"/>
          </w:tcPr>
          <w:p>
            <w:r/>
            <w:r>
              <w:rPr>
                <w:rFonts w:ascii="Aptos" w:hAnsi="Aptos"/>
                <w:b/>
                <w:sz w:val="16"/>
              </w:rPr>
              <w:t>Meta inicial</w:t>
            </w:r>
          </w:p>
        </w:tc>
      </w:tr>
      <w:tr>
        <w:tc>
          <w:tcPr>
            <w:tcW w:type="dxa" w:w="1872"/>
            <w:vAlign w:val="center"/>
          </w:tcPr>
          <w:p>
            <w:r/>
            <w:r>
              <w:rPr>
                <w:rFonts w:ascii="Aptos" w:hAnsi="Aptos"/>
                <w:b w:val="0"/>
                <w:sz w:val="16"/>
              </w:rPr>
              <w:t>AOV</w:t>
            </w:r>
          </w:p>
        </w:tc>
        <w:tc>
          <w:tcPr>
            <w:tcW w:type="dxa" w:w="4896"/>
            <w:vAlign w:val="center"/>
          </w:tcPr>
          <w:p>
            <w:r/>
            <w:r>
              <w:rPr>
                <w:rFonts w:ascii="Aptos" w:hAnsi="Aptos"/>
                <w:b w:val="0"/>
                <w:sz w:val="16"/>
              </w:rPr>
              <w:t>Ingresos de la reserva / reservas</w:t>
            </w:r>
          </w:p>
        </w:tc>
        <w:tc>
          <w:tcPr>
            <w:tcW w:type="dxa" w:w="3168"/>
            <w:vAlign w:val="center"/>
          </w:tcPr>
          <w:p>
            <w:r/>
            <w:r>
              <w:rPr>
                <w:rFonts w:ascii="Aptos" w:hAnsi="Aptos"/>
                <w:b w:val="0"/>
                <w:sz w:val="16"/>
              </w:rPr>
              <w:t>COP 2,5 M+ en B2B; observar por segmento.</w:t>
            </w:r>
          </w:p>
        </w:tc>
      </w:tr>
      <w:tr>
        <w:tc>
          <w:tcPr>
            <w:tcW w:type="dxa" w:w="1872"/>
            <w:vAlign w:val="center"/>
          </w:tcPr>
          <w:p>
            <w:r/>
            <w:r>
              <w:rPr>
                <w:rFonts w:ascii="Aptos" w:hAnsi="Aptos"/>
                <w:b w:val="0"/>
                <w:sz w:val="16"/>
              </w:rPr>
              <w:t>Margen contribución</w:t>
            </w:r>
          </w:p>
        </w:tc>
        <w:tc>
          <w:tcPr>
            <w:tcW w:type="dxa" w:w="4896"/>
            <w:vAlign w:val="center"/>
          </w:tcPr>
          <w:p>
            <w:r/>
            <w:r>
              <w:rPr>
                <w:rFonts w:ascii="Aptos" w:hAnsi="Aptos"/>
                <w:b w:val="0"/>
                <w:sz w:val="16"/>
              </w:rPr>
              <w:t>Venta - técnico - transporte - contenido/licencias - pasarela - consumibles - comisión comercial</w:t>
            </w:r>
          </w:p>
        </w:tc>
        <w:tc>
          <w:tcPr>
            <w:tcW w:type="dxa" w:w="3168"/>
            <w:vAlign w:val="center"/>
          </w:tcPr>
          <w:p>
            <w:r/>
            <w:r>
              <w:rPr>
                <w:rFonts w:ascii="Aptos" w:hAnsi="Aptos"/>
                <w:b w:val="0"/>
                <w:sz w:val="16"/>
              </w:rPr>
              <w:t>≥55% antes de overhead, como gate inicial.</w:t>
            </w:r>
          </w:p>
        </w:tc>
      </w:tr>
      <w:tr>
        <w:tc>
          <w:tcPr>
            <w:tcW w:type="dxa" w:w="1872"/>
            <w:vAlign w:val="center"/>
          </w:tcPr>
          <w:p>
            <w:r/>
            <w:r>
              <w:rPr>
                <w:rFonts w:ascii="Aptos" w:hAnsi="Aptos"/>
                <w:b w:val="0"/>
                <w:sz w:val="16"/>
              </w:rPr>
              <w:t>CAC pagado</w:t>
            </w:r>
          </w:p>
        </w:tc>
        <w:tc>
          <w:tcPr>
            <w:tcW w:type="dxa" w:w="4896"/>
            <w:vAlign w:val="center"/>
          </w:tcPr>
          <w:p>
            <w:r/>
            <w:r>
              <w:rPr>
                <w:rFonts w:ascii="Aptos" w:hAnsi="Aptos"/>
                <w:b w:val="0"/>
                <w:sz w:val="16"/>
              </w:rPr>
              <w:t>Pauta atribuida / clientes nuevos pagados</w:t>
            </w:r>
          </w:p>
        </w:tc>
        <w:tc>
          <w:tcPr>
            <w:tcW w:type="dxa" w:w="3168"/>
            <w:vAlign w:val="center"/>
          </w:tcPr>
          <w:p>
            <w:r/>
            <w:r>
              <w:rPr>
                <w:rFonts w:ascii="Aptos" w:hAnsi="Aptos"/>
                <w:b w:val="0"/>
                <w:sz w:val="16"/>
              </w:rPr>
              <w:t>≤15% del margen de contribución esperado del primer pedido; flexibilizar si hay recurrencia.</w:t>
            </w:r>
          </w:p>
        </w:tc>
      </w:tr>
      <w:tr>
        <w:tc>
          <w:tcPr>
            <w:tcW w:type="dxa" w:w="1872"/>
            <w:vAlign w:val="center"/>
          </w:tcPr>
          <w:p>
            <w:r/>
            <w:r>
              <w:rPr>
                <w:rFonts w:ascii="Aptos" w:hAnsi="Aptos"/>
                <w:b w:val="0"/>
                <w:sz w:val="16"/>
              </w:rPr>
              <w:t>Utilización Quest 3</w:t>
            </w:r>
          </w:p>
        </w:tc>
        <w:tc>
          <w:tcPr>
            <w:tcW w:type="dxa" w:w="4896"/>
            <w:vAlign w:val="center"/>
          </w:tcPr>
          <w:p>
            <w:r/>
            <w:r>
              <w:rPr>
                <w:rFonts w:ascii="Aptos" w:hAnsi="Aptos"/>
                <w:b w:val="0"/>
                <w:sz w:val="16"/>
              </w:rPr>
              <w:t>Días-equipo alquilados / días-equipo disponibles</w:t>
            </w:r>
          </w:p>
        </w:tc>
        <w:tc>
          <w:tcPr>
            <w:tcW w:type="dxa" w:w="3168"/>
            <w:vAlign w:val="center"/>
          </w:tcPr>
          <w:p>
            <w:r/>
            <w:r>
              <w:rPr>
                <w:rFonts w:ascii="Aptos" w:hAnsi="Aptos"/>
                <w:b w:val="0"/>
                <w:sz w:val="16"/>
              </w:rPr>
              <w:t>Gate de expansión: &gt;25–30% sostenido en ventanas de demanda.</w:t>
            </w:r>
          </w:p>
        </w:tc>
      </w:tr>
      <w:tr>
        <w:tc>
          <w:tcPr>
            <w:tcW w:type="dxa" w:w="1872"/>
            <w:vAlign w:val="center"/>
          </w:tcPr>
          <w:p>
            <w:r/>
            <w:r>
              <w:rPr>
                <w:rFonts w:ascii="Aptos" w:hAnsi="Aptos"/>
                <w:b w:val="0"/>
                <w:sz w:val="16"/>
              </w:rPr>
              <w:t>Lead→cotización</w:t>
            </w:r>
          </w:p>
        </w:tc>
        <w:tc>
          <w:tcPr>
            <w:tcW w:type="dxa" w:w="4896"/>
            <w:vAlign w:val="center"/>
          </w:tcPr>
          <w:p>
            <w:r/>
            <w:r>
              <w:rPr>
                <w:rFonts w:ascii="Aptos" w:hAnsi="Aptos"/>
                <w:b w:val="0"/>
                <w:sz w:val="16"/>
              </w:rPr>
              <w:t>Cotizaciones / leads válidos</w:t>
            </w:r>
          </w:p>
        </w:tc>
        <w:tc>
          <w:tcPr>
            <w:tcW w:type="dxa" w:w="3168"/>
            <w:vAlign w:val="center"/>
          </w:tcPr>
          <w:p>
            <w:r/>
            <w:r>
              <w:rPr>
                <w:rFonts w:ascii="Aptos" w:hAnsi="Aptos"/>
                <w:b w:val="0"/>
                <w:sz w:val="16"/>
              </w:rPr>
              <w:t>&gt;60% con formulario calificado.</w:t>
            </w:r>
          </w:p>
        </w:tc>
      </w:tr>
      <w:tr>
        <w:tc>
          <w:tcPr>
            <w:tcW w:type="dxa" w:w="1872"/>
            <w:vAlign w:val="center"/>
          </w:tcPr>
          <w:p>
            <w:r/>
            <w:r>
              <w:rPr>
                <w:rFonts w:ascii="Aptos" w:hAnsi="Aptos"/>
                <w:b w:val="0"/>
                <w:sz w:val="16"/>
              </w:rPr>
              <w:t>Cotización→reserva</w:t>
            </w:r>
          </w:p>
        </w:tc>
        <w:tc>
          <w:tcPr>
            <w:tcW w:type="dxa" w:w="4896"/>
            <w:vAlign w:val="center"/>
          </w:tcPr>
          <w:p>
            <w:r/>
            <w:r>
              <w:rPr>
                <w:rFonts w:ascii="Aptos" w:hAnsi="Aptos"/>
                <w:b w:val="0"/>
                <w:sz w:val="16"/>
              </w:rPr>
              <w:t>Reservas / cotizaciones</w:t>
            </w:r>
          </w:p>
        </w:tc>
        <w:tc>
          <w:tcPr>
            <w:tcW w:type="dxa" w:w="3168"/>
            <w:vAlign w:val="center"/>
          </w:tcPr>
          <w:p>
            <w:r/>
            <w:r>
              <w:rPr>
                <w:rFonts w:ascii="Aptos" w:hAnsi="Aptos"/>
                <w:b w:val="0"/>
                <w:sz w:val="16"/>
              </w:rPr>
              <w:t>Meta exploratoria 15–25%; ajustar tras 30+ oportunidades.</w:t>
            </w:r>
          </w:p>
        </w:tc>
      </w:tr>
      <w:tr>
        <w:tc>
          <w:tcPr>
            <w:tcW w:type="dxa" w:w="1872"/>
            <w:vAlign w:val="center"/>
          </w:tcPr>
          <w:p>
            <w:r/>
            <w:r>
              <w:rPr>
                <w:rFonts w:ascii="Aptos" w:hAnsi="Aptos"/>
                <w:b w:val="0"/>
                <w:sz w:val="16"/>
              </w:rPr>
              <w:t>Tiempo de respuesta</w:t>
            </w:r>
          </w:p>
        </w:tc>
        <w:tc>
          <w:tcPr>
            <w:tcW w:type="dxa" w:w="4896"/>
            <w:vAlign w:val="center"/>
          </w:tcPr>
          <w:p>
            <w:r/>
            <w:r>
              <w:rPr>
                <w:rFonts w:ascii="Aptos" w:hAnsi="Aptos"/>
                <w:b w:val="0"/>
                <w:sz w:val="16"/>
              </w:rPr>
              <w:t>Lead a primera respuesta</w:t>
            </w:r>
          </w:p>
        </w:tc>
        <w:tc>
          <w:tcPr>
            <w:tcW w:type="dxa" w:w="3168"/>
            <w:vAlign w:val="center"/>
          </w:tcPr>
          <w:p>
            <w:r/>
            <w:r>
              <w:rPr>
                <w:rFonts w:ascii="Aptos" w:hAnsi="Aptos"/>
                <w:b w:val="0"/>
                <w:sz w:val="16"/>
              </w:rPr>
              <w:t>&lt;2 minutos automatizado; excepción humana &lt;2 h hábiles.</w:t>
            </w:r>
          </w:p>
        </w:tc>
      </w:tr>
      <w:tr>
        <w:tc>
          <w:tcPr>
            <w:tcW w:type="dxa" w:w="1872"/>
            <w:vAlign w:val="center"/>
          </w:tcPr>
          <w:p>
            <w:r/>
            <w:r>
              <w:rPr>
                <w:rFonts w:ascii="Aptos" w:hAnsi="Aptos"/>
                <w:b w:val="0"/>
                <w:sz w:val="16"/>
              </w:rPr>
              <w:t>Recompra B2B</w:t>
            </w:r>
          </w:p>
        </w:tc>
        <w:tc>
          <w:tcPr>
            <w:tcW w:type="dxa" w:w="4896"/>
            <w:vAlign w:val="center"/>
          </w:tcPr>
          <w:p>
            <w:r/>
            <w:r>
              <w:rPr>
                <w:rFonts w:ascii="Aptos" w:hAnsi="Aptos"/>
                <w:b w:val="0"/>
                <w:sz w:val="16"/>
              </w:rPr>
              <w:t>Clientes con segunda reserva / clientes B2B</w:t>
            </w:r>
          </w:p>
        </w:tc>
        <w:tc>
          <w:tcPr>
            <w:tcW w:type="dxa" w:w="3168"/>
            <w:vAlign w:val="center"/>
          </w:tcPr>
          <w:p>
            <w:r/>
            <w:r>
              <w:rPr>
                <w:rFonts w:ascii="Aptos" w:hAnsi="Aptos"/>
                <w:b w:val="0"/>
                <w:sz w:val="16"/>
              </w:rPr>
              <w:t>Objetivo &gt;20% a 6 meses.</w:t>
            </w:r>
          </w:p>
        </w:tc>
      </w:tr>
    </w:tbl>
    <w:p/>
    <w:p>
      <w:r>
        <w:t>Ejemplo de escala: 10 Quest 3 a COP 325.000 generan COP 3,25 M de ingreso de hardware por evento. Dos eventos/mes equivalen a COP 6,5 M; cuatro a COP 13 M; seis a COP 19,5 M, antes de técnicos, logística y extras. Estos escenarios no son proyecciones de ventas: sirven para dimensionar la sensibilidad del inventario existente.</w:t>
      </w:r>
    </w:p>
    <w:p>
      <w:pPr>
        <w:pStyle w:val="Heading1"/>
      </w:pPr>
      <w:r>
        <w:t>7. Funnel digital y experiencia de compra</w:t>
      </w:r>
    </w:p>
    <w:p>
      <w:pPr>
        <w:pStyle w:val="ListNumber"/>
      </w:pPr>
      <w:r>
        <w:t>Landing SEO/Ads específica según intención: VR, Quest 3, Quest 2, tecnología para eventos.</w:t>
      </w:r>
    </w:p>
    <w:p>
      <w:pPr>
        <w:pStyle w:val="ListNumber"/>
      </w:pPr>
      <w:r>
        <w:t>CTA primario: “Cotizar y verificar fecha”. CTA secundario: WhatsApp.</w:t>
      </w:r>
    </w:p>
    <w:p>
      <w:pPr>
        <w:pStyle w:val="ListNumber"/>
      </w:pPr>
      <w:r>
        <w:t>Cotizador pregunta: ciudad, fecha, horario, cantidad, tipo de equipo, asistentes, contenido, técnico y lugar.</w:t>
      </w:r>
    </w:p>
    <w:p>
      <w:pPr>
        <w:pStyle w:val="ListNumber"/>
      </w:pPr>
      <w:r>
        <w:t>Motor consulta inventario y reglas de buffer; devuelve rango/precio cuando el caso es estándar.</w:t>
      </w:r>
    </w:p>
    <w:p>
      <w:pPr>
        <w:pStyle w:val="ListNumber"/>
      </w:pPr>
      <w:r>
        <w:t>Lead queda en CRM con fuente, GCLID/UTM, valor estimado y estado.</w:t>
      </w:r>
    </w:p>
    <w:p>
      <w:pPr>
        <w:pStyle w:val="ListNumber"/>
      </w:pPr>
      <w:r>
        <w:t>IA responde FAQ, solicita datos faltantes y ofrece alternativas si la fecha/cantidad no está disponible.</w:t>
      </w:r>
    </w:p>
    <w:p>
      <w:pPr>
        <w:pStyle w:val="ListNumber"/>
      </w:pPr>
      <w:r>
        <w:t>Cliente acepta y paga anticipo por Wompi; el pago cambia automáticamente el estado a reservado.</w:t>
      </w:r>
    </w:p>
    <w:p>
      <w:pPr>
        <w:pStyle w:val="ListNumber"/>
      </w:pPr>
      <w:r>
        <w:t>Sistema bloquea inventario, crea evento/calendario y tareas de preparación/logística.</w:t>
      </w:r>
    </w:p>
    <w:p>
      <w:pPr>
        <w:pStyle w:val="ListNumber"/>
      </w:pPr>
      <w:r>
        <w:t>Recordatorios automáticos T-7, T-2 y T-1; checklist de carga, baterías, higiene, contenido y accesorios.</w:t>
      </w:r>
    </w:p>
    <w:p>
      <w:pPr>
        <w:pStyle w:val="ListNumber"/>
      </w:pPr>
      <w:r>
        <w:t>Postevento: cierre, saldo, solicitud de reseña, NPS y oferta de próxima reserva.</w:t>
      </w:r>
    </w:p>
    <w:p>
      <w:pPr>
        <w:pStyle w:val="Heading1"/>
      </w:pPr>
      <w:r>
        <w:t>8. Web MVP: qué construir y qué no</w:t>
      </w:r>
    </w:p>
    <w:tbl>
      <w:tblPr>
        <w:tblStyle w:val="TableGrid"/>
        <w:tblW w:type="auto" w:w="0"/>
        <w:jc w:val="center"/>
        <w:tblLook w:firstColumn="1" w:firstRow="1" w:lastColumn="0" w:lastRow="0" w:noHBand="0" w:noVBand="1" w:val="04A0"/>
      </w:tblPr>
      <w:tblGrid>
        <w:gridCol w:w="5083"/>
        <w:gridCol w:w="5083"/>
      </w:tblGrid>
      <w:tr>
        <w:tc>
          <w:tcPr>
            <w:tcW w:type="dxa" w:w="4896"/>
            <w:vAlign w:val="center"/>
            <w:shd w:fill="E8EEF7"/>
          </w:tcPr>
          <w:p>
            <w:r/>
            <w:r>
              <w:rPr>
                <w:rFonts w:ascii="Aptos" w:hAnsi="Aptos"/>
                <w:b/>
                <w:sz w:val="16"/>
              </w:rPr>
              <w:t>Construir en MVP</w:t>
            </w:r>
          </w:p>
        </w:tc>
        <w:tc>
          <w:tcPr>
            <w:tcW w:type="dxa" w:w="4896"/>
            <w:vAlign w:val="center"/>
            <w:shd w:fill="E8EEF7"/>
          </w:tcPr>
          <w:p>
            <w:r/>
            <w:r>
              <w:rPr>
                <w:rFonts w:ascii="Aptos" w:hAnsi="Aptos"/>
                <w:b/>
                <w:sz w:val="16"/>
              </w:rPr>
              <w:t>Postergar</w:t>
            </w:r>
          </w:p>
        </w:tc>
      </w:tr>
      <w:tr>
        <w:tc>
          <w:tcPr>
            <w:tcW w:type="dxa" w:w="4896"/>
            <w:vAlign w:val="center"/>
          </w:tcPr>
          <w:p>
            <w:r/>
            <w:r>
              <w:rPr>
                <w:rFonts w:ascii="Aptos" w:hAnsi="Aptos"/>
                <w:b w:val="0"/>
                <w:sz w:val="16"/>
              </w:rPr>
              <w:t>Home de categoría amplia + landing VR.</w:t>
            </w:r>
          </w:p>
        </w:tc>
        <w:tc>
          <w:tcPr>
            <w:tcW w:type="dxa" w:w="4896"/>
            <w:vAlign w:val="center"/>
          </w:tcPr>
          <w:p>
            <w:r/>
            <w:r>
              <w:rPr>
                <w:rFonts w:ascii="Aptos" w:hAnsi="Aptos"/>
                <w:b w:val="0"/>
                <w:sz w:val="16"/>
              </w:rPr>
              <w:t>Marketplace completo con múltiples vendedores.</w:t>
            </w:r>
          </w:p>
        </w:tc>
      </w:tr>
      <w:tr>
        <w:tc>
          <w:tcPr>
            <w:tcW w:type="dxa" w:w="4896"/>
            <w:vAlign w:val="center"/>
          </w:tcPr>
          <w:p>
            <w:r/>
            <w:r>
              <w:rPr>
                <w:rFonts w:ascii="Aptos" w:hAnsi="Aptos"/>
                <w:b w:val="0"/>
                <w:sz w:val="16"/>
              </w:rPr>
              <w:t>Páginas Quest 2, Quest 3, VR para eventos y alquiler Meta Quest Bogotá.</w:t>
            </w:r>
          </w:p>
        </w:tc>
        <w:tc>
          <w:tcPr>
            <w:tcW w:type="dxa" w:w="4896"/>
            <w:vAlign w:val="center"/>
          </w:tcPr>
          <w:p>
            <w:r/>
            <w:r>
              <w:rPr>
                <w:rFonts w:ascii="Aptos" w:hAnsi="Aptos"/>
                <w:b w:val="0"/>
                <w:sz w:val="16"/>
              </w:rPr>
              <w:t>Pricing engine con todas las excepciones posibles.</w:t>
            </w:r>
          </w:p>
        </w:tc>
      </w:tr>
      <w:tr>
        <w:tc>
          <w:tcPr>
            <w:tcW w:type="dxa" w:w="4896"/>
            <w:vAlign w:val="center"/>
          </w:tcPr>
          <w:p>
            <w:r/>
            <w:r>
              <w:rPr>
                <w:rFonts w:ascii="Aptos" w:hAnsi="Aptos"/>
                <w:b w:val="0"/>
                <w:sz w:val="16"/>
              </w:rPr>
              <w:t>Cotizador de 6–8 campos con lógica básica.</w:t>
            </w:r>
          </w:p>
        </w:tc>
        <w:tc>
          <w:tcPr>
            <w:tcW w:type="dxa" w:w="4896"/>
            <w:vAlign w:val="center"/>
          </w:tcPr>
          <w:p>
            <w:r/>
            <w:r>
              <w:rPr>
                <w:rFonts w:ascii="Aptos" w:hAnsi="Aptos"/>
                <w:b w:val="0"/>
                <w:sz w:val="16"/>
              </w:rPr>
              <w:t>ERP de inventario general.</w:t>
            </w:r>
          </w:p>
        </w:tc>
      </w:tr>
      <w:tr>
        <w:tc>
          <w:tcPr>
            <w:tcW w:type="dxa" w:w="4896"/>
            <w:vAlign w:val="center"/>
          </w:tcPr>
          <w:p>
            <w:r/>
            <w:r>
              <w:rPr>
                <w:rFonts w:ascii="Aptos" w:hAnsi="Aptos"/>
                <w:b w:val="0"/>
                <w:sz w:val="16"/>
              </w:rPr>
              <w:t>Calendario de disponibilidad interno con reservas/bloqueos.</w:t>
            </w:r>
          </w:p>
        </w:tc>
        <w:tc>
          <w:tcPr>
            <w:tcW w:type="dxa" w:w="4896"/>
            <w:vAlign w:val="center"/>
          </w:tcPr>
          <w:p>
            <w:r/>
            <w:r>
              <w:rPr>
                <w:rFonts w:ascii="Aptos" w:hAnsi="Aptos"/>
                <w:b w:val="0"/>
                <w:sz w:val="16"/>
              </w:rPr>
              <w:t>App móvil nativa.</w:t>
            </w:r>
          </w:p>
        </w:tc>
      </w:tr>
      <w:tr>
        <w:tc>
          <w:tcPr>
            <w:tcW w:type="dxa" w:w="4896"/>
            <w:vAlign w:val="center"/>
          </w:tcPr>
          <w:p>
            <w:r/>
            <w:r>
              <w:rPr>
                <w:rFonts w:ascii="Aptos" w:hAnsi="Aptos"/>
                <w:b w:val="0"/>
                <w:sz w:val="16"/>
              </w:rPr>
              <w:t>CRM de leads y estados.</w:t>
            </w:r>
          </w:p>
        </w:tc>
        <w:tc>
          <w:tcPr>
            <w:tcW w:type="dxa" w:w="4896"/>
            <w:vAlign w:val="center"/>
          </w:tcPr>
          <w:p>
            <w:r/>
            <w:r>
              <w:rPr>
                <w:rFonts w:ascii="Aptos" w:hAnsi="Aptos"/>
                <w:b w:val="0"/>
                <w:sz w:val="16"/>
              </w:rPr>
              <w:t>Programa de fidelidad.</w:t>
            </w:r>
          </w:p>
        </w:tc>
      </w:tr>
      <w:tr>
        <w:tc>
          <w:tcPr>
            <w:tcW w:type="dxa" w:w="4896"/>
            <w:vAlign w:val="center"/>
          </w:tcPr>
          <w:p>
            <w:r/>
            <w:r>
              <w:rPr>
                <w:rFonts w:ascii="Aptos" w:hAnsi="Aptos"/>
                <w:b w:val="0"/>
                <w:sz w:val="16"/>
              </w:rPr>
              <w:t>Wompi: anticipo / link / checkout.</w:t>
            </w:r>
          </w:p>
        </w:tc>
        <w:tc>
          <w:tcPr>
            <w:tcW w:type="dxa" w:w="4896"/>
            <w:vAlign w:val="center"/>
          </w:tcPr>
          <w:p>
            <w:r/>
            <w:r>
              <w:rPr>
                <w:rFonts w:ascii="Aptos" w:hAnsi="Aptos"/>
                <w:b w:val="0"/>
                <w:sz w:val="16"/>
              </w:rPr>
              <w:t>Pago 100% automático para proyectos complejos.</w:t>
            </w:r>
          </w:p>
        </w:tc>
      </w:tr>
      <w:tr>
        <w:tc>
          <w:tcPr>
            <w:tcW w:type="dxa" w:w="4896"/>
            <w:vAlign w:val="center"/>
          </w:tcPr>
          <w:p>
            <w:r/>
            <w:r>
              <w:rPr>
                <w:rFonts w:ascii="Aptos" w:hAnsi="Aptos"/>
                <w:b w:val="0"/>
                <w:sz w:val="16"/>
              </w:rPr>
              <w:t>WhatsApp IA + handoff humano.</w:t>
            </w:r>
          </w:p>
        </w:tc>
        <w:tc>
          <w:tcPr>
            <w:tcW w:type="dxa" w:w="4896"/>
            <w:vAlign w:val="center"/>
          </w:tcPr>
          <w:p>
            <w:r/>
            <w:r>
              <w:rPr>
                <w:rFonts w:ascii="Aptos" w:hAnsi="Aptos"/>
                <w:b w:val="0"/>
                <w:sz w:val="16"/>
              </w:rPr>
              <w:t>IA autónoma negociando descuentos fuera de reglas.</w:t>
            </w:r>
          </w:p>
        </w:tc>
      </w:tr>
      <w:tr>
        <w:tc>
          <w:tcPr>
            <w:tcW w:type="dxa" w:w="4896"/>
            <w:vAlign w:val="center"/>
          </w:tcPr>
          <w:p>
            <w:r/>
            <w:r>
              <w:rPr>
                <w:rFonts w:ascii="Aptos" w:hAnsi="Aptos"/>
                <w:b w:val="0"/>
                <w:sz w:val="16"/>
              </w:rPr>
              <w:t>GA4 + Google Ads + eventos + UTMs.</w:t>
            </w:r>
          </w:p>
        </w:tc>
        <w:tc>
          <w:tcPr>
            <w:tcW w:type="dxa" w:w="4896"/>
            <w:vAlign w:val="center"/>
          </w:tcPr>
          <w:p>
            <w:r/>
            <w:r>
              <w:rPr>
                <w:rFonts w:ascii="Aptos" w:hAnsi="Aptos"/>
                <w:b w:val="0"/>
                <w:sz w:val="16"/>
              </w:rPr>
              <w:t>Dashboard BI sofisticado antes de tener volumen.</w:t>
            </w:r>
          </w:p>
        </w:tc>
      </w:tr>
      <w:tr>
        <w:tc>
          <w:tcPr>
            <w:tcW w:type="dxa" w:w="4896"/>
            <w:vAlign w:val="center"/>
          </w:tcPr>
          <w:p>
            <w:r/>
            <w:r>
              <w:rPr>
                <w:rFonts w:ascii="Aptos" w:hAnsi="Aptos"/>
                <w:b w:val="0"/>
                <w:sz w:val="16"/>
              </w:rPr>
              <w:t>SEO técnico, sitemap y LocalBusiness schema.</w:t>
            </w:r>
          </w:p>
        </w:tc>
        <w:tc>
          <w:tcPr>
            <w:tcW w:type="dxa" w:w="4896"/>
            <w:vAlign w:val="center"/>
          </w:tcPr>
          <w:p>
            <w:r/>
            <w:r>
              <w:rPr>
                <w:rFonts w:ascii="Aptos" w:hAnsi="Aptos"/>
                <w:b w:val="0"/>
                <w:sz w:val="16"/>
              </w:rPr>
              <w:t>Blog masivo generado por IA.</w:t>
            </w:r>
          </w:p>
        </w:tc>
      </w:tr>
    </w:tbl>
    <w:p/>
    <w:p>
      <w:pPr>
        <w:pStyle w:val="Heading1"/>
      </w:pPr>
      <w:r>
        <w:t>9. Plan de adquisición</w:t>
      </w:r>
    </w:p>
    <w:p>
      <w:pPr>
        <w:pStyle w:val="Heading2"/>
      </w:pPr>
      <w:r>
        <w:t>9.1 Google Search — canal #1 de validación</w:t>
      </w:r>
    </w:p>
    <w:p>
      <w:r>
        <w:t>Search debe capturar intención existente. Google Keyword Planner permite estimar búsquedas y costes; las campañas deben empezar con términos de intención alta y control de términos de búsqueda/negativos.</w:t>
      </w:r>
    </w:p>
    <w:p>
      <w:pPr>
        <w:pStyle w:val="ListBullet"/>
      </w:pPr>
      <w:r>
        <w:t>Grupo VR transaccional: “alquiler realidad virtual bogotá”, “alquiler gafas vr bogotá”, “alquiler meta quest bogotá”, “alquiler oculus bogotá”.</w:t>
      </w:r>
    </w:p>
    <w:p>
      <w:pPr>
        <w:pStyle w:val="ListBullet"/>
      </w:pPr>
      <w:r>
        <w:t>Grupo eventos: “realidad virtual para eventos”, “vr para eventos empresariales”, “experiencia realidad virtual evento”.</w:t>
      </w:r>
    </w:p>
    <w:p>
      <w:pPr>
        <w:pStyle w:val="ListBullet"/>
      </w:pPr>
      <w:r>
        <w:t>Grupo Quest: “alquiler quest 3”, “alquiler meta quest 3”, “alquiler quest 2”.</w:t>
      </w:r>
    </w:p>
    <w:p>
      <w:pPr>
        <w:pStyle w:val="ListBullet"/>
      </w:pPr>
      <w:r>
        <w:t>Negativos iniciales: comprar, usado, reparación, gratis, empleo, curso, descargar, APK, wallpaper, porn, precio Meta retail y búsquedas de juegos domésticos.</w:t>
      </w:r>
    </w:p>
    <w:p>
      <w:pPr>
        <w:pStyle w:val="ListBullet"/>
      </w:pPr>
      <w:r>
        <w:t>Landing dedicada por grupo; no enviar todo a Home.</w:t>
      </w:r>
    </w:p>
    <w:p>
      <w:pPr>
        <w:pStyle w:val="ListBullet"/>
      </w:pPr>
      <w:r>
        <w:t>Medir como conversiones: cotización enviada, WhatsApp calificado, llamada, anticipo/pago; no optimizar por clic.</w:t>
      </w:r>
    </w:p>
    <w:p>
      <w:r>
        <w:t>Presupuesto de test: COP 1,8–2,5 M durante 30 días. No escalar hasta tener conversion tracking confiable y al menos 10–15 leads calificados.</w:t>
      </w:r>
    </w:p>
    <w:p>
      <w:pPr>
        <w:pStyle w:val="Heading2"/>
      </w:pPr>
      <w:r>
        <w:t>9.2 Outbound B2B — canal #2</w:t>
      </w:r>
    </w:p>
    <w:p>
      <w:r>
        <w:t>Construir una base inicial de 150–250 cuentas en Bogotá: agencias BTL, agencias de eventos, productoras, venues, universidades y equipos de innovación/marketing. El mensaje no vende una activación creativa completa; vende capacidad tecnológica confiable y white-label.</w:t>
      </w:r>
    </w:p>
    <w:p>
      <w:pPr>
        <w:pStyle w:val="ListBullet"/>
      </w:pPr>
      <w:r>
        <w:t>Oferta partner: hasta 28 visores disponibles, operación técnica, facturación B2B y posibilidad white-label.</w:t>
      </w:r>
    </w:p>
    <w:p>
      <w:pPr>
        <w:pStyle w:val="ListBullet"/>
      </w:pPr>
      <w:r>
        <w:t>Crear PDF/landing “VR para agencias” con tarifas partner orientativas y SLA.</w:t>
      </w:r>
    </w:p>
    <w:p>
      <w:pPr>
        <w:pStyle w:val="ListBullet"/>
      </w:pPr>
      <w:r>
        <w:t>Cadencia: email 1 → LinkedIn/WhatsApp cuando exista relación → follow-up 3–4 días → caso/uso → cierre de conversación.</w:t>
      </w:r>
    </w:p>
    <w:p>
      <w:pPr>
        <w:pStyle w:val="ListBullet"/>
      </w:pPr>
      <w:r>
        <w:t>Meta del sprint: 200 cuentas, 80 contactos válidos, 20 conversaciones, 5 solicitudes de cotización, 1–2 reservas o acuerdos de proveedor.</w:t>
      </w:r>
    </w:p>
    <w:p>
      <w:pPr>
        <w:pStyle w:val="ListBullet"/>
      </w:pPr>
      <w:r>
        <w:t>Registrar agencia, contacto, fuente, tamaño, ciudades, tecnologías que alquila y frecuencia estimada.</w:t>
      </w:r>
    </w:p>
    <w:p>
      <w:pPr>
        <w:pStyle w:val="Heading2"/>
      </w:pPr>
      <w:r>
        <w:t>9.3 SEO local y contenido de intención</w:t>
      </w:r>
    </w:p>
    <w:p>
      <w:pPr>
        <w:pStyle w:val="ListBullet"/>
      </w:pPr>
      <w:r>
        <w:t>Google Business Profile / presencia local coherente con el servicio.</w:t>
      </w:r>
    </w:p>
    <w:p>
      <w:pPr>
        <w:pStyle w:val="ListBullet"/>
      </w:pPr>
      <w:r>
        <w:t>Schema LocalBusiness/Organization y páginas indexables por servicio/ciudad.</w:t>
      </w:r>
    </w:p>
    <w:p>
      <w:pPr>
        <w:pStyle w:val="ListBullet"/>
      </w:pPr>
      <w:r>
        <w:t>Páginas iniciales: alquiler Meta Quest Bogotá; alquiler Quest 3; realidad virtual para eventos; tecnología interactiva para eventos.</w:t>
      </w:r>
    </w:p>
    <w:p>
      <w:pPr>
        <w:pStyle w:val="ListBullet"/>
      </w:pPr>
      <w:r>
        <w:t>Contenido útil de compra: cuánto cuesta alquilar VR para un evento; cuántos visores necesito para 100 personas; Quest 2 vs Quest 3 para eventos; checklist de VR para activaciones.</w:t>
      </w:r>
    </w:p>
    <w:p>
      <w:pPr>
        <w:pStyle w:val="ListBullet"/>
      </w:pPr>
      <w:r>
        <w:t>Casos reales con fotos, cantidad de equipos, duración y tipo de público. Son mejores activos SEO/comerciales que artículos genéricos.</w:t>
      </w:r>
    </w:p>
    <w:p>
      <w:pPr>
        <w:pStyle w:val="Heading2"/>
      </w:pPr>
      <w:r>
        <w:t>9.4 Meta/Instagram/LinkedIn</w:t>
      </w:r>
    </w:p>
    <w:p>
      <w:r>
        <w:t>No serán el motor inicial de demanda. Se usarán para prueba social, remarketing y ABM ligero. Una vez existan casos, crear clips de montaje, filas de equipos, experiencia del usuario y detrás de cámaras. LinkedIn es útil para distribución a planners/agencias; Meta para remarketing a visitantes y leads no cerrados.</w:t>
      </w:r>
    </w:p>
    <w:p>
      <w:pPr>
        <w:pStyle w:val="Heading1"/>
      </w:pPr>
      <w:r>
        <w:t>10. Automatización e IA</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E8EEF7"/>
          </w:tcPr>
          <w:p>
            <w:r/>
            <w:r>
              <w:rPr>
                <w:rFonts w:ascii="Aptos" w:hAnsi="Aptos"/>
                <w:b/>
                <w:sz w:val="16"/>
              </w:rPr>
              <w:t>Automatización</w:t>
            </w:r>
          </w:p>
        </w:tc>
        <w:tc>
          <w:tcPr>
            <w:tcW w:type="dxa" w:w="2160"/>
            <w:vAlign w:val="center"/>
            <w:shd w:fill="E8EEF7"/>
          </w:tcPr>
          <w:p>
            <w:r/>
            <w:r>
              <w:rPr>
                <w:rFonts w:ascii="Aptos" w:hAnsi="Aptos"/>
                <w:b/>
                <w:sz w:val="16"/>
              </w:rPr>
              <w:t>Trigger</w:t>
            </w:r>
          </w:p>
        </w:tc>
        <w:tc>
          <w:tcPr>
            <w:tcW w:type="dxa" w:w="5472"/>
            <w:vAlign w:val="center"/>
            <w:shd w:fill="E8EEF7"/>
          </w:tcPr>
          <w:p>
            <w:r/>
            <w:r>
              <w:rPr>
                <w:rFonts w:ascii="Aptos" w:hAnsi="Aptos"/>
                <w:b/>
                <w:sz w:val="16"/>
              </w:rPr>
              <w:t>Acción</w:t>
            </w:r>
          </w:p>
        </w:tc>
      </w:tr>
      <w:tr>
        <w:tc>
          <w:tcPr>
            <w:tcW w:type="dxa" w:w="2016"/>
            <w:vAlign w:val="center"/>
          </w:tcPr>
          <w:p>
            <w:r/>
            <w:r>
              <w:rPr>
                <w:rFonts w:ascii="Aptos" w:hAnsi="Aptos"/>
                <w:b w:val="0"/>
                <w:sz w:val="16"/>
              </w:rPr>
              <w:t>Lead intake</w:t>
            </w:r>
          </w:p>
        </w:tc>
        <w:tc>
          <w:tcPr>
            <w:tcW w:type="dxa" w:w="2160"/>
            <w:vAlign w:val="center"/>
          </w:tcPr>
          <w:p>
            <w:r/>
            <w:r>
              <w:rPr>
                <w:rFonts w:ascii="Aptos" w:hAnsi="Aptos"/>
                <w:b w:val="0"/>
                <w:sz w:val="16"/>
              </w:rPr>
              <w:t>Formulario/WhatsApp</w:t>
            </w:r>
          </w:p>
        </w:tc>
        <w:tc>
          <w:tcPr>
            <w:tcW w:type="dxa" w:w="5472"/>
            <w:vAlign w:val="center"/>
          </w:tcPr>
          <w:p>
            <w:r/>
            <w:r>
              <w:rPr>
                <w:rFonts w:ascii="Aptos" w:hAnsi="Aptos"/>
                <w:b w:val="0"/>
                <w:sz w:val="16"/>
              </w:rPr>
              <w:t>Crear contacto + oportunidad; deduplicar; etiquetar fuente y campaña.</w:t>
            </w:r>
          </w:p>
        </w:tc>
      </w:tr>
      <w:tr>
        <w:tc>
          <w:tcPr>
            <w:tcW w:type="dxa" w:w="2016"/>
            <w:vAlign w:val="center"/>
          </w:tcPr>
          <w:p>
            <w:r/>
            <w:r>
              <w:rPr>
                <w:rFonts w:ascii="Aptos" w:hAnsi="Aptos"/>
                <w:b w:val="0"/>
                <w:sz w:val="16"/>
              </w:rPr>
              <w:t>Disponibilidad</w:t>
            </w:r>
          </w:p>
        </w:tc>
        <w:tc>
          <w:tcPr>
            <w:tcW w:type="dxa" w:w="2160"/>
            <w:vAlign w:val="center"/>
          </w:tcPr>
          <w:p>
            <w:r/>
            <w:r>
              <w:rPr>
                <w:rFonts w:ascii="Aptos" w:hAnsi="Aptos"/>
                <w:b w:val="0"/>
                <w:sz w:val="16"/>
              </w:rPr>
              <w:t>Fecha + cantidad</w:t>
            </w:r>
          </w:p>
        </w:tc>
        <w:tc>
          <w:tcPr>
            <w:tcW w:type="dxa" w:w="5472"/>
            <w:vAlign w:val="center"/>
          </w:tcPr>
          <w:p>
            <w:r/>
            <w:r>
              <w:rPr>
                <w:rFonts w:ascii="Aptos" w:hAnsi="Aptos"/>
                <w:b w:val="0"/>
                <w:sz w:val="16"/>
              </w:rPr>
              <w:t>Consultar inventario; aplicar buffers; proponer alternativa si no alcanza.</w:t>
            </w:r>
          </w:p>
        </w:tc>
      </w:tr>
      <w:tr>
        <w:tc>
          <w:tcPr>
            <w:tcW w:type="dxa" w:w="2016"/>
            <w:vAlign w:val="center"/>
          </w:tcPr>
          <w:p>
            <w:r/>
            <w:r>
              <w:rPr>
                <w:rFonts w:ascii="Aptos" w:hAnsi="Aptos"/>
                <w:b w:val="0"/>
                <w:sz w:val="16"/>
              </w:rPr>
              <w:t>Cotización</w:t>
            </w:r>
          </w:p>
        </w:tc>
        <w:tc>
          <w:tcPr>
            <w:tcW w:type="dxa" w:w="2160"/>
            <w:vAlign w:val="center"/>
          </w:tcPr>
          <w:p>
            <w:r/>
            <w:r>
              <w:rPr>
                <w:rFonts w:ascii="Aptos" w:hAnsi="Aptos"/>
                <w:b w:val="0"/>
                <w:sz w:val="16"/>
              </w:rPr>
              <w:t>Lead calificado</w:t>
            </w:r>
          </w:p>
        </w:tc>
        <w:tc>
          <w:tcPr>
            <w:tcW w:type="dxa" w:w="5472"/>
            <w:vAlign w:val="center"/>
          </w:tcPr>
          <w:p>
            <w:r/>
            <w:r>
              <w:rPr>
                <w:rFonts w:ascii="Aptos" w:hAnsi="Aptos"/>
                <w:b w:val="0"/>
                <w:sz w:val="16"/>
              </w:rPr>
              <w:t>Calcular paquete, extras e impuestos; generar PDF/link; registrar versión.</w:t>
            </w:r>
          </w:p>
        </w:tc>
      </w:tr>
      <w:tr>
        <w:tc>
          <w:tcPr>
            <w:tcW w:type="dxa" w:w="2016"/>
            <w:vAlign w:val="center"/>
          </w:tcPr>
          <w:p>
            <w:r/>
            <w:r>
              <w:rPr>
                <w:rFonts w:ascii="Aptos" w:hAnsi="Aptos"/>
                <w:b w:val="0"/>
                <w:sz w:val="16"/>
              </w:rPr>
              <w:t>Follow-up</w:t>
            </w:r>
          </w:p>
        </w:tc>
        <w:tc>
          <w:tcPr>
            <w:tcW w:type="dxa" w:w="2160"/>
            <w:vAlign w:val="center"/>
          </w:tcPr>
          <w:p>
            <w:r/>
            <w:r>
              <w:rPr>
                <w:rFonts w:ascii="Aptos" w:hAnsi="Aptos"/>
                <w:b w:val="0"/>
                <w:sz w:val="16"/>
              </w:rPr>
              <w:t>Cotización sin respuesta</w:t>
            </w:r>
          </w:p>
        </w:tc>
        <w:tc>
          <w:tcPr>
            <w:tcW w:type="dxa" w:w="5472"/>
            <w:vAlign w:val="center"/>
          </w:tcPr>
          <w:p>
            <w:r/>
            <w:r>
              <w:rPr>
                <w:rFonts w:ascii="Aptos" w:hAnsi="Aptos"/>
                <w:b w:val="0"/>
                <w:sz w:val="16"/>
              </w:rPr>
              <w:t>Secuencia automática 24h / 72h / 7d, con stop al responder.</w:t>
            </w:r>
          </w:p>
        </w:tc>
      </w:tr>
      <w:tr>
        <w:tc>
          <w:tcPr>
            <w:tcW w:type="dxa" w:w="2016"/>
            <w:vAlign w:val="center"/>
          </w:tcPr>
          <w:p>
            <w:r/>
            <w:r>
              <w:rPr>
                <w:rFonts w:ascii="Aptos" w:hAnsi="Aptos"/>
                <w:b w:val="0"/>
                <w:sz w:val="16"/>
              </w:rPr>
              <w:t>Reserva</w:t>
            </w:r>
          </w:p>
        </w:tc>
        <w:tc>
          <w:tcPr>
            <w:tcW w:type="dxa" w:w="2160"/>
            <w:vAlign w:val="center"/>
          </w:tcPr>
          <w:p>
            <w:r/>
            <w:r>
              <w:rPr>
                <w:rFonts w:ascii="Aptos" w:hAnsi="Aptos"/>
                <w:b w:val="0"/>
                <w:sz w:val="16"/>
              </w:rPr>
              <w:t>Anticipo aprobado</w:t>
            </w:r>
          </w:p>
        </w:tc>
        <w:tc>
          <w:tcPr>
            <w:tcW w:type="dxa" w:w="5472"/>
            <w:vAlign w:val="center"/>
          </w:tcPr>
          <w:p>
            <w:r/>
            <w:r>
              <w:rPr>
                <w:rFonts w:ascii="Aptos" w:hAnsi="Aptos"/>
                <w:b w:val="0"/>
                <w:sz w:val="16"/>
              </w:rPr>
              <w:t>Bloquear equipos, crear evento y checklist; notificar responsable.</w:t>
            </w:r>
          </w:p>
        </w:tc>
      </w:tr>
      <w:tr>
        <w:tc>
          <w:tcPr>
            <w:tcW w:type="dxa" w:w="2016"/>
            <w:vAlign w:val="center"/>
          </w:tcPr>
          <w:p>
            <w:r/>
            <w:r>
              <w:rPr>
                <w:rFonts w:ascii="Aptos" w:hAnsi="Aptos"/>
                <w:b w:val="0"/>
                <w:sz w:val="16"/>
              </w:rPr>
              <w:t>Operación</w:t>
            </w:r>
          </w:p>
        </w:tc>
        <w:tc>
          <w:tcPr>
            <w:tcW w:type="dxa" w:w="2160"/>
            <w:vAlign w:val="center"/>
          </w:tcPr>
          <w:p>
            <w:r/>
            <w:r>
              <w:rPr>
                <w:rFonts w:ascii="Aptos" w:hAnsi="Aptos"/>
                <w:b w:val="0"/>
                <w:sz w:val="16"/>
              </w:rPr>
              <w:t>T-7 / T-2 / T-1</w:t>
            </w:r>
          </w:p>
        </w:tc>
        <w:tc>
          <w:tcPr>
            <w:tcW w:type="dxa" w:w="5472"/>
            <w:vAlign w:val="center"/>
          </w:tcPr>
          <w:p>
            <w:r/>
            <w:r>
              <w:rPr>
                <w:rFonts w:ascii="Aptos" w:hAnsi="Aptos"/>
                <w:b w:val="0"/>
                <w:sz w:val="16"/>
              </w:rPr>
              <w:t>Recordatorios, carga, actualización, contenido, higiene, transporte.</w:t>
            </w:r>
          </w:p>
        </w:tc>
      </w:tr>
      <w:tr>
        <w:tc>
          <w:tcPr>
            <w:tcW w:type="dxa" w:w="2016"/>
            <w:vAlign w:val="center"/>
          </w:tcPr>
          <w:p>
            <w:r/>
            <w:r>
              <w:rPr>
                <w:rFonts w:ascii="Aptos" w:hAnsi="Aptos"/>
                <w:b w:val="0"/>
                <w:sz w:val="16"/>
              </w:rPr>
              <w:t>Postevento</w:t>
            </w:r>
          </w:p>
        </w:tc>
        <w:tc>
          <w:tcPr>
            <w:tcW w:type="dxa" w:w="2160"/>
            <w:vAlign w:val="center"/>
          </w:tcPr>
          <w:p>
            <w:r/>
            <w:r>
              <w:rPr>
                <w:rFonts w:ascii="Aptos" w:hAnsi="Aptos"/>
                <w:b w:val="0"/>
                <w:sz w:val="16"/>
              </w:rPr>
              <w:t>Evento finalizado</w:t>
            </w:r>
          </w:p>
        </w:tc>
        <w:tc>
          <w:tcPr>
            <w:tcW w:type="dxa" w:w="5472"/>
            <w:vAlign w:val="center"/>
          </w:tcPr>
          <w:p>
            <w:r/>
            <w:r>
              <w:rPr>
                <w:rFonts w:ascii="Aptos" w:hAnsi="Aptos"/>
                <w:b w:val="0"/>
                <w:sz w:val="16"/>
              </w:rPr>
              <w:t>Saldo, encuesta, reseña, registro de daños y siguiente oferta.</w:t>
            </w:r>
          </w:p>
        </w:tc>
      </w:tr>
      <w:tr>
        <w:tc>
          <w:tcPr>
            <w:tcW w:type="dxa" w:w="2016"/>
            <w:vAlign w:val="center"/>
          </w:tcPr>
          <w:p>
            <w:r/>
            <w:r>
              <w:rPr>
                <w:rFonts w:ascii="Aptos" w:hAnsi="Aptos"/>
                <w:b w:val="0"/>
                <w:sz w:val="16"/>
              </w:rPr>
              <w:t>Marketing</w:t>
            </w:r>
          </w:p>
        </w:tc>
        <w:tc>
          <w:tcPr>
            <w:tcW w:type="dxa" w:w="2160"/>
            <w:vAlign w:val="center"/>
          </w:tcPr>
          <w:p>
            <w:r/>
            <w:r>
              <w:rPr>
                <w:rFonts w:ascii="Aptos" w:hAnsi="Aptos"/>
                <w:b w:val="0"/>
                <w:sz w:val="16"/>
              </w:rPr>
              <w:t>Lead/reserva cerrada</w:t>
            </w:r>
          </w:p>
        </w:tc>
        <w:tc>
          <w:tcPr>
            <w:tcW w:type="dxa" w:w="5472"/>
            <w:vAlign w:val="center"/>
          </w:tcPr>
          <w:p>
            <w:r/>
            <w:r>
              <w:rPr>
                <w:rFonts w:ascii="Aptos" w:hAnsi="Aptos"/>
                <w:b w:val="0"/>
                <w:sz w:val="16"/>
              </w:rPr>
              <w:t>Enviar conversiones y valor al sistema de analítica/Ads cuando sea viable.</w:t>
            </w:r>
          </w:p>
        </w:tc>
      </w:tr>
    </w:tbl>
    <w:p/>
    <w:p>
      <w:pPr>
        <w:pStyle w:val="Heading1"/>
      </w:pPr>
      <w:r>
        <w:t>11. Roadmap de ejecución — 8 semanas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E8EEF7"/>
          </w:tcPr>
          <w:p>
            <w:r/>
            <w:r>
              <w:rPr>
                <w:rFonts w:ascii="Aptos" w:hAnsi="Aptos"/>
                <w:b/>
                <w:sz w:val="16"/>
              </w:rPr>
              <w:t>Semana</w:t>
            </w:r>
          </w:p>
        </w:tc>
        <w:tc>
          <w:tcPr>
            <w:tcW w:type="dxa" w:w="5976"/>
            <w:vAlign w:val="center"/>
            <w:shd w:fill="E8EEF7"/>
          </w:tcPr>
          <w:p>
            <w:r/>
            <w:r>
              <w:rPr>
                <w:rFonts w:ascii="Aptos" w:hAnsi="Aptos"/>
                <w:b/>
                <w:sz w:val="16"/>
              </w:rPr>
              <w:t>Entregables</w:t>
            </w:r>
          </w:p>
        </w:tc>
        <w:tc>
          <w:tcPr>
            <w:tcW w:type="dxa" w:w="2376"/>
            <w:vAlign w:val="center"/>
            <w:shd w:fill="E8EEF7"/>
          </w:tcPr>
          <w:p>
            <w:r/>
            <w:r>
              <w:rPr>
                <w:rFonts w:ascii="Aptos" w:hAnsi="Aptos"/>
                <w:b/>
                <w:sz w:val="16"/>
              </w:rPr>
              <w:t>Gate</w:t>
            </w:r>
          </w:p>
        </w:tc>
      </w:tr>
      <w:tr>
        <w:tc>
          <w:tcPr>
            <w:tcW w:type="dxa" w:w="1800"/>
            <w:vAlign w:val="center"/>
          </w:tcPr>
          <w:p>
            <w:r/>
            <w:r>
              <w:rPr>
                <w:rFonts w:ascii="Aptos" w:hAnsi="Aptos"/>
                <w:b w:val="0"/>
                <w:sz w:val="16"/>
              </w:rPr>
              <w:t>0–1 · Fundamentos</w:t>
            </w:r>
          </w:p>
        </w:tc>
        <w:tc>
          <w:tcPr>
            <w:tcW w:type="dxa" w:w="5976"/>
            <w:vAlign w:val="center"/>
          </w:tcPr>
          <w:p>
            <w:r/>
            <w:r>
              <w:rPr>
                <w:rFonts w:ascii="Aptos" w:hAnsi="Aptos"/>
                <w:b w:val="0"/>
                <w:sz w:val="16"/>
              </w:rPr>
              <w:t>Naming/domain shortlist; costos reales; inventario serializado; reglas de daños; pricing v0; buyer personas; lista de keywords.</w:t>
            </w:r>
          </w:p>
        </w:tc>
        <w:tc>
          <w:tcPr>
            <w:tcW w:type="dxa" w:w="2376"/>
            <w:vAlign w:val="center"/>
          </w:tcPr>
          <w:p>
            <w:r/>
            <w:r>
              <w:rPr>
                <w:rFonts w:ascii="Aptos" w:hAnsi="Aptos"/>
                <w:b w:val="0"/>
                <w:sz w:val="16"/>
              </w:rPr>
              <w:t>No desarrollar hasta cerrar oferta y reglas mínimas.</w:t>
            </w:r>
          </w:p>
        </w:tc>
      </w:tr>
      <w:tr>
        <w:tc>
          <w:tcPr>
            <w:tcW w:type="dxa" w:w="1800"/>
            <w:vAlign w:val="center"/>
          </w:tcPr>
          <w:p>
            <w:r/>
            <w:r>
              <w:rPr>
                <w:rFonts w:ascii="Aptos" w:hAnsi="Aptos"/>
                <w:b w:val="0"/>
                <w:sz w:val="16"/>
              </w:rPr>
              <w:t>2 · MVP web</w:t>
            </w:r>
          </w:p>
        </w:tc>
        <w:tc>
          <w:tcPr>
            <w:tcW w:type="dxa" w:w="5976"/>
            <w:vAlign w:val="center"/>
          </w:tcPr>
          <w:p>
            <w:r/>
            <w:r>
              <w:rPr>
                <w:rFonts w:ascii="Aptos" w:hAnsi="Aptos"/>
                <w:b w:val="0"/>
                <w:sz w:val="16"/>
              </w:rPr>
              <w:t>Home, VR landing, Quest pages, cotizador, CRM, analítica, WhatsApp, Wompi sandbox/links, políticas.</w:t>
            </w:r>
          </w:p>
        </w:tc>
        <w:tc>
          <w:tcPr>
            <w:tcW w:type="dxa" w:w="2376"/>
            <w:vAlign w:val="center"/>
          </w:tcPr>
          <w:p>
            <w:r/>
            <w:r>
              <w:rPr>
                <w:rFonts w:ascii="Aptos" w:hAnsi="Aptos"/>
                <w:b w:val="0"/>
                <w:sz w:val="16"/>
              </w:rPr>
              <w:t>QA end-to-end de lead→reserva.</w:t>
            </w:r>
          </w:p>
        </w:tc>
      </w:tr>
      <w:tr>
        <w:tc>
          <w:tcPr>
            <w:tcW w:type="dxa" w:w="1800"/>
            <w:vAlign w:val="center"/>
          </w:tcPr>
          <w:p>
            <w:r/>
            <w:r>
              <w:rPr>
                <w:rFonts w:ascii="Aptos" w:hAnsi="Aptos"/>
                <w:b w:val="0"/>
                <w:sz w:val="16"/>
              </w:rPr>
              <w:t>3 · Soft launch</w:t>
            </w:r>
          </w:p>
        </w:tc>
        <w:tc>
          <w:tcPr>
            <w:tcW w:type="dxa" w:w="5976"/>
            <w:vAlign w:val="center"/>
          </w:tcPr>
          <w:p>
            <w:r/>
            <w:r>
              <w:rPr>
                <w:rFonts w:ascii="Aptos" w:hAnsi="Aptos"/>
                <w:b w:val="0"/>
                <w:sz w:val="16"/>
              </w:rPr>
              <w:t>Publicar; GBP/SEO técnico; 20 cuentas B2B piloto; campañas Search pequeñas; mystery shopping restante.</w:t>
            </w:r>
          </w:p>
        </w:tc>
        <w:tc>
          <w:tcPr>
            <w:tcW w:type="dxa" w:w="2376"/>
            <w:vAlign w:val="center"/>
          </w:tcPr>
          <w:p>
            <w:r/>
            <w:r>
              <w:rPr>
                <w:rFonts w:ascii="Aptos" w:hAnsi="Aptos"/>
                <w:b w:val="0"/>
                <w:sz w:val="16"/>
              </w:rPr>
              <w:t>Primeros leads reales; corregir fricción.</w:t>
            </w:r>
          </w:p>
        </w:tc>
      </w:tr>
      <w:tr>
        <w:tc>
          <w:tcPr>
            <w:tcW w:type="dxa" w:w="1800"/>
            <w:vAlign w:val="center"/>
          </w:tcPr>
          <w:p>
            <w:r/>
            <w:r>
              <w:rPr>
                <w:rFonts w:ascii="Aptos" w:hAnsi="Aptos"/>
                <w:b w:val="0"/>
                <w:sz w:val="16"/>
              </w:rPr>
              <w:t>4 · Validación</w:t>
            </w:r>
          </w:p>
        </w:tc>
        <w:tc>
          <w:tcPr>
            <w:tcW w:type="dxa" w:w="5976"/>
            <w:vAlign w:val="center"/>
          </w:tcPr>
          <w:p>
            <w:r/>
            <w:r>
              <w:rPr>
                <w:rFonts w:ascii="Aptos" w:hAnsi="Aptos"/>
                <w:b w:val="0"/>
                <w:sz w:val="16"/>
              </w:rPr>
              <w:t>Google Search completo; outbound 100 cuentas; retargeting básico; revisar términos de búsqueda.</w:t>
            </w:r>
          </w:p>
        </w:tc>
        <w:tc>
          <w:tcPr>
            <w:tcW w:type="dxa" w:w="2376"/>
            <w:vAlign w:val="center"/>
          </w:tcPr>
          <w:p>
            <w:r/>
            <w:r>
              <w:rPr>
                <w:rFonts w:ascii="Aptos" w:hAnsi="Aptos"/>
                <w:b w:val="0"/>
                <w:sz w:val="16"/>
              </w:rPr>
              <w:t>≥8–10 leads calificados acumulados.</w:t>
            </w:r>
          </w:p>
        </w:tc>
      </w:tr>
      <w:tr>
        <w:tc>
          <w:tcPr>
            <w:tcW w:type="dxa" w:w="1800"/>
            <w:vAlign w:val="center"/>
          </w:tcPr>
          <w:p>
            <w:r/>
            <w:r>
              <w:rPr>
                <w:rFonts w:ascii="Aptos" w:hAnsi="Aptos"/>
                <w:b w:val="0"/>
                <w:sz w:val="16"/>
              </w:rPr>
              <w:t>5 · Optimización</w:t>
            </w:r>
          </w:p>
        </w:tc>
        <w:tc>
          <w:tcPr>
            <w:tcW w:type="dxa" w:w="5976"/>
            <w:vAlign w:val="center"/>
          </w:tcPr>
          <w:p>
            <w:r/>
            <w:r>
              <w:rPr>
                <w:rFonts w:ascii="Aptos" w:hAnsi="Aptos"/>
                <w:b w:val="0"/>
                <w:sz w:val="16"/>
              </w:rPr>
              <w:t>Ajustar precios/landing/keywords; automatizar follow-up; primer caso de estudio.</w:t>
            </w:r>
          </w:p>
        </w:tc>
        <w:tc>
          <w:tcPr>
            <w:tcW w:type="dxa" w:w="2376"/>
            <w:vAlign w:val="center"/>
          </w:tcPr>
          <w:p>
            <w:r/>
            <w:r>
              <w:rPr>
                <w:rFonts w:ascii="Aptos" w:hAnsi="Aptos"/>
                <w:b w:val="0"/>
                <w:sz w:val="16"/>
              </w:rPr>
              <w:t>Señal de conversión o pivot de oferta.</w:t>
            </w:r>
          </w:p>
        </w:tc>
      </w:tr>
      <w:tr>
        <w:tc>
          <w:tcPr>
            <w:tcW w:type="dxa" w:w="1800"/>
            <w:vAlign w:val="center"/>
          </w:tcPr>
          <w:p>
            <w:r/>
            <w:r>
              <w:rPr>
                <w:rFonts w:ascii="Aptos" w:hAnsi="Aptos"/>
                <w:b w:val="0"/>
                <w:sz w:val="16"/>
              </w:rPr>
              <w:t>6 · Escala controlada</w:t>
            </w:r>
          </w:p>
        </w:tc>
        <w:tc>
          <w:tcPr>
            <w:tcW w:type="dxa" w:w="5976"/>
            <w:vAlign w:val="center"/>
          </w:tcPr>
          <w:p>
            <w:r/>
            <w:r>
              <w:rPr>
                <w:rFonts w:ascii="Aptos" w:hAnsi="Aptos"/>
                <w:b w:val="0"/>
                <w:sz w:val="16"/>
              </w:rPr>
              <w:t>Outbound 200 cuentas; partnerships; aumentar Ads solo en grupos con intención.</w:t>
            </w:r>
          </w:p>
        </w:tc>
        <w:tc>
          <w:tcPr>
            <w:tcW w:type="dxa" w:w="2376"/>
            <w:vAlign w:val="center"/>
          </w:tcPr>
          <w:p>
            <w:r/>
            <w:r>
              <w:rPr>
                <w:rFonts w:ascii="Aptos" w:hAnsi="Aptos"/>
                <w:b w:val="0"/>
                <w:sz w:val="16"/>
              </w:rPr>
              <w:t>CAC y margen dentro de gate.</w:t>
            </w:r>
          </w:p>
        </w:tc>
      </w:tr>
      <w:tr>
        <w:tc>
          <w:tcPr>
            <w:tcW w:type="dxa" w:w="1800"/>
            <w:vAlign w:val="center"/>
          </w:tcPr>
          <w:p>
            <w:r/>
            <w:r>
              <w:rPr>
                <w:rFonts w:ascii="Aptos" w:hAnsi="Aptos"/>
                <w:b w:val="0"/>
                <w:sz w:val="16"/>
              </w:rPr>
              <w:t>7 · Operación</w:t>
            </w:r>
          </w:p>
        </w:tc>
        <w:tc>
          <w:tcPr>
            <w:tcW w:type="dxa" w:w="5976"/>
            <w:vAlign w:val="center"/>
          </w:tcPr>
          <w:p>
            <w:r/>
            <w:r>
              <w:rPr>
                <w:rFonts w:ascii="Aptos" w:hAnsi="Aptos"/>
                <w:b w:val="0"/>
                <w:sz w:val="16"/>
              </w:rPr>
              <w:t>Automatizar checklist, calendario, inventario y postventa; medir horas humanas por reserva.</w:t>
            </w:r>
          </w:p>
        </w:tc>
        <w:tc>
          <w:tcPr>
            <w:tcW w:type="dxa" w:w="2376"/>
            <w:vAlign w:val="center"/>
          </w:tcPr>
          <w:p>
            <w:r/>
            <w:r>
              <w:rPr>
                <w:rFonts w:ascii="Aptos" w:hAnsi="Aptos"/>
                <w:b w:val="0"/>
                <w:sz w:val="16"/>
              </w:rPr>
              <w:t>&lt;45 min administrativos por reserva estándar.</w:t>
            </w:r>
          </w:p>
        </w:tc>
      </w:tr>
      <w:tr>
        <w:tc>
          <w:tcPr>
            <w:tcW w:type="dxa" w:w="1800"/>
            <w:vAlign w:val="center"/>
          </w:tcPr>
          <w:p>
            <w:r/>
            <w:r>
              <w:rPr>
                <w:rFonts w:ascii="Aptos" w:hAnsi="Aptos"/>
                <w:b w:val="0"/>
                <w:sz w:val="16"/>
              </w:rPr>
              <w:t>8 · Decisión</w:t>
            </w:r>
          </w:p>
        </w:tc>
        <w:tc>
          <w:tcPr>
            <w:tcW w:type="dxa" w:w="5976"/>
            <w:vAlign w:val="center"/>
          </w:tcPr>
          <w:p>
            <w:r/>
            <w:r>
              <w:rPr>
                <w:rFonts w:ascii="Aptos" w:hAnsi="Aptos"/>
                <w:b w:val="0"/>
                <w:sz w:val="16"/>
              </w:rPr>
              <w:t>Cohorte completa: demanda, CAC, margen, utilización, recurrencia, feedback.</w:t>
            </w:r>
          </w:p>
        </w:tc>
        <w:tc>
          <w:tcPr>
            <w:tcW w:type="dxa" w:w="2376"/>
            <w:vAlign w:val="center"/>
          </w:tcPr>
          <w:p>
            <w:r/>
            <w:r>
              <w:rPr>
                <w:rFonts w:ascii="Aptos" w:hAnsi="Aptos"/>
                <w:b w:val="0"/>
                <w:sz w:val="16"/>
              </w:rPr>
              <w:t>GO / ITERATE / STOP; decidir siguiente categoría.</w:t>
            </w:r>
          </w:p>
        </w:tc>
      </w:tr>
    </w:tbl>
    <w:p/>
    <w:p>
      <w:pPr>
        <w:pStyle w:val="Heading1"/>
      </w:pPr>
      <w:r>
        <w:t>12. Presupuesto piloto</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E8EEF7"/>
          </w:tcPr>
          <w:p>
            <w:r/>
            <w:r>
              <w:rPr>
                <w:rFonts w:ascii="Aptos" w:hAnsi="Aptos"/>
                <w:b/>
                <w:sz w:val="16"/>
              </w:rPr>
              <w:t>Rubro</w:t>
            </w:r>
          </w:p>
        </w:tc>
        <w:tc>
          <w:tcPr>
            <w:tcW w:type="dxa" w:w="2016"/>
            <w:vAlign w:val="center"/>
            <w:shd w:fill="E8EEF7"/>
          </w:tcPr>
          <w:p>
            <w:r/>
            <w:r>
              <w:rPr>
                <w:rFonts w:ascii="Aptos" w:hAnsi="Aptos"/>
                <w:b/>
                <w:sz w:val="16"/>
              </w:rPr>
              <w:t>Rango COP</w:t>
            </w:r>
          </w:p>
        </w:tc>
        <w:tc>
          <w:tcPr>
            <w:tcW w:type="dxa" w:w="4896"/>
            <w:vAlign w:val="center"/>
            <w:shd w:fill="E8EEF7"/>
          </w:tcPr>
          <w:p>
            <w:r/>
            <w:r>
              <w:rPr>
                <w:rFonts w:ascii="Aptos" w:hAnsi="Aptos"/>
                <w:b/>
                <w:sz w:val="16"/>
              </w:rPr>
              <w:t>Notas</w:t>
            </w:r>
          </w:p>
        </w:tc>
      </w:tr>
      <w:tr>
        <w:tc>
          <w:tcPr>
            <w:tcW w:type="dxa" w:w="3168"/>
            <w:vAlign w:val="center"/>
          </w:tcPr>
          <w:p>
            <w:r/>
            <w:r>
              <w:rPr>
                <w:rFonts w:ascii="Aptos" w:hAnsi="Aptos"/>
                <w:b w:val="0"/>
                <w:sz w:val="16"/>
              </w:rPr>
              <w:t>Dominio / servicios web</w:t>
            </w:r>
          </w:p>
        </w:tc>
        <w:tc>
          <w:tcPr>
            <w:tcW w:type="dxa" w:w="2016"/>
            <w:vAlign w:val="center"/>
          </w:tcPr>
          <w:p>
            <w:r/>
            <w:r>
              <w:rPr>
                <w:rFonts w:ascii="Aptos" w:hAnsi="Aptos"/>
                <w:b w:val="0"/>
                <w:sz w:val="16"/>
              </w:rPr>
              <w:t>150k–500k</w:t>
            </w:r>
          </w:p>
        </w:tc>
        <w:tc>
          <w:tcPr>
            <w:tcW w:type="dxa" w:w="4896"/>
            <w:vAlign w:val="center"/>
          </w:tcPr>
          <w:p>
            <w:r/>
            <w:r>
              <w:rPr>
                <w:rFonts w:ascii="Aptos" w:hAnsi="Aptos"/>
                <w:b w:val="0"/>
                <w:sz w:val="16"/>
              </w:rPr>
              <w:t>Depende del stack; desarrollo interno.</w:t>
            </w:r>
          </w:p>
        </w:tc>
      </w:tr>
      <w:tr>
        <w:tc>
          <w:tcPr>
            <w:tcW w:type="dxa" w:w="3168"/>
            <w:vAlign w:val="center"/>
          </w:tcPr>
          <w:p>
            <w:r/>
            <w:r>
              <w:rPr>
                <w:rFonts w:ascii="Aptos" w:hAnsi="Aptos"/>
                <w:b w:val="0"/>
                <w:sz w:val="16"/>
              </w:rPr>
              <w:t>Google Search</w:t>
            </w:r>
          </w:p>
        </w:tc>
        <w:tc>
          <w:tcPr>
            <w:tcW w:type="dxa" w:w="2016"/>
            <w:vAlign w:val="center"/>
          </w:tcPr>
          <w:p>
            <w:r/>
            <w:r>
              <w:rPr>
                <w:rFonts w:ascii="Aptos" w:hAnsi="Aptos"/>
                <w:b w:val="0"/>
                <w:sz w:val="16"/>
              </w:rPr>
              <w:t>1,8M–2,5M</w:t>
            </w:r>
          </w:p>
        </w:tc>
        <w:tc>
          <w:tcPr>
            <w:tcW w:type="dxa" w:w="4896"/>
            <w:vAlign w:val="center"/>
          </w:tcPr>
          <w:p>
            <w:r/>
            <w:r>
              <w:rPr>
                <w:rFonts w:ascii="Aptos" w:hAnsi="Aptos"/>
                <w:b w:val="0"/>
                <w:sz w:val="16"/>
              </w:rPr>
              <w:t>Principal experimento de demanda.</w:t>
            </w:r>
          </w:p>
        </w:tc>
      </w:tr>
      <w:tr>
        <w:tc>
          <w:tcPr>
            <w:tcW w:type="dxa" w:w="3168"/>
            <w:vAlign w:val="center"/>
          </w:tcPr>
          <w:p>
            <w:r/>
            <w:r>
              <w:rPr>
                <w:rFonts w:ascii="Aptos" w:hAnsi="Aptos"/>
                <w:b w:val="0"/>
                <w:sz w:val="16"/>
              </w:rPr>
              <w:t>Meta/LinkedIn remarketing/tests</w:t>
            </w:r>
          </w:p>
        </w:tc>
        <w:tc>
          <w:tcPr>
            <w:tcW w:type="dxa" w:w="2016"/>
            <w:vAlign w:val="center"/>
          </w:tcPr>
          <w:p>
            <w:r/>
            <w:r>
              <w:rPr>
                <w:rFonts w:ascii="Aptos" w:hAnsi="Aptos"/>
                <w:b w:val="0"/>
                <w:sz w:val="16"/>
              </w:rPr>
              <w:t>300k–700k</w:t>
            </w:r>
          </w:p>
        </w:tc>
        <w:tc>
          <w:tcPr>
            <w:tcW w:type="dxa" w:w="4896"/>
            <w:vAlign w:val="center"/>
          </w:tcPr>
          <w:p>
            <w:r/>
            <w:r>
              <w:rPr>
                <w:rFonts w:ascii="Aptos" w:hAnsi="Aptos"/>
                <w:b w:val="0"/>
                <w:sz w:val="16"/>
              </w:rPr>
              <w:t>Secundario, después de tráfico suficiente.</w:t>
            </w:r>
          </w:p>
        </w:tc>
      </w:tr>
      <w:tr>
        <w:tc>
          <w:tcPr>
            <w:tcW w:type="dxa" w:w="3168"/>
            <w:vAlign w:val="center"/>
          </w:tcPr>
          <w:p>
            <w:r/>
            <w:r>
              <w:rPr>
                <w:rFonts w:ascii="Aptos" w:hAnsi="Aptos"/>
                <w:b w:val="0"/>
                <w:sz w:val="16"/>
              </w:rPr>
              <w:t>Creativos / fotos / video</w:t>
            </w:r>
          </w:p>
        </w:tc>
        <w:tc>
          <w:tcPr>
            <w:tcW w:type="dxa" w:w="2016"/>
            <w:vAlign w:val="center"/>
          </w:tcPr>
          <w:p>
            <w:r/>
            <w:r>
              <w:rPr>
                <w:rFonts w:ascii="Aptos" w:hAnsi="Aptos"/>
                <w:b w:val="0"/>
                <w:sz w:val="16"/>
              </w:rPr>
              <w:t>0–500k</w:t>
            </w:r>
          </w:p>
        </w:tc>
        <w:tc>
          <w:tcPr>
            <w:tcW w:type="dxa" w:w="4896"/>
            <w:vAlign w:val="center"/>
          </w:tcPr>
          <w:p>
            <w:r/>
            <w:r>
              <w:rPr>
                <w:rFonts w:ascii="Aptos" w:hAnsi="Aptos"/>
                <w:b w:val="0"/>
                <w:sz w:val="16"/>
              </w:rPr>
              <w:t>Idealmente interno; priorizar evidencia real.</w:t>
            </w:r>
          </w:p>
        </w:tc>
      </w:tr>
      <w:tr>
        <w:tc>
          <w:tcPr>
            <w:tcW w:type="dxa" w:w="3168"/>
            <w:vAlign w:val="center"/>
          </w:tcPr>
          <w:p>
            <w:r/>
            <w:r>
              <w:rPr>
                <w:rFonts w:ascii="Aptos" w:hAnsi="Aptos"/>
                <w:b w:val="0"/>
                <w:sz w:val="16"/>
              </w:rPr>
              <w:t>Herramientas/automatización</w:t>
            </w:r>
          </w:p>
        </w:tc>
        <w:tc>
          <w:tcPr>
            <w:tcW w:type="dxa" w:w="2016"/>
            <w:vAlign w:val="center"/>
          </w:tcPr>
          <w:p>
            <w:r/>
            <w:r>
              <w:rPr>
                <w:rFonts w:ascii="Aptos" w:hAnsi="Aptos"/>
                <w:b w:val="0"/>
                <w:sz w:val="16"/>
              </w:rPr>
              <w:t>300k–800k</w:t>
            </w:r>
          </w:p>
        </w:tc>
        <w:tc>
          <w:tcPr>
            <w:tcW w:type="dxa" w:w="4896"/>
            <w:vAlign w:val="center"/>
          </w:tcPr>
          <w:p>
            <w:r/>
            <w:r>
              <w:rPr>
                <w:rFonts w:ascii="Aptos" w:hAnsi="Aptos"/>
                <w:b w:val="0"/>
                <w:sz w:val="16"/>
              </w:rPr>
              <w:t>CRM/WhatsApp/hosting/API según stack.</w:t>
            </w:r>
          </w:p>
        </w:tc>
      </w:tr>
      <w:tr>
        <w:tc>
          <w:tcPr>
            <w:tcW w:type="dxa" w:w="3168"/>
            <w:vAlign w:val="center"/>
          </w:tcPr>
          <w:p>
            <w:r/>
            <w:r>
              <w:rPr>
                <w:rFonts w:ascii="Aptos" w:hAnsi="Aptos"/>
                <w:b w:val="0"/>
                <w:sz w:val="16"/>
              </w:rPr>
              <w:t>Contingencia operativa</w:t>
            </w:r>
          </w:p>
        </w:tc>
        <w:tc>
          <w:tcPr>
            <w:tcW w:type="dxa" w:w="2016"/>
            <w:vAlign w:val="center"/>
          </w:tcPr>
          <w:p>
            <w:r/>
            <w:r>
              <w:rPr>
                <w:rFonts w:ascii="Aptos" w:hAnsi="Aptos"/>
                <w:b w:val="0"/>
                <w:sz w:val="16"/>
              </w:rPr>
              <w:t>1,0M–2,0M</w:t>
            </w:r>
          </w:p>
        </w:tc>
        <w:tc>
          <w:tcPr>
            <w:tcW w:type="dxa" w:w="4896"/>
            <w:vAlign w:val="center"/>
          </w:tcPr>
          <w:p>
            <w:r/>
            <w:r>
              <w:rPr>
                <w:rFonts w:ascii="Aptos" w:hAnsi="Aptos"/>
                <w:b w:val="0"/>
                <w:sz w:val="16"/>
              </w:rPr>
              <w:t>Transporte, técnicos piloto, accesorios, reemplazos menores.</w:t>
            </w:r>
          </w:p>
        </w:tc>
      </w:tr>
      <w:tr>
        <w:tc>
          <w:tcPr>
            <w:tcW w:type="dxa" w:w="3168"/>
            <w:vAlign w:val="center"/>
          </w:tcPr>
          <w:p>
            <w:r/>
            <w:r>
              <w:rPr>
                <w:rFonts w:ascii="Aptos" w:hAnsi="Aptos"/>
                <w:b w:val="0"/>
                <w:sz w:val="16"/>
              </w:rPr>
              <w:t>TOTAL 8 semanas</w:t>
            </w:r>
          </w:p>
        </w:tc>
        <w:tc>
          <w:tcPr>
            <w:tcW w:type="dxa" w:w="2016"/>
            <w:vAlign w:val="center"/>
          </w:tcPr>
          <w:p>
            <w:r/>
            <w:r>
              <w:rPr>
                <w:rFonts w:ascii="Aptos" w:hAnsi="Aptos"/>
                <w:b w:val="0"/>
                <w:sz w:val="16"/>
              </w:rPr>
              <w:t>4,5M–7,0M</w:t>
            </w:r>
          </w:p>
        </w:tc>
        <w:tc>
          <w:tcPr>
            <w:tcW w:type="dxa" w:w="4896"/>
            <w:vAlign w:val="center"/>
          </w:tcPr>
          <w:p>
            <w:r/>
            <w:r>
              <w:rPr>
                <w:rFonts w:ascii="Aptos" w:hAnsi="Aptos"/>
                <w:b w:val="0"/>
                <w:sz w:val="16"/>
              </w:rPr>
              <w:t>Sin compra de nuevos equipos ni costo del tiempo interno.</w:t>
            </w:r>
          </w:p>
        </w:tc>
      </w:tr>
    </w:tbl>
    <w:p/>
    <w:p>
      <w:r>
        <w:t>No se recomienda comprar nuevas categorías durante estas 8 semanas. Si aparece una venta concreta de holograma/proyector/tótem, primero subalquilar a un tercero y medir margen/demanda. Comprar activo solo después de observar repetición.</w:t>
      </w:r>
    </w:p>
    <w:p>
      <w:pPr>
        <w:pStyle w:val="Heading1"/>
      </w:pPr>
      <w:r>
        <w:t>13. Gates de éxito</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E8EEF7"/>
          </w:tcPr>
          <w:p>
            <w:r/>
            <w:r>
              <w:rPr>
                <w:rFonts w:ascii="Aptos" w:hAnsi="Aptos"/>
                <w:b/>
                <w:sz w:val="16"/>
              </w:rPr>
              <w:t>Estado</w:t>
            </w:r>
          </w:p>
        </w:tc>
        <w:tc>
          <w:tcPr>
            <w:tcW w:type="dxa" w:w="7632"/>
            <w:vAlign w:val="center"/>
            <w:shd w:fill="E8EEF7"/>
          </w:tcPr>
          <w:p>
            <w:r/>
            <w:r>
              <w:rPr>
                <w:rFonts w:ascii="Aptos" w:hAnsi="Aptos"/>
                <w:b/>
                <w:sz w:val="16"/>
              </w:rPr>
              <w:t>Criterio</w:t>
            </w:r>
          </w:p>
        </w:tc>
      </w:tr>
      <w:tr>
        <w:tc>
          <w:tcPr>
            <w:tcW w:type="dxa" w:w="2448"/>
            <w:vAlign w:val="center"/>
          </w:tcPr>
          <w:p>
            <w:r/>
            <w:r>
              <w:rPr>
                <w:rFonts w:ascii="Aptos" w:hAnsi="Aptos"/>
                <w:b w:val="0"/>
                <w:sz w:val="16"/>
              </w:rPr>
              <w:t>GO — escalar VR</w:t>
            </w:r>
          </w:p>
        </w:tc>
        <w:tc>
          <w:tcPr>
            <w:tcW w:type="dxa" w:w="7632"/>
            <w:vAlign w:val="center"/>
          </w:tcPr>
          <w:p>
            <w:r/>
            <w:r>
              <w:rPr>
                <w:rFonts w:ascii="Aptos" w:hAnsi="Aptos"/>
                <w:b w:val="0"/>
                <w:sz w:val="16"/>
              </w:rPr>
              <w:t>≥3 reservas pagadas o ≥COP 10 M de pipeline altamente calificado en 8 semanas; margen contribución ≥55%; evidencia de canal repetible; operación sin fricción crítica.</w:t>
            </w:r>
          </w:p>
        </w:tc>
      </w:tr>
      <w:tr>
        <w:tc>
          <w:tcPr>
            <w:tcW w:type="dxa" w:w="2448"/>
            <w:vAlign w:val="center"/>
          </w:tcPr>
          <w:p>
            <w:r/>
            <w:r>
              <w:rPr>
                <w:rFonts w:ascii="Aptos" w:hAnsi="Aptos"/>
                <w:b w:val="0"/>
                <w:sz w:val="16"/>
              </w:rPr>
              <w:t>GO — automatizar más</w:t>
            </w:r>
          </w:p>
        </w:tc>
        <w:tc>
          <w:tcPr>
            <w:tcW w:type="dxa" w:w="7632"/>
            <w:vAlign w:val="center"/>
          </w:tcPr>
          <w:p>
            <w:r/>
            <w:r>
              <w:rPr>
                <w:rFonts w:ascii="Aptos" w:hAnsi="Aptos"/>
                <w:b w:val="0"/>
                <w:sz w:val="16"/>
              </w:rPr>
              <w:t>≥8–10 reservas acumuladas y tareas administrativas repetitivas claramente identificadas. Automatizar únicamente esas tareas.</w:t>
            </w:r>
          </w:p>
        </w:tc>
      </w:tr>
      <w:tr>
        <w:tc>
          <w:tcPr>
            <w:tcW w:type="dxa" w:w="2448"/>
            <w:vAlign w:val="center"/>
          </w:tcPr>
          <w:p>
            <w:r/>
            <w:r>
              <w:rPr>
                <w:rFonts w:ascii="Aptos" w:hAnsi="Aptos"/>
                <w:b w:val="0"/>
                <w:sz w:val="16"/>
              </w:rPr>
              <w:t>GO — nueva categoría</w:t>
            </w:r>
          </w:p>
        </w:tc>
        <w:tc>
          <w:tcPr>
            <w:tcW w:type="dxa" w:w="7632"/>
            <w:vAlign w:val="center"/>
          </w:tcPr>
          <w:p>
            <w:r/>
            <w:r>
              <w:rPr>
                <w:rFonts w:ascii="Aptos" w:hAnsi="Aptos"/>
                <w:b w:val="0"/>
                <w:sz w:val="16"/>
              </w:rPr>
              <w:t>≥3 solicitudes reales del mismo tipo de equipo en 60–90 días o partner/subalquiler demuestra margen atractivo; utilización VR estable.</w:t>
            </w:r>
          </w:p>
        </w:tc>
      </w:tr>
      <w:tr>
        <w:tc>
          <w:tcPr>
            <w:tcW w:type="dxa" w:w="2448"/>
            <w:vAlign w:val="center"/>
          </w:tcPr>
          <w:p>
            <w:r/>
            <w:r>
              <w:rPr>
                <w:rFonts w:ascii="Aptos" w:hAnsi="Aptos"/>
                <w:b w:val="0"/>
                <w:sz w:val="16"/>
              </w:rPr>
              <w:t>ITERATE</w:t>
            </w:r>
          </w:p>
        </w:tc>
        <w:tc>
          <w:tcPr>
            <w:tcW w:type="dxa" w:w="7632"/>
            <w:vAlign w:val="center"/>
          </w:tcPr>
          <w:p>
            <w:r/>
            <w:r>
              <w:rPr>
                <w:rFonts w:ascii="Aptos" w:hAnsi="Aptos"/>
                <w:b w:val="0"/>
                <w:sz w:val="16"/>
              </w:rPr>
              <w:t>Leads existen pero conversión/precio falla: cambiar oferta, pricing, landing o segmento antes de aumentar pauta.</w:t>
            </w:r>
          </w:p>
        </w:tc>
      </w:tr>
      <w:tr>
        <w:tc>
          <w:tcPr>
            <w:tcW w:type="dxa" w:w="2448"/>
            <w:vAlign w:val="center"/>
          </w:tcPr>
          <w:p>
            <w:r/>
            <w:r>
              <w:rPr>
                <w:rFonts w:ascii="Aptos" w:hAnsi="Aptos"/>
                <w:b w:val="0"/>
                <w:sz w:val="16"/>
              </w:rPr>
              <w:t>STOP / pausa</w:t>
            </w:r>
          </w:p>
        </w:tc>
        <w:tc>
          <w:tcPr>
            <w:tcW w:type="dxa" w:w="7632"/>
            <w:vAlign w:val="center"/>
          </w:tcPr>
          <w:p>
            <w:r/>
            <w:r>
              <w:rPr>
                <w:rFonts w:ascii="Aptos" w:hAnsi="Aptos"/>
                <w:b w:val="0"/>
                <w:sz w:val="16"/>
              </w:rPr>
              <w:t>Después de tráfico suficiente no aparecen leads calificados, CAC excede margen esperado de forma persistente o la operación consume demasiado tiempo humano.</w:t>
            </w:r>
          </w:p>
        </w:tc>
      </w:tr>
    </w:tbl>
    <w:p/>
    <w:p>
      <w:pPr>
        <w:pStyle w:val="Heading1"/>
      </w:pPr>
      <w:r>
        <w:t>14. Backlog para Codex</w:t>
      </w:r>
    </w:p>
    <w:p>
      <w:r>
        <w:t>Épica A — Fundamentos</w:t>
      </w:r>
    </w:p>
    <w:p>
      <w:pPr>
        <w:pStyle w:val="ListBullet"/>
      </w:pPr>
      <w:r>
        <w:t>README del proyecto y decisiones</w:t>
      </w:r>
    </w:p>
    <w:p>
      <w:pPr>
        <w:pStyle w:val="ListBullet"/>
      </w:pPr>
      <w:r>
        <w:t>Modelo de datos: equipment, inventory_unit, booking, lead, quote, customer, technician, payment</w:t>
      </w:r>
    </w:p>
    <w:p>
      <w:pPr>
        <w:pStyle w:val="ListBullet"/>
      </w:pPr>
      <w:r>
        <w:t>Archivo de reglas de pricing versionado</w:t>
      </w:r>
    </w:p>
    <w:p>
      <w:pPr>
        <w:pStyle w:val="ListBullet"/>
      </w:pPr>
      <w:r>
        <w:t>Variables de entorno y separación dev/prod</w:t>
      </w:r>
    </w:p>
    <w:p>
      <w:r>
        <w:t>Épica B — Frontend</w:t>
      </w:r>
    </w:p>
    <w:p>
      <w:pPr>
        <w:pStyle w:val="ListBullet"/>
      </w:pPr>
      <w:r>
        <w:t>Home amplia de tecnología para eventos</w:t>
      </w:r>
    </w:p>
    <w:p>
      <w:pPr>
        <w:pStyle w:val="ListBullet"/>
      </w:pPr>
      <w:r>
        <w:t>Landing VR</w:t>
      </w:r>
    </w:p>
    <w:p>
      <w:pPr>
        <w:pStyle w:val="ListBullet"/>
      </w:pPr>
      <w:r>
        <w:t>Páginas Quest 2 / Quest 3</w:t>
      </w:r>
    </w:p>
    <w:p>
      <w:pPr>
        <w:pStyle w:val="ListBullet"/>
      </w:pPr>
      <w:r>
        <w:t>Cotizador responsive</w:t>
      </w:r>
    </w:p>
    <w:p>
      <w:pPr>
        <w:pStyle w:val="ListBullet"/>
      </w:pPr>
      <w:r>
        <w:t>Pantallas de confirmación/reserva</w:t>
      </w:r>
    </w:p>
    <w:p>
      <w:pPr>
        <w:pStyle w:val="ListBullet"/>
      </w:pPr>
      <w:r>
        <w:t>Componentes SEO reutilizables para futuras categorías</w:t>
      </w:r>
    </w:p>
    <w:p>
      <w:r>
        <w:t>Épica C — Backend</w:t>
      </w:r>
    </w:p>
    <w:p>
      <w:pPr>
        <w:pStyle w:val="ListBullet"/>
      </w:pPr>
      <w:r>
        <w:t>API de disponibilidad</w:t>
      </w:r>
    </w:p>
    <w:p>
      <w:pPr>
        <w:pStyle w:val="ListBullet"/>
      </w:pPr>
      <w:r>
        <w:t>Motor de cotización v0 basado en reglas</w:t>
      </w:r>
    </w:p>
    <w:p>
      <w:pPr>
        <w:pStyle w:val="ListBullet"/>
      </w:pPr>
      <w:r>
        <w:t>Bloqueos de inventario</w:t>
      </w:r>
    </w:p>
    <w:p>
      <w:pPr>
        <w:pStyle w:val="ListBullet"/>
      </w:pPr>
      <w:r>
        <w:t>Estados de reserva</w:t>
      </w:r>
    </w:p>
    <w:p>
      <w:pPr>
        <w:pStyle w:val="ListBullet"/>
      </w:pPr>
      <w:r>
        <w:t>Integración de pagos</w:t>
      </w:r>
    </w:p>
    <w:p>
      <w:pPr>
        <w:pStyle w:val="ListBullet"/>
      </w:pPr>
      <w:r>
        <w:t>Webhooks idempotentes</w:t>
      </w:r>
    </w:p>
    <w:p>
      <w:pPr>
        <w:pStyle w:val="ListBullet"/>
      </w:pPr>
      <w:r>
        <w:t>Generación de cotización PDF</w:t>
      </w:r>
    </w:p>
    <w:p>
      <w:r>
        <w:t>Épica D — Growth/Analytics</w:t>
      </w:r>
    </w:p>
    <w:p>
      <w:pPr>
        <w:pStyle w:val="ListBullet"/>
      </w:pPr>
      <w:r>
        <w:t>GA4 + Google Tag / GTM</w:t>
      </w:r>
    </w:p>
    <w:p>
      <w:pPr>
        <w:pStyle w:val="ListBullet"/>
      </w:pPr>
      <w:r>
        <w:t>Eventos: quote_start, quote_complete, whatsapp_click, deposit_start, deposit_paid</w:t>
      </w:r>
    </w:p>
    <w:p>
      <w:pPr>
        <w:pStyle w:val="ListBullet"/>
      </w:pPr>
      <w:r>
        <w:t>UTM/GCLID persistente en lead</w:t>
      </w:r>
    </w:p>
    <w:p>
      <w:pPr>
        <w:pStyle w:val="ListBullet"/>
      </w:pPr>
      <w:r>
        <w:t>Dashboard semanal CAC, leads, reservas, revenue y margen</w:t>
      </w:r>
    </w:p>
    <w:p>
      <w:pPr>
        <w:pStyle w:val="ListBullet"/>
      </w:pPr>
      <w:r>
        <w:t>Sitemap, robots, schema y Search Console</w:t>
      </w:r>
    </w:p>
    <w:p>
      <w:r>
        <w:t>Épica E — Automatización</w:t>
      </w:r>
    </w:p>
    <w:p>
      <w:pPr>
        <w:pStyle w:val="ListBullet"/>
      </w:pPr>
      <w:r>
        <w:t>WhatsApp IA con FAQ y handoff</w:t>
      </w:r>
    </w:p>
    <w:p>
      <w:pPr>
        <w:pStyle w:val="ListBullet"/>
      </w:pPr>
      <w:r>
        <w:t>Follow-ups</w:t>
      </w:r>
    </w:p>
    <w:p>
      <w:pPr>
        <w:pStyle w:val="ListBullet"/>
      </w:pPr>
      <w:r>
        <w:t>Calendar booking</w:t>
      </w:r>
    </w:p>
    <w:p>
      <w:pPr>
        <w:pStyle w:val="ListBullet"/>
      </w:pPr>
      <w:r>
        <w:t>Checklists T-7/T-2/T-1</w:t>
      </w:r>
    </w:p>
    <w:p>
      <w:pPr>
        <w:pStyle w:val="ListBullet"/>
      </w:pPr>
      <w:r>
        <w:t>Post-event NPS/review</w:t>
      </w:r>
    </w:p>
    <w:p>
      <w:pPr>
        <w:pStyle w:val="ListBullet"/>
      </w:pPr>
      <w:r>
        <w:t>Alertas de inventario/conflictos</w:t>
      </w:r>
    </w:p>
    <w:p>
      <w:pPr>
        <w:pStyle w:val="Heading1"/>
      </w:pPr>
      <w:r>
        <w:t>15. Datos que deben existir antes de escribir código de pricing</w:t>
      </w:r>
    </w:p>
    <w:p>
      <w:pPr>
        <w:pStyle w:val="ListBullet"/>
      </w:pPr>
      <w:r>
        <w:t>Costo real por técnico por jornada y horas extra.</w:t>
      </w:r>
    </w:p>
    <w:p>
      <w:pPr>
        <w:pStyle w:val="ListBullet"/>
      </w:pPr>
      <w:r>
        <w:t>Costo promedio de transporte Bogotá por zona/horario.</w:t>
      </w:r>
    </w:p>
    <w:p>
      <w:pPr>
        <w:pStyle w:val="ListBullet"/>
      </w:pPr>
      <w:r>
        <w:t>Tiempo interno de preparación por visor y por evento.</w:t>
      </w:r>
    </w:p>
    <w:p>
      <w:pPr>
        <w:pStyle w:val="ListBullet"/>
      </w:pPr>
      <w:r>
        <w:t>Costo de accesorios consumibles, higiene, baterías/powerbanks y pérdidas.</w:t>
      </w:r>
    </w:p>
    <w:p>
      <w:pPr>
        <w:pStyle w:val="ListBullet"/>
      </w:pPr>
      <w:r>
        <w:t>Política de daños, deducible/garantía y responsable contractual.</w:t>
      </w:r>
    </w:p>
    <w:p>
      <w:pPr>
        <w:pStyle w:val="ListBullet"/>
      </w:pPr>
      <w:r>
        <w:t>Buffer de inventario: unidades de respaldo por cada N visores.</w:t>
      </w:r>
    </w:p>
    <w:p>
      <w:pPr>
        <w:pStyle w:val="ListBullet"/>
      </w:pPr>
      <w:r>
        <w:t>IVA/facturación aplicable y tratamiento del anticipo.</w:t>
      </w:r>
    </w:p>
    <w:p>
      <w:pPr>
        <w:pStyle w:val="ListBullet"/>
      </w:pPr>
      <w:r>
        <w:t>Contenido: qué es libre/licenciado, qué puede usarse comercialmente y qué requiere compra/desarrollo.</w:t>
      </w:r>
    </w:p>
    <w:p>
      <w:pPr>
        <w:pStyle w:val="ListBullet"/>
      </w:pPr>
      <w:r>
        <w:t>Capacidad máxima real por técnico y simultaneidad de eventos.</w:t>
      </w:r>
    </w:p>
    <w:p>
      <w:pPr>
        <w:pStyle w:val="Heading1"/>
      </w:pPr>
      <w:r>
        <w:t>16. Arquitectura futura del catálogo</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E8EEF7"/>
          </w:tcPr>
          <w:p>
            <w:r/>
            <w:r>
              <w:rPr>
                <w:rFonts w:ascii="Aptos" w:hAnsi="Aptos"/>
                <w:b/>
                <w:sz w:val="16"/>
              </w:rPr>
              <w:t>Vertical</w:t>
            </w:r>
          </w:p>
        </w:tc>
        <w:tc>
          <w:tcPr>
            <w:tcW w:type="dxa" w:w="3528"/>
            <w:vAlign w:val="center"/>
            <w:shd w:fill="E8EEF7"/>
          </w:tcPr>
          <w:p>
            <w:r/>
            <w:r>
              <w:rPr>
                <w:rFonts w:ascii="Aptos" w:hAnsi="Aptos"/>
                <w:b/>
                <w:sz w:val="16"/>
              </w:rPr>
              <w:t>Entrada recomendada</w:t>
            </w:r>
          </w:p>
        </w:tc>
        <w:tc>
          <w:tcPr>
            <w:tcW w:type="dxa" w:w="4320"/>
            <w:vAlign w:val="center"/>
            <w:shd w:fill="E8EEF7"/>
          </w:tcPr>
          <w:p>
            <w:r/>
            <w:r>
              <w:rPr>
                <w:rFonts w:ascii="Aptos" w:hAnsi="Aptos"/>
                <w:b/>
                <w:sz w:val="16"/>
              </w:rPr>
              <w:t>Regla de expansión</w:t>
            </w:r>
          </w:p>
        </w:tc>
      </w:tr>
      <w:tr>
        <w:tc>
          <w:tcPr>
            <w:tcW w:type="dxa" w:w="2232"/>
            <w:vAlign w:val="center"/>
          </w:tcPr>
          <w:p>
            <w:r/>
            <w:r>
              <w:rPr>
                <w:rFonts w:ascii="Aptos" w:hAnsi="Aptos"/>
                <w:b w:val="0"/>
                <w:sz w:val="16"/>
              </w:rPr>
              <w:t>VR / XR</w:t>
            </w:r>
          </w:p>
        </w:tc>
        <w:tc>
          <w:tcPr>
            <w:tcW w:type="dxa" w:w="3528"/>
            <w:vAlign w:val="center"/>
          </w:tcPr>
          <w:p>
            <w:r/>
            <w:r>
              <w:rPr>
                <w:rFonts w:ascii="Aptos" w:hAnsi="Aptos"/>
                <w:b w:val="0"/>
                <w:sz w:val="16"/>
              </w:rPr>
              <w:t>Quest 2, Quest 3</w:t>
            </w:r>
          </w:p>
        </w:tc>
        <w:tc>
          <w:tcPr>
            <w:tcW w:type="dxa" w:w="4320"/>
            <w:vAlign w:val="center"/>
          </w:tcPr>
          <w:p>
            <w:r/>
            <w:r>
              <w:rPr>
                <w:rFonts w:ascii="Aptos" w:hAnsi="Aptos"/>
                <w:b w:val="0"/>
                <w:sz w:val="16"/>
              </w:rPr>
              <w:t>Propio desde día 1.</w:t>
            </w:r>
          </w:p>
        </w:tc>
      </w:tr>
      <w:tr>
        <w:tc>
          <w:tcPr>
            <w:tcW w:type="dxa" w:w="2232"/>
            <w:vAlign w:val="center"/>
          </w:tcPr>
          <w:p>
            <w:r/>
            <w:r>
              <w:rPr>
                <w:rFonts w:ascii="Aptos" w:hAnsi="Aptos"/>
                <w:b w:val="0"/>
                <w:sz w:val="16"/>
              </w:rPr>
              <w:t>Displays interactivos</w:t>
            </w:r>
          </w:p>
        </w:tc>
        <w:tc>
          <w:tcPr>
            <w:tcW w:type="dxa" w:w="3528"/>
            <w:vAlign w:val="center"/>
          </w:tcPr>
          <w:p>
            <w:r/>
            <w:r>
              <w:rPr>
                <w:rFonts w:ascii="Aptos" w:hAnsi="Aptos"/>
                <w:b w:val="0"/>
                <w:sz w:val="16"/>
              </w:rPr>
              <w:t>Tótem touch, monitor touch</w:t>
            </w:r>
          </w:p>
        </w:tc>
        <w:tc>
          <w:tcPr>
            <w:tcW w:type="dxa" w:w="4320"/>
            <w:vAlign w:val="center"/>
          </w:tcPr>
          <w:p>
            <w:r/>
            <w:r>
              <w:rPr>
                <w:rFonts w:ascii="Aptos" w:hAnsi="Aptos"/>
                <w:b w:val="0"/>
                <w:sz w:val="16"/>
              </w:rPr>
              <w:t>Subalquilar primero; comprar cuando haya recurrencia.</w:t>
            </w:r>
          </w:p>
        </w:tc>
      </w:tr>
      <w:tr>
        <w:tc>
          <w:tcPr>
            <w:tcW w:type="dxa" w:w="2232"/>
            <w:vAlign w:val="center"/>
          </w:tcPr>
          <w:p>
            <w:r/>
            <w:r>
              <w:rPr>
                <w:rFonts w:ascii="Aptos" w:hAnsi="Aptos"/>
                <w:b w:val="0"/>
                <w:sz w:val="16"/>
              </w:rPr>
              <w:t>Proyección</w:t>
            </w:r>
          </w:p>
        </w:tc>
        <w:tc>
          <w:tcPr>
            <w:tcW w:type="dxa" w:w="3528"/>
            <w:vAlign w:val="center"/>
          </w:tcPr>
          <w:p>
            <w:r/>
            <w:r>
              <w:rPr>
                <w:rFonts w:ascii="Aptos" w:hAnsi="Aptos"/>
                <w:b w:val="0"/>
                <w:sz w:val="16"/>
              </w:rPr>
              <w:t>Proyector láser/short throw especializado</w:t>
            </w:r>
          </w:p>
        </w:tc>
        <w:tc>
          <w:tcPr>
            <w:tcW w:type="dxa" w:w="4320"/>
            <w:vAlign w:val="center"/>
          </w:tcPr>
          <w:p>
            <w:r/>
            <w:r>
              <w:rPr>
                <w:rFonts w:ascii="Aptos" w:hAnsi="Aptos"/>
                <w:b w:val="0"/>
                <w:sz w:val="16"/>
              </w:rPr>
              <w:t>Entrar solo con usos diferenciados, no commodity audiovisual.</w:t>
            </w:r>
          </w:p>
        </w:tc>
      </w:tr>
      <w:tr>
        <w:tc>
          <w:tcPr>
            <w:tcW w:type="dxa" w:w="2232"/>
            <w:vAlign w:val="center"/>
          </w:tcPr>
          <w:p>
            <w:r/>
            <w:r>
              <w:rPr>
                <w:rFonts w:ascii="Aptos" w:hAnsi="Aptos"/>
                <w:b w:val="0"/>
                <w:sz w:val="16"/>
              </w:rPr>
              <w:t>Holografía</w:t>
            </w:r>
          </w:p>
        </w:tc>
        <w:tc>
          <w:tcPr>
            <w:tcW w:type="dxa" w:w="3528"/>
            <w:vAlign w:val="center"/>
          </w:tcPr>
          <w:p>
            <w:r/>
            <w:r>
              <w:rPr>
                <w:rFonts w:ascii="Aptos" w:hAnsi="Aptos"/>
                <w:b w:val="0"/>
                <w:sz w:val="16"/>
              </w:rPr>
              <w:t>Hologram fan / displays holográficos</w:t>
            </w:r>
          </w:p>
        </w:tc>
        <w:tc>
          <w:tcPr>
            <w:tcW w:type="dxa" w:w="4320"/>
            <w:vAlign w:val="center"/>
          </w:tcPr>
          <w:p>
            <w:r/>
            <w:r>
              <w:rPr>
                <w:rFonts w:ascii="Aptos" w:hAnsi="Aptos"/>
                <w:b w:val="0"/>
                <w:sz w:val="16"/>
              </w:rPr>
              <w:t>Paquete con contenido; evitar hardware sin propuesta visual.</w:t>
            </w:r>
          </w:p>
        </w:tc>
      </w:tr>
      <w:tr>
        <w:tc>
          <w:tcPr>
            <w:tcW w:type="dxa" w:w="2232"/>
            <w:vAlign w:val="center"/>
          </w:tcPr>
          <w:p>
            <w:r/>
            <w:r>
              <w:rPr>
                <w:rFonts w:ascii="Aptos" w:hAnsi="Aptos"/>
                <w:b w:val="0"/>
                <w:sz w:val="16"/>
              </w:rPr>
              <w:t>Tablets / registro</w:t>
            </w:r>
          </w:p>
        </w:tc>
        <w:tc>
          <w:tcPr>
            <w:tcW w:type="dxa" w:w="3528"/>
            <w:vAlign w:val="center"/>
          </w:tcPr>
          <w:p>
            <w:r/>
            <w:r>
              <w:rPr>
                <w:rFonts w:ascii="Aptos" w:hAnsi="Aptos"/>
                <w:b w:val="0"/>
                <w:sz w:val="16"/>
              </w:rPr>
              <w:t>iPad/Android + soportes</w:t>
            </w:r>
          </w:p>
        </w:tc>
        <w:tc>
          <w:tcPr>
            <w:tcW w:type="dxa" w:w="4320"/>
            <w:vAlign w:val="center"/>
          </w:tcPr>
          <w:p>
            <w:r/>
            <w:r>
              <w:rPr>
                <w:rFonts w:ascii="Aptos" w:hAnsi="Aptos"/>
                <w:b w:val="0"/>
                <w:sz w:val="16"/>
              </w:rPr>
              <w:t>Solo si complementa eventos y existe volumen.</w:t>
            </w:r>
          </w:p>
        </w:tc>
      </w:tr>
      <w:tr>
        <w:tc>
          <w:tcPr>
            <w:tcW w:type="dxa" w:w="2232"/>
            <w:vAlign w:val="center"/>
          </w:tcPr>
          <w:p>
            <w:r/>
            <w:r>
              <w:rPr>
                <w:rFonts w:ascii="Aptos" w:hAnsi="Aptos"/>
                <w:b w:val="0"/>
                <w:sz w:val="16"/>
              </w:rPr>
              <w:t>Sensores / interactivos</w:t>
            </w:r>
          </w:p>
        </w:tc>
        <w:tc>
          <w:tcPr>
            <w:tcW w:type="dxa" w:w="3528"/>
            <w:vAlign w:val="center"/>
          </w:tcPr>
          <w:p>
            <w:r/>
            <w:r>
              <w:rPr>
                <w:rFonts w:ascii="Aptos" w:hAnsi="Aptos"/>
                <w:b w:val="0"/>
                <w:sz w:val="16"/>
              </w:rPr>
              <w:t>Kinect/LiDAR/cámaras/sensores</w:t>
            </w:r>
          </w:p>
        </w:tc>
        <w:tc>
          <w:tcPr>
            <w:tcW w:type="dxa" w:w="4320"/>
            <w:vAlign w:val="center"/>
          </w:tcPr>
          <w:p>
            <w:r/>
            <w:r>
              <w:rPr>
                <w:rFonts w:ascii="Aptos" w:hAnsi="Aptos"/>
                <w:b w:val="0"/>
                <w:sz w:val="16"/>
              </w:rPr>
              <w:t>Más adelante, como kits con software/experiencia.</w:t>
            </w:r>
          </w:p>
        </w:tc>
      </w:tr>
    </w:tbl>
    <w:p/>
    <w:p>
      <w:pPr>
        <w:pStyle w:val="Heading1"/>
      </w:pPr>
      <w:r>
        <w:t>17. Fuentes y referencias de research</w:t>
      </w:r>
    </w:p>
    <w:p>
      <w:r>
        <w:rPr>
          <w:b/>
        </w:rPr>
        <w:t xml:space="preserve">Wompi — Planes y tarifas — </w:t>
      </w:r>
      <w:r>
        <w:t>https://wompi.co/es/co/planes-tarifas/</w:t>
        <w:br/>
        <w:t>2,65% + $700 + IVA por transacción exitosa; checkout, links, API y plugins.</w:t>
      </w:r>
    </w:p>
    <w:p>
      <w:r>
        <w:rPr>
          <w:b/>
        </w:rPr>
        <w:t xml:space="preserve">Google Ads — Keyword Planner — </w:t>
      </w:r>
      <w:r>
        <w:t>https://support.google.com/google-ads/answer/7337243?hl=es</w:t>
        <w:br/>
        <w:t>Herramienta para volumen estimado, ideas y costes de palabras clave.</w:t>
      </w:r>
    </w:p>
    <w:p>
      <w:r>
        <w:rPr>
          <w:b/>
        </w:rPr>
        <w:t xml:space="preserve">Google Ads — Conversion tracking — </w:t>
      </w:r>
      <w:r>
        <w:t>https://support.google.com/google-ads/answer/16560108?hl=es</w:t>
        <w:br/>
        <w:t>Configuración de conversiones web y medición.</w:t>
      </w:r>
    </w:p>
    <w:p>
      <w:r>
        <w:rPr>
          <w:b/>
        </w:rPr>
        <w:t xml:space="preserve">Google Search Central — LocalBusiness — </w:t>
      </w:r>
      <w:r>
        <w:t>https://developers.google.com/search/docs/appearance/structured-data/local-business?hl=es</w:t>
        <w:br/>
        <w:t>Datos estructurados para negocio local.</w:t>
      </w:r>
    </w:p>
    <w:p>
      <w:r>
        <w:rPr>
          <w:b/>
        </w:rPr>
        <w:t xml:space="preserve">Immersive VR-Media — </w:t>
      </w:r>
      <w:r>
        <w:t>https://immersive.com.co/</w:t>
        <w:br/>
        <w:t>Alquiler Meta Quest con configuración, contenido y asistencia técnica.</w:t>
      </w:r>
    </w:p>
    <w:p>
      <w:r>
        <w:rPr>
          <w:b/>
        </w:rPr>
        <w:t xml:space="preserve">Virtual Room Bogotá — corporativos — </w:t>
      </w:r>
      <w:r>
        <w:t>https://bogota.virtual-room.com/eventos-corporativos/</w:t>
        <w:br/>
        <w:t>Oferta VR móvil para team building, ferias y lanzamientos.</w:t>
      </w:r>
    </w:p>
    <w:p>
      <w:r>
        <w:rPr>
          <w:b/>
        </w:rPr>
        <w:t xml:space="preserve">NextBot Eventos — alquiler — </w:t>
      </w:r>
      <w:r>
        <w:t>https://nextboteventos.com/alquiler-de-equipos/</w:t>
        <w:br/>
        <w:t>Catálogo multitecnología y precios publicados de algunos equipos.</w:t>
      </w:r>
    </w:p>
    <w:p>
      <w:r>
        <w:rPr>
          <w:b/>
        </w:rPr>
        <w:t xml:space="preserve">TEKNO by TAKUB — </w:t>
      </w:r>
      <w:r>
        <w:t>https://www.takub.com/alquiler-totem-digital/</w:t>
        <w:br/>
        <w:t>Tótems, monitores, tablets, VR; pricing público y soporte.</w:t>
      </w:r>
    </w:p>
    <w:p>
      <w:r>
        <w:rPr>
          <w:b/>
        </w:rPr>
        <w:t xml:space="preserve">MiTotem — </w:t>
      </w:r>
      <w:r>
        <w:t>https://www.mitotem.co/alquiler</w:t>
        <w:br/>
        <w:t>Tótems/kioscos/tablets, instalación, programación y soporte.</w:t>
      </w:r>
    </w:p>
    <w:p>
      <w:r>
        <w:rPr>
          <w:b/>
        </w:rPr>
        <w:t xml:space="preserve">APG Tecnología — </w:t>
      </w:r>
      <w:r>
        <w:t>https://apgtecnologia.co/alquiler-tablets-bogota-cali-medellin-barranquilla/</w:t>
        <w:br/>
        <w:t>Renting de tablets para eventos en varias ciudades.</w:t>
      </w:r>
    </w:p>
    <w:p>
      <w:pPr>
        <w:pStyle w:val="Heading1"/>
      </w:pPr>
      <w:r>
        <w:t>18. Próxima acción</w:t>
      </w:r>
    </w:p>
    <w:p>
      <w:r>
        <w:t>Usar este documento como README estratégico del proyecto 03_ALQUILER_TECH. El siguiente sprint no es “construir todo”: es cerrar naming, pricing v0, reglas operativas y especificación del MVP; después Codex puede implementar la web/cotizador/analítica por épicas. En paralelo se completa el benchmark de proveedores y se prepara la primera campaña de Search y la lista B2B.</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Plan Maestro · Alquiler de Tecnología para Eventos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