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4C540" w14:textId="77777777" w:rsidR="003D3EC0" w:rsidRPr="00112E67" w:rsidRDefault="008F5DAB" w:rsidP="006E6E92">
      <w:pPr>
        <w:pStyle w:val="001-Title"/>
        <w:rPr>
          <w:lang w:val="en-US"/>
        </w:rPr>
      </w:pPr>
      <w:r w:rsidRPr="008F5DAB">
        <w:rPr>
          <w:lang w:val="en-US"/>
        </w:rPr>
        <w:t>Open data to evaluate academic researchers: an experiment with the Italian Scientific Habilitation</w:t>
      </w:r>
    </w:p>
    <w:p w14:paraId="090FE578" w14:textId="77777777" w:rsidR="006E6E92" w:rsidRPr="008F5DAB" w:rsidRDefault="008F5DAB" w:rsidP="006E6E92">
      <w:pPr>
        <w:pStyle w:val="002-Authors"/>
        <w:rPr>
          <w:lang w:val="it-IT"/>
        </w:rPr>
      </w:pPr>
      <w:r w:rsidRPr="008F5DAB">
        <w:rPr>
          <w:lang w:val="it-IT"/>
        </w:rPr>
        <w:t>Angelo Di Iorio</w:t>
      </w:r>
      <w:r w:rsidR="006E6E92" w:rsidRPr="008F5DAB">
        <w:rPr>
          <w:vertAlign w:val="superscript"/>
          <w:lang w:val="it-IT"/>
        </w:rPr>
        <w:t>1</w:t>
      </w:r>
      <w:r w:rsidR="006E6E92" w:rsidRPr="008F5DAB">
        <w:rPr>
          <w:lang w:val="it-IT"/>
        </w:rPr>
        <w:t xml:space="preserve"> </w:t>
      </w:r>
      <w:r w:rsidRPr="008F5DAB">
        <w:rPr>
          <w:lang w:val="it-IT"/>
        </w:rPr>
        <w:t xml:space="preserve">and </w:t>
      </w:r>
      <w:r>
        <w:rPr>
          <w:lang w:val="it-IT"/>
        </w:rPr>
        <w:t>Francesco Poggi</w:t>
      </w:r>
      <w:r>
        <w:rPr>
          <w:vertAlign w:val="superscript"/>
          <w:lang w:val="it-IT"/>
        </w:rPr>
        <w:t>1</w:t>
      </w:r>
      <w:r>
        <w:rPr>
          <w:lang w:val="it-IT"/>
        </w:rPr>
        <w:t xml:space="preserve"> a</w:t>
      </w:r>
      <w:r w:rsidR="006E6E92" w:rsidRPr="008F5DAB">
        <w:rPr>
          <w:lang w:val="it-IT"/>
        </w:rPr>
        <w:t xml:space="preserve">nd </w:t>
      </w:r>
      <w:r>
        <w:rPr>
          <w:lang w:val="it-IT"/>
        </w:rPr>
        <w:t>Silvio Peroni</w:t>
      </w:r>
      <w:r w:rsidR="006E6E92" w:rsidRPr="008F5DAB">
        <w:rPr>
          <w:vertAlign w:val="superscript"/>
          <w:lang w:val="it-IT"/>
        </w:rPr>
        <w:t>2</w:t>
      </w:r>
    </w:p>
    <w:p w14:paraId="41E2EF6E" w14:textId="77777777" w:rsidR="006E6E92" w:rsidRPr="008F5DAB" w:rsidRDefault="006E6E92" w:rsidP="006E6E92">
      <w:pPr>
        <w:pStyle w:val="003-Email"/>
        <w:rPr>
          <w:lang w:val="it-IT"/>
        </w:rPr>
      </w:pPr>
      <w:r w:rsidRPr="008F5DAB">
        <w:rPr>
          <w:vertAlign w:val="superscript"/>
          <w:lang w:val="it-IT"/>
        </w:rPr>
        <w:t xml:space="preserve">1 </w:t>
      </w:r>
      <w:r w:rsidR="008F5DAB">
        <w:rPr>
          <w:lang w:val="it-IT"/>
        </w:rPr>
        <w:t>{a</w:t>
      </w:r>
      <w:r w:rsidR="008F5DAB" w:rsidRPr="008F5DAB">
        <w:rPr>
          <w:lang w:val="it-IT"/>
        </w:rPr>
        <w:t>ngelo.diiorio</w:t>
      </w:r>
      <w:r w:rsidR="008F5DAB">
        <w:rPr>
          <w:lang w:val="it-IT"/>
        </w:rPr>
        <w:t>|francesco.poggi5}</w:t>
      </w:r>
      <w:r w:rsidRPr="008F5DAB">
        <w:rPr>
          <w:lang w:val="it-IT"/>
        </w:rPr>
        <w:t>@</w:t>
      </w:r>
      <w:r w:rsidR="008F5DAB">
        <w:rPr>
          <w:lang w:val="it-IT"/>
        </w:rPr>
        <w:t>unibo.it</w:t>
      </w:r>
    </w:p>
    <w:p w14:paraId="3A0829B3" w14:textId="77777777" w:rsidR="006E6E92" w:rsidRPr="00112E67" w:rsidRDefault="008F5DAB" w:rsidP="006E6E92">
      <w:pPr>
        <w:pStyle w:val="004-Affiliation"/>
      </w:pPr>
      <w:r>
        <w:t>Department of Computer Science and Engineering (DISI), University of Bologna, Bologna (Italy)</w:t>
      </w:r>
    </w:p>
    <w:p w14:paraId="66349097" w14:textId="68439A49" w:rsidR="006E6E92" w:rsidRPr="00842AF2" w:rsidRDefault="006E6E92" w:rsidP="006E6E92">
      <w:pPr>
        <w:pStyle w:val="003-Email"/>
        <w:rPr>
          <w:highlight w:val="yellow"/>
        </w:rPr>
      </w:pPr>
      <w:r w:rsidRPr="00E90BFF">
        <w:rPr>
          <w:vertAlign w:val="superscript"/>
        </w:rPr>
        <w:t xml:space="preserve">2 </w:t>
      </w:r>
      <w:r w:rsidR="00654FA4">
        <w:t>silvio.peroni</w:t>
      </w:r>
      <w:r w:rsidRPr="000F4E83">
        <w:t>@</w:t>
      </w:r>
      <w:r w:rsidR="00654FA4">
        <w:t>unibo.it</w:t>
      </w:r>
    </w:p>
    <w:p w14:paraId="099BE586" w14:textId="77777777" w:rsidR="006E6E92" w:rsidRPr="00977639" w:rsidRDefault="008F5DAB" w:rsidP="006E6E92">
      <w:pPr>
        <w:pStyle w:val="004-Affiliation"/>
        <w:rPr>
          <w:lang w:val="pt-BR"/>
        </w:rPr>
      </w:pPr>
      <w:r>
        <w:t>Digital Humanities Advanced Research Centre (DHARC), Department of Classical Philology and Italian Studies, University of Bologna, Bologna (Italy)</w:t>
      </w:r>
    </w:p>
    <w:p w14:paraId="3CC0F20A" w14:textId="77777777" w:rsidR="006E6E92" w:rsidRDefault="006E6E92" w:rsidP="006E6E92">
      <w:pPr>
        <w:pStyle w:val="005-AbstractHeader"/>
      </w:pPr>
      <w:r>
        <w:t>Abstract</w:t>
      </w:r>
    </w:p>
    <w:p w14:paraId="5112317D" w14:textId="03DB6115" w:rsidR="008F5DAB" w:rsidRDefault="008F5DAB" w:rsidP="006E6E92">
      <w:pPr>
        <w:pStyle w:val="006-AbstractBodytext"/>
      </w:pPr>
      <w:r>
        <w:t xml:space="preserve">The need for scholarly open data is ever increasing. While there are large repositories of open access articles and free publication indexes, there are still a few examples of free citation networks and their coverage is partial. One of the results is that most of the evaluation processes based on citation counts rely on commercial citation databases. Things are changing under the pressure of the Initiative for Open Citations (I4OC), whose goal is to campaign for scholarly publishers to make their citations as totally open. This paper investigates the growth of open citations with an experiment on the Italian Scientific </w:t>
      </w:r>
      <w:proofErr w:type="spellStart"/>
      <w:r>
        <w:t>Habilitation</w:t>
      </w:r>
      <w:proofErr w:type="spellEnd"/>
      <w:r>
        <w:t xml:space="preserve">, the National process for University Professor </w:t>
      </w:r>
      <w:r w:rsidR="008451A3">
        <w:t>qualification, which</w:t>
      </w:r>
      <w:r>
        <w:t xml:space="preserve"> instead uses data from commercial indexes. We simulated the procedure by only using open data and explored similarities and differences with the official results. The outcomes of the experiment show that the amount of open citation data currently available is not yet enough for obtaining similar results.</w:t>
      </w:r>
    </w:p>
    <w:p w14:paraId="420169AB" w14:textId="77777777" w:rsidR="006E6E92" w:rsidRDefault="006E6E92" w:rsidP="006E6E92">
      <w:pPr>
        <w:pStyle w:val="Titolo1"/>
      </w:pPr>
      <w:r>
        <w:t>Introduction</w:t>
      </w:r>
    </w:p>
    <w:p w14:paraId="4B3F961E" w14:textId="0CC56251" w:rsidR="00E563A9" w:rsidRDefault="00E563A9" w:rsidP="00E563A9">
      <w:pPr>
        <w:rPr>
          <w:sz w:val="22"/>
          <w:lang w:val="en"/>
        </w:rPr>
      </w:pPr>
      <w:r>
        <w:t xml:space="preserve">Citations indexes are becoming more and more important for evaluating scientific performances of a given research body. For instance, in many countries citation and bibliometric indicators are </w:t>
      </w:r>
      <w:r w:rsidR="002728E1">
        <w:t>some</w:t>
      </w:r>
      <w:r>
        <w:t xml:space="preserve"> of the factors that can be used for assessing individuals or institutions to allocate funding at national level: in Germany the impact factor of the publications is used in performance-based funding systems, in Finland the reallocation system uses </w:t>
      </w:r>
      <w:proofErr w:type="spellStart"/>
      <w:r>
        <w:t>bibliometrics</w:t>
      </w:r>
      <w:proofErr w:type="spellEnd"/>
      <w:r>
        <w:t xml:space="preserve"> and citation indexes as ones of the considered measures, in Norway a two-level bibliometric indicator is </w:t>
      </w:r>
      <w:r w:rsidR="002728E1">
        <w:t xml:space="preserve">used for similar purposes </w:t>
      </w:r>
      <w:r>
        <w:t>(Vieira et al., 2014a).</w:t>
      </w:r>
    </w:p>
    <w:p w14:paraId="616EE44C" w14:textId="7FAF4934" w:rsidR="00E563A9" w:rsidRDefault="00E563A9" w:rsidP="00E563A9">
      <w:r>
        <w:t xml:space="preserve">Several works </w:t>
      </w:r>
      <w:proofErr w:type="spellStart"/>
      <w:r>
        <w:t>analyzed</w:t>
      </w:r>
      <w:proofErr w:type="spellEnd"/>
      <w:r>
        <w:t xml:space="preserve"> the relation between citation indexes and research assessment procedures. At national level, the relation between bibliometric indicators and the results of the Research Assessment Exercise (RAE) in Britain (Norris and Oppenheim, 2003; Taylor, 2011) or the Italian Triennial Assessment Exercise (VTR) (</w:t>
      </w:r>
      <w:proofErr w:type="spellStart"/>
      <w:r>
        <w:t>Abramo</w:t>
      </w:r>
      <w:proofErr w:type="spellEnd"/>
      <w:r>
        <w:t xml:space="preserve"> et al., 2009; </w:t>
      </w:r>
      <w:proofErr w:type="spellStart"/>
      <w:r>
        <w:t>Franceschet</w:t>
      </w:r>
      <w:proofErr w:type="spellEnd"/>
      <w:r>
        <w:t xml:space="preserve"> and </w:t>
      </w:r>
      <w:proofErr w:type="spellStart"/>
      <w:r>
        <w:t>Costantini</w:t>
      </w:r>
      <w:proofErr w:type="spellEnd"/>
      <w:r>
        <w:t>, 2011) have been investigated. Other studies focused on the ass</w:t>
      </w:r>
      <w:r w:rsidR="002728E1">
        <w:t>essment</w:t>
      </w:r>
      <w:r>
        <w:t xml:space="preserve"> of departments (</w:t>
      </w:r>
      <w:proofErr w:type="spellStart"/>
      <w:r>
        <w:t>Aksnes</w:t>
      </w:r>
      <w:proofErr w:type="spellEnd"/>
      <w:r>
        <w:t xml:space="preserve">, 2003) and research groups (Van </w:t>
      </w:r>
      <w:proofErr w:type="spellStart"/>
      <w:r>
        <w:t>Raan</w:t>
      </w:r>
      <w:proofErr w:type="spellEnd"/>
      <w:r>
        <w:t>, 2006). Just a few works have been made at the individual level (</w:t>
      </w:r>
      <w:proofErr w:type="spellStart"/>
      <w:r>
        <w:t>Nederhof</w:t>
      </w:r>
      <w:proofErr w:type="spellEnd"/>
      <w:r>
        <w:t xml:space="preserve"> and Van </w:t>
      </w:r>
      <w:proofErr w:type="spellStart"/>
      <w:r>
        <w:t>Raan</w:t>
      </w:r>
      <w:proofErr w:type="spellEnd"/>
      <w:r>
        <w:t xml:space="preserve">, 1987; </w:t>
      </w:r>
      <w:proofErr w:type="spellStart"/>
      <w:r>
        <w:t>Bornmann</w:t>
      </w:r>
      <w:proofErr w:type="spellEnd"/>
      <w:r>
        <w:t xml:space="preserve"> and Daniel, 2006; </w:t>
      </w:r>
      <w:proofErr w:type="spellStart"/>
      <w:r>
        <w:t>Bornmann</w:t>
      </w:r>
      <w:proofErr w:type="spellEnd"/>
      <w:r>
        <w:t xml:space="preserve"> et al., 2008</w:t>
      </w:r>
      <w:r w:rsidR="00914BC8">
        <w:t>, Poggi et al., 2019</w:t>
      </w:r>
      <w:r>
        <w:t xml:space="preserve">), while many </w:t>
      </w:r>
      <w:proofErr w:type="spellStart"/>
      <w:r>
        <w:t>analyzed</w:t>
      </w:r>
      <w:proofErr w:type="spellEnd"/>
      <w:r>
        <w:t xml:space="preserve"> the correlation between indicators and research performances (</w:t>
      </w:r>
      <w:proofErr w:type="spellStart"/>
      <w:r>
        <w:t>Leydesdorff</w:t>
      </w:r>
      <w:proofErr w:type="spellEnd"/>
      <w:r>
        <w:t xml:space="preserve">, 2009; </w:t>
      </w:r>
      <w:proofErr w:type="spellStart"/>
      <w:r>
        <w:t>Franceschet</w:t>
      </w:r>
      <w:proofErr w:type="spellEnd"/>
      <w:r>
        <w:t xml:space="preserve">, 2009). Recent works </w:t>
      </w:r>
      <w:proofErr w:type="spellStart"/>
      <w:r>
        <w:t>analyzed</w:t>
      </w:r>
      <w:proofErr w:type="spellEnd"/>
      <w:r>
        <w:t xml:space="preserve"> the correlation between traditional bibliometric indicators and </w:t>
      </w:r>
      <w:proofErr w:type="spellStart"/>
      <w:r>
        <w:t>altmetrics</w:t>
      </w:r>
      <w:proofErr w:type="spellEnd"/>
      <w:r>
        <w:t xml:space="preserve"> by also taking into account quality assessment procedures performed by peers (</w:t>
      </w:r>
      <w:proofErr w:type="spellStart"/>
      <w:r>
        <w:t>Nuzzolese</w:t>
      </w:r>
      <w:proofErr w:type="spellEnd"/>
      <w:r>
        <w:t xml:space="preserve"> et al., 2018; </w:t>
      </w:r>
      <w:proofErr w:type="spellStart"/>
      <w:r>
        <w:t>Wouters</w:t>
      </w:r>
      <w:proofErr w:type="spellEnd"/>
      <w:r>
        <w:t xml:space="preserve"> et al., 2015; </w:t>
      </w:r>
      <w:proofErr w:type="spellStart"/>
      <w:r>
        <w:t>Bornmann</w:t>
      </w:r>
      <w:proofErr w:type="spellEnd"/>
      <w:r>
        <w:t xml:space="preserve"> and </w:t>
      </w:r>
      <w:proofErr w:type="spellStart"/>
      <w:r>
        <w:t>Haunschild</w:t>
      </w:r>
      <w:proofErr w:type="spellEnd"/>
      <w:r>
        <w:t>, 2018).</w:t>
      </w:r>
    </w:p>
    <w:p w14:paraId="76392AEC" w14:textId="77777777" w:rsidR="00E563A9" w:rsidRDefault="00E563A9" w:rsidP="00E563A9">
      <w:r>
        <w:t xml:space="preserve">In this work we focus on the analysis of the Italian National Scientific </w:t>
      </w:r>
      <w:proofErr w:type="spellStart"/>
      <w:r>
        <w:t>Habilitation</w:t>
      </w:r>
      <w:proofErr w:type="spellEnd"/>
      <w:r>
        <w:t xml:space="preserve"> (ASN), a nation-wide evaluation process introduced some years ago by Law 240/2010 (Law </w:t>
      </w:r>
      <w:proofErr w:type="spellStart"/>
      <w:r>
        <w:t>dec.</w:t>
      </w:r>
      <w:proofErr w:type="spellEnd"/>
      <w:r>
        <w:t xml:space="preserve"> 30, n. 240, 2011) for University Professor position recruitment. The ASN is similar to other </w:t>
      </w:r>
      <w:proofErr w:type="spellStart"/>
      <w:r>
        <w:t>habilitation</w:t>
      </w:r>
      <w:proofErr w:type="spellEnd"/>
      <w:r>
        <w:t xml:space="preserve"> procedures already in place in other countries in that it is a prerequisite for becoming a university professor.</w:t>
      </w:r>
    </w:p>
    <w:p w14:paraId="3413E906" w14:textId="77777777" w:rsidR="00E3435D" w:rsidRDefault="00E563A9" w:rsidP="00E563A9">
      <w:r>
        <w:t xml:space="preserve">The procedure is based on scientific qualification criteria that take into account, among other factors, bibliometric indicators such as the number of citations and the h-index of the candidates. Citation data are taken from commercial databases, as it happens in other </w:t>
      </w:r>
      <w:r>
        <w:lastRenderedPageBreak/>
        <w:t xml:space="preserve">countries. One of the reasons is that the open citation indexes are still a few and their coverage is limited (van Eck et al., 2018). This is an issue not only for evaluation procedures but also for research activities on open science, trends and topics analysis, </w:t>
      </w:r>
      <w:proofErr w:type="spellStart"/>
      <w:r>
        <w:t>scientometrics</w:t>
      </w:r>
      <w:proofErr w:type="spellEnd"/>
      <w:r>
        <w:t xml:space="preserve"> and so on. The ‘Initiative for Open Citations’ (I4OC,</w:t>
      </w:r>
      <w:r w:rsidR="0043570D">
        <w:t xml:space="preserve"> </w:t>
      </w:r>
      <w:hyperlink r:id="rId9" w:history="1">
        <w:r w:rsidR="0043570D" w:rsidRPr="00DC34D4">
          <w:rPr>
            <w:rStyle w:val="Collegamentoipertestuale"/>
          </w:rPr>
          <w:t>https://i4oc.org</w:t>
        </w:r>
      </w:hyperlink>
      <w:r>
        <w:t>) has been launched to gather publishers, researchers, and other interested parties and to promote the “unrestricted availability of scholarly citation data”. The movement is gaining momentum and making availab</w:t>
      </w:r>
      <w:r w:rsidR="00E3435D">
        <w:t>le a lot of free citation data.</w:t>
      </w:r>
    </w:p>
    <w:p w14:paraId="0A308E7B" w14:textId="7ADF62EB" w:rsidR="00E563A9" w:rsidRDefault="00E563A9" w:rsidP="00E563A9">
      <w:r>
        <w:t>This work is part of a larger effort, whose goal is to monitor the growth of these data and their relation with closed ones. We are not only interested in counting open citations but also in exploring their distribution among datasets and domains, and their applicability to evaluation tasks. To the best of our knowledge, this is the first attempt to look at open citations for these tasks.</w:t>
      </w:r>
    </w:p>
    <w:p w14:paraId="03D6CA25" w14:textId="77777777" w:rsidR="00E563A9" w:rsidRDefault="00E563A9" w:rsidP="00E563A9">
      <w:r>
        <w:t>Here we would like to answer the following research questions:</w:t>
      </w:r>
    </w:p>
    <w:p w14:paraId="6215AF87" w14:textId="77777777" w:rsidR="00B50104" w:rsidRDefault="00E563A9" w:rsidP="00B50104">
      <w:pPr>
        <w:numPr>
          <w:ilvl w:val="0"/>
          <w:numId w:val="1"/>
        </w:numPr>
        <w:spacing w:line="276" w:lineRule="auto"/>
        <w:ind w:left="993" w:hanging="709"/>
      </w:pPr>
      <w:r>
        <w:t>To what extent open bibliographic metadata and open citation data can be used for evaluation purposes today?</w:t>
      </w:r>
    </w:p>
    <w:p w14:paraId="74FBAFD2" w14:textId="77777777" w:rsidR="00E563A9" w:rsidRDefault="00E563A9" w:rsidP="00B50104">
      <w:pPr>
        <w:numPr>
          <w:ilvl w:val="0"/>
          <w:numId w:val="1"/>
        </w:numPr>
        <w:spacing w:line="276" w:lineRule="auto"/>
        <w:ind w:left="993" w:hanging="709"/>
      </w:pPr>
      <w:r>
        <w:t>Which open data would produce results comparable to those of closed ones?</w:t>
      </w:r>
    </w:p>
    <w:p w14:paraId="76950D10" w14:textId="77777777" w:rsidR="00E563A9" w:rsidRDefault="00E563A9" w:rsidP="00B50104">
      <w:pPr>
        <w:numPr>
          <w:ilvl w:val="0"/>
          <w:numId w:val="1"/>
        </w:numPr>
        <w:spacing w:line="276" w:lineRule="auto"/>
        <w:ind w:left="993" w:hanging="709"/>
      </w:pPr>
      <w:r>
        <w:t>Is there any case in which a negative evaluation would turn into a positive one, if open data were used instead of closed ones?</w:t>
      </w:r>
    </w:p>
    <w:p w14:paraId="4F230FBB" w14:textId="77777777" w:rsidR="00E563A9" w:rsidRDefault="00E563A9" w:rsidP="00E563A9">
      <w:r>
        <w:t xml:space="preserve">To answer these questions we run an experiment on the Italian </w:t>
      </w:r>
      <w:proofErr w:type="spellStart"/>
      <w:r>
        <w:t>Habilitation</w:t>
      </w:r>
      <w:proofErr w:type="spellEnd"/>
      <w:r>
        <w:t xml:space="preserve"> in the Computer Science domain. The test gave us valuable indications and allowed us to build the overall infrastructure for extending our analysis to other domains.</w:t>
      </w:r>
    </w:p>
    <w:p w14:paraId="0F1F4896" w14:textId="77777777" w:rsidR="00E563A9" w:rsidRDefault="00E563A9" w:rsidP="00E563A9">
      <w:r>
        <w:t>One of the reasons for starting with Computer Science was the availability of open, complete and well-maintained repositories of articles and publication lists. In fact, our experiment consisted of two phases:</w:t>
      </w:r>
    </w:p>
    <w:p w14:paraId="3E305931" w14:textId="77777777" w:rsidR="00E563A9" w:rsidRDefault="00E563A9" w:rsidP="00E563A9">
      <w:pPr>
        <w:numPr>
          <w:ilvl w:val="0"/>
          <w:numId w:val="2"/>
        </w:numPr>
        <w:spacing w:line="276" w:lineRule="auto"/>
      </w:pPr>
      <w:proofErr w:type="gramStart"/>
      <w:r>
        <w:t>computing</w:t>
      </w:r>
      <w:proofErr w:type="gramEnd"/>
      <w:r>
        <w:t xml:space="preserve"> the indicators proposed by the ASN for all candidates by only taking into account open data. We collected these data from three main sources, namely </w:t>
      </w:r>
      <w:proofErr w:type="spellStart"/>
      <w:r>
        <w:t>Crossref</w:t>
      </w:r>
      <w:proofErr w:type="spellEnd"/>
      <w:r>
        <w:t xml:space="preserve"> (</w:t>
      </w:r>
      <w:hyperlink r:id="rId10" w:history="1">
        <w:r w:rsidRPr="00DC34D4">
          <w:rPr>
            <w:rStyle w:val="Collegamentoipertestuale"/>
          </w:rPr>
          <w:t>https://www.crossref.org/</w:t>
        </w:r>
      </w:hyperlink>
      <w:r>
        <w:t>), DBLP (</w:t>
      </w:r>
      <w:hyperlink r:id="rId11" w:history="1">
        <w:r w:rsidRPr="00DC34D4">
          <w:rPr>
            <w:rStyle w:val="Collegamentoipertestuale"/>
          </w:rPr>
          <w:t>https://dblp.uni-trier.de/</w:t>
        </w:r>
      </w:hyperlink>
      <w:r>
        <w:t>) and COCI (</w:t>
      </w:r>
      <w:hyperlink r:id="rId12" w:history="1">
        <w:r w:rsidRPr="00DC34D4">
          <w:rPr>
            <w:rStyle w:val="Collegamentoipertestuale"/>
          </w:rPr>
          <w:t>http://opencitations.net/index/coci</w:t>
        </w:r>
      </w:hyperlink>
      <w:r>
        <w:t>) that will be introduced in the following sections;</w:t>
      </w:r>
    </w:p>
    <w:p w14:paraId="5FDA7734" w14:textId="77777777" w:rsidR="00E563A9" w:rsidRDefault="00E563A9" w:rsidP="00E563A9">
      <w:pPr>
        <w:numPr>
          <w:ilvl w:val="0"/>
          <w:numId w:val="2"/>
        </w:numPr>
        <w:spacing w:line="276" w:lineRule="auto"/>
      </w:pPr>
      <w:proofErr w:type="gramStart"/>
      <w:r>
        <w:t>comparing</w:t>
      </w:r>
      <w:proofErr w:type="gramEnd"/>
      <w:r>
        <w:t xml:space="preserve"> the outcome of such evaluation with the official one, whose data were collected from Scopus and Web of Science.</w:t>
      </w:r>
    </w:p>
    <w:p w14:paraId="5B1BEDE4" w14:textId="77777777" w:rsidR="00E563A9" w:rsidRDefault="00E563A9" w:rsidP="00E563A9">
      <w:r>
        <w:t>The experiments showed that there is still a quite large gap between open and closed citations and the former cannot yet be used directly for these tasks (RQ1). However, the data about the types of the publications, in particular journals, are comparable with the outcomes of the ANS 2016 (RQ2). Interestingly, we also found a few candidates for which open data would change the evaluation from negative to positive (RQ3).</w:t>
      </w:r>
    </w:p>
    <w:p w14:paraId="59822229" w14:textId="77777777" w:rsidR="006E6E92" w:rsidRDefault="00E563A9" w:rsidP="00E563A9">
      <w:r>
        <w:t>The paper presents the methods and the results of our experiment and its implications. It is then structured as follows: Section “Background” provides some background introducing both the ASN process and the open citations status. Section “Methods and materials” introduces the sources we used for gathering the metadata and citation data, while Section “Experiments with open data and ASN” explains our experiment in detail. Results and lessons learned are discussed in Section “Results”, before concluding and drafting new research directions in Section “Discussion and conclusions”.</w:t>
      </w:r>
    </w:p>
    <w:p w14:paraId="70657308" w14:textId="77777777" w:rsidR="006E6E92" w:rsidRDefault="00B50104" w:rsidP="006E6E92">
      <w:pPr>
        <w:pStyle w:val="Titolo1"/>
      </w:pPr>
      <w:r>
        <w:t>Background</w:t>
      </w:r>
    </w:p>
    <w:p w14:paraId="7EFAE892" w14:textId="77777777" w:rsidR="00B50104" w:rsidRDefault="00B50104" w:rsidP="00B50104">
      <w:pPr>
        <w:rPr>
          <w:sz w:val="22"/>
          <w:lang w:val="en"/>
        </w:rPr>
      </w:pPr>
      <w:r>
        <w:t>In order to introduce our experiment we first need to provide readers with some background about the Italian ASN and the I4OC movement.</w:t>
      </w:r>
    </w:p>
    <w:p w14:paraId="7AB9342D" w14:textId="77777777" w:rsidR="00B50104" w:rsidRDefault="00B50104" w:rsidP="006E6E92">
      <w:pPr>
        <w:rPr>
          <w:iCs/>
          <w:lang w:val="en"/>
        </w:rPr>
      </w:pPr>
    </w:p>
    <w:p w14:paraId="2E13AE64" w14:textId="77777777" w:rsidR="00B50104" w:rsidRDefault="00B50104" w:rsidP="00B50104">
      <w:pPr>
        <w:pStyle w:val="Titolo2"/>
        <w:rPr>
          <w:rFonts w:eastAsia="Arial"/>
          <w:sz w:val="32"/>
          <w:szCs w:val="32"/>
          <w:lang w:val="en"/>
        </w:rPr>
      </w:pPr>
      <w:r>
        <w:rPr>
          <w:rFonts w:eastAsia="Arial"/>
        </w:rPr>
        <w:lastRenderedPageBreak/>
        <w:t xml:space="preserve">The Italian National Scientific </w:t>
      </w:r>
      <w:proofErr w:type="spellStart"/>
      <w:r>
        <w:rPr>
          <w:rFonts w:eastAsia="Arial"/>
        </w:rPr>
        <w:t>Habilitation</w:t>
      </w:r>
      <w:proofErr w:type="spellEnd"/>
      <w:r>
        <w:rPr>
          <w:rFonts w:eastAsia="Arial"/>
        </w:rPr>
        <w:t xml:space="preserve"> (ASN)</w:t>
      </w:r>
    </w:p>
    <w:p w14:paraId="4415F889" w14:textId="77777777" w:rsidR="00B50104" w:rsidRDefault="00B50104" w:rsidP="00B50104">
      <w:pPr>
        <w:rPr>
          <w:rFonts w:eastAsia="Arial"/>
        </w:rPr>
      </w:pPr>
      <w:r>
        <w:t xml:space="preserve">The ASN (Law </w:t>
      </w:r>
      <w:proofErr w:type="spellStart"/>
      <w:r>
        <w:t>dec.</w:t>
      </w:r>
      <w:proofErr w:type="spellEnd"/>
      <w:r>
        <w:t xml:space="preserve"> 30, n. 240, 2011) is a nation-wide research assessment procedure similar to others already in place in other countries. The first two sessions of the ASN took place in 2012 and 2013, followed by other sessions in 2016, 2017 and 2018.</w:t>
      </w:r>
      <w:r>
        <w:br/>
        <w:t>The ASN is meant to attest that an individual has reached the scientific maturity required for applying for a specific role as Associate or Full Professor. Each candidate is bound to a specific Recruitment Field (RF), which corresponds to a scientific field of study. RFs are organized in groups, which are in turn sorted in 14 Scientific Areas (SAs).</w:t>
      </w:r>
      <w:r>
        <w:br/>
        <w:t xml:space="preserve">The assessment of the candidates of each discipline (RF) is performed by a committee of full professors, which evaluates the CVs submitted by the applicants. The evaluation also takes into account </w:t>
      </w:r>
      <w:r>
        <w:rPr>
          <w:i/>
        </w:rPr>
        <w:t>three quantitative indicators</w:t>
      </w:r>
      <w:r>
        <w:t xml:space="preserve"> computed for each candidate.</w:t>
      </w:r>
    </w:p>
    <w:p w14:paraId="19EC812E" w14:textId="77777777" w:rsidR="00B50104" w:rsidRDefault="00B50104" w:rsidP="00B50104">
      <w:r>
        <w:t xml:space="preserve">The ASN introduced two types of indicators: </w:t>
      </w:r>
      <w:r>
        <w:rPr>
          <w:i/>
        </w:rPr>
        <w:t>bibliometric</w:t>
      </w:r>
      <w:r>
        <w:t xml:space="preserve"> and </w:t>
      </w:r>
      <w:r>
        <w:rPr>
          <w:i/>
        </w:rPr>
        <w:t>non-bibliometric</w:t>
      </w:r>
      <w:r>
        <w:t xml:space="preserve">. Bibliometric indicators apply to scientific disciplines for which reliable citation databases exist, among which Computer Science, on which we performed our analysis. The </w:t>
      </w:r>
      <w:proofErr w:type="gramStart"/>
      <w:r>
        <w:t>three bibliometric</w:t>
      </w:r>
      <w:proofErr w:type="gramEnd"/>
      <w:r>
        <w:t xml:space="preserve"> indicators are:</w:t>
      </w:r>
    </w:p>
    <w:p w14:paraId="21247A49" w14:textId="77777777" w:rsidR="00B50104" w:rsidRDefault="00B50104" w:rsidP="00B50104">
      <w:pPr>
        <w:numPr>
          <w:ilvl w:val="0"/>
          <w:numId w:val="3"/>
        </w:numPr>
        <w:spacing w:line="276" w:lineRule="auto"/>
      </w:pPr>
      <w:r>
        <w:t>Normalized number of journal papers;</w:t>
      </w:r>
    </w:p>
    <w:p w14:paraId="0F73FB52" w14:textId="77777777" w:rsidR="00B50104" w:rsidRDefault="00B50104" w:rsidP="00B50104">
      <w:pPr>
        <w:numPr>
          <w:ilvl w:val="0"/>
          <w:numId w:val="3"/>
        </w:numPr>
        <w:spacing w:line="276" w:lineRule="auto"/>
      </w:pPr>
      <w:r>
        <w:t>Normalized number of citations received;</w:t>
      </w:r>
    </w:p>
    <w:p w14:paraId="6F7D2020" w14:textId="77777777" w:rsidR="00B50104" w:rsidRDefault="00B50104" w:rsidP="00B50104">
      <w:pPr>
        <w:numPr>
          <w:ilvl w:val="0"/>
          <w:numId w:val="3"/>
        </w:numPr>
        <w:spacing w:line="276" w:lineRule="auto"/>
      </w:pPr>
      <w:r>
        <w:t>Normalized h-index.</w:t>
      </w:r>
    </w:p>
    <w:p w14:paraId="2E465354" w14:textId="77777777" w:rsidR="00B50104" w:rsidRDefault="00B50104" w:rsidP="00B50104">
      <w:r>
        <w:t xml:space="preserve">Since citations and paper count increase over time, normalization based on the scientific age (the number of years since the first publication) is used to compute these indicators more reliably. </w:t>
      </w:r>
    </w:p>
    <w:p w14:paraId="5AF77FFA" w14:textId="77777777" w:rsidR="00B50104" w:rsidRDefault="00B50104" w:rsidP="00B50104">
      <w:r>
        <w:t xml:space="preserve">The three indicators are computed by ANVUR – the National Agency in charge of the </w:t>
      </w:r>
      <w:proofErr w:type="spellStart"/>
      <w:r>
        <w:t>Habilitation</w:t>
      </w:r>
      <w:proofErr w:type="spellEnd"/>
      <w:r>
        <w:t xml:space="preserve"> process – for each candidate, starting from the data in Scopus and Web of Science. These databases, in fact, contain either the full list of classified publications for each candidate (used to compute indicator A) and the full list of citations received by each article (used to compute indicators B and C). These data were automatically compiled into a CV in PDF, submitted to the committee.</w:t>
      </w:r>
    </w:p>
    <w:p w14:paraId="63F57814" w14:textId="77777777" w:rsidR="00B50104" w:rsidRDefault="00B50104" w:rsidP="00B50104">
      <w:r>
        <w:t xml:space="preserve">The preliminary step of the ASN consisted of checking, for each candidate, how many indicators exceeded some thresholds. The candidates were required to exceed at least two indicators over three. Exceeding thresholds does not imply that the candidate gets the </w:t>
      </w:r>
      <w:proofErr w:type="spellStart"/>
      <w:r>
        <w:t>habilitation</w:t>
      </w:r>
      <w:proofErr w:type="spellEnd"/>
      <w:r>
        <w:t xml:space="preserve"> automatically but is only an indication for the committee. </w:t>
      </w:r>
    </w:p>
    <w:p w14:paraId="5B0C846F" w14:textId="77777777" w:rsidR="00B50104" w:rsidRDefault="00B50104" w:rsidP="00B50104">
      <w:r>
        <w:t xml:space="preserve">Though, this step is the focus of our experiment. We do not </w:t>
      </w:r>
      <w:proofErr w:type="spellStart"/>
      <w:r>
        <w:t>analyze</w:t>
      </w:r>
      <w:proofErr w:type="spellEnd"/>
      <w:r>
        <w:t xml:space="preserve"> the final subjective evaluation of the committee but we compare the ability of each candidate to exceed thresholds when using open or closed data.</w:t>
      </w:r>
    </w:p>
    <w:p w14:paraId="0A41891E" w14:textId="77777777" w:rsidR="00B50104" w:rsidRDefault="00B50104" w:rsidP="00B50104">
      <w:r>
        <w:t xml:space="preserve">The thresholds were computed by ANVUR as well and officially released for each RF. Even in this case, data to compute thresholds were taken from Scopus and Web of Science. In particular, in 2012, the thresholds were defined as the medians of the values computed for all Associate and Full professors already permanent. However, in 2016, the values were established by ANVUR but they did not disclose the algorithm to do that. </w:t>
      </w:r>
    </w:p>
    <w:p w14:paraId="0F3601DE" w14:textId="77777777" w:rsidR="00B50104" w:rsidRDefault="00B50104" w:rsidP="00B50104">
      <w:r>
        <w:t>Several analyses of the ASN process and results have been carried out by the research community, like the quantitative analyses of ASN 2012 in (</w:t>
      </w:r>
      <w:proofErr w:type="spellStart"/>
      <w:r>
        <w:t>Marzolla</w:t>
      </w:r>
      <w:proofErr w:type="spellEnd"/>
      <w:r>
        <w:t>, 2015) and (</w:t>
      </w:r>
      <w:proofErr w:type="spellStart"/>
      <w:r>
        <w:t>Marzolla</w:t>
      </w:r>
      <w:proofErr w:type="spellEnd"/>
      <w:r>
        <w:t>, 2016), the study on the impact of the ASN on self-citation rate (</w:t>
      </w:r>
      <w:proofErr w:type="spellStart"/>
      <w:r>
        <w:t>Scarpa</w:t>
      </w:r>
      <w:proofErr w:type="spellEnd"/>
      <w:r>
        <w:t xml:space="preserve"> et al., 2018), the analysis on the relationship of the ASN outcomes to the actual scientific merit of candidates (</w:t>
      </w:r>
      <w:proofErr w:type="spellStart"/>
      <w:r>
        <w:t>Abramo</w:t>
      </w:r>
      <w:proofErr w:type="spellEnd"/>
      <w:r>
        <w:t xml:space="preserve"> and D’Angelo, 2015), etc</w:t>
      </w:r>
      <w:proofErr w:type="gramStart"/>
      <w:r>
        <w:t>..</w:t>
      </w:r>
      <w:proofErr w:type="gramEnd"/>
      <w:r>
        <w:t xml:space="preserve"> Our goal is not to evaluate the reliability of ASN, nor to assess its effects and consequences, but to investigate to what extent such an evaluation could be performed without using commercial citation indexes. </w:t>
      </w:r>
    </w:p>
    <w:p w14:paraId="25F25D71" w14:textId="77777777" w:rsidR="00B50104" w:rsidRDefault="00B50104" w:rsidP="00B50104">
      <w:pPr>
        <w:pStyle w:val="Titolo2"/>
        <w:rPr>
          <w:rFonts w:eastAsia="Arial"/>
        </w:rPr>
      </w:pPr>
      <w:bookmarkStart w:id="0" w:name="_tlw0dwpnzwne"/>
      <w:bookmarkEnd w:id="0"/>
      <w:r>
        <w:rPr>
          <w:rFonts w:eastAsia="Arial"/>
        </w:rPr>
        <w:lastRenderedPageBreak/>
        <w:t xml:space="preserve">The open citations movement </w:t>
      </w:r>
    </w:p>
    <w:p w14:paraId="5DF78FF1" w14:textId="77777777" w:rsidR="00B50104" w:rsidRDefault="00B50104" w:rsidP="00B50104">
      <w:pPr>
        <w:rPr>
          <w:rFonts w:eastAsia="Arial"/>
        </w:rPr>
      </w:pPr>
      <w:r>
        <w:t xml:space="preserve">The first project to introduce for the very first time the open availability of open bibliographic and citation data by the use of Semantic Web (Linked Data) technologies was the </w:t>
      </w:r>
      <w:proofErr w:type="spellStart"/>
      <w:r>
        <w:t>OpenCitations</w:t>
      </w:r>
      <w:proofErr w:type="spellEnd"/>
      <w:r>
        <w:t xml:space="preserve"> Corpus, in 2010, as the main output of a project funded by JISC (</w:t>
      </w:r>
      <w:proofErr w:type="spellStart"/>
      <w:r>
        <w:t>Shotton</w:t>
      </w:r>
      <w:proofErr w:type="spellEnd"/>
      <w:r>
        <w:t xml:space="preserve">, 2013). However, the availability of open citation data recently changed drastically with the introduction of Initiative for Open Citations (I4OC, </w:t>
      </w:r>
      <w:hyperlink r:id="rId13" w:history="1">
        <w:r w:rsidRPr="00DC34D4">
          <w:rPr>
            <w:rStyle w:val="Collegamentoipertestuale"/>
          </w:rPr>
          <w:t>https://i4oc.org</w:t>
        </w:r>
      </w:hyperlink>
      <w:r>
        <w:t>), in April 2017.</w:t>
      </w:r>
    </w:p>
    <w:p w14:paraId="7DE0ABBB" w14:textId="3B96190B" w:rsidR="00B50104" w:rsidRPr="00F4794C" w:rsidRDefault="00B50104" w:rsidP="006E6E92">
      <w:r>
        <w:t xml:space="preserve">The Initiative was born with the idea of promoting the release of open citation data, and explicitly asked the main scholarly publishers, who deposited their citations on </w:t>
      </w:r>
      <w:proofErr w:type="spellStart"/>
      <w:r>
        <w:t>Crossref</w:t>
      </w:r>
      <w:proofErr w:type="spellEnd"/>
      <w:r>
        <w:t xml:space="preserve"> (</w:t>
      </w:r>
      <w:hyperlink r:id="rId14" w:history="1">
        <w:r w:rsidRPr="00DC34D4">
          <w:rPr>
            <w:rStyle w:val="Collegamentoipertestuale"/>
          </w:rPr>
          <w:t>https://crossref.org</w:t>
        </w:r>
      </w:hyperlink>
      <w:r>
        <w:t>), to release them in the public domain. As a result, now we have several millions of citation data openly available on the Web, a list of important stakeholders – such as libraries, consortiums, projects, organizations, companies, and, in particular, founders (</w:t>
      </w:r>
      <w:proofErr w:type="spellStart"/>
      <w:r>
        <w:t>Shotton</w:t>
      </w:r>
      <w:proofErr w:type="spellEnd"/>
      <w:r>
        <w:t xml:space="preserve">, 2018) – supporting the movement, several international events (e.g. the Workshop on Open Citations and </w:t>
      </w:r>
      <w:proofErr w:type="spellStart"/>
      <w:r>
        <w:t>WikiCite</w:t>
      </w:r>
      <w:proofErr w:type="spellEnd"/>
      <w:r>
        <w:t xml:space="preserve"> 2018) organised for promoting the open availability of citation data, and several </w:t>
      </w:r>
      <w:r w:rsidR="00526F05">
        <w:t xml:space="preserve">applications (e.g. </w:t>
      </w:r>
      <w:r w:rsidR="004F304C">
        <w:t xml:space="preserve">Bibliography </w:t>
      </w:r>
      <w:proofErr w:type="spellStart"/>
      <w:r w:rsidR="004F304C">
        <w:t>EXplorer</w:t>
      </w:r>
      <w:proofErr w:type="spellEnd"/>
      <w:r w:rsidR="004F304C">
        <w:t xml:space="preserve"> </w:t>
      </w:r>
      <w:r w:rsidR="001B0EF6">
        <w:t>(</w:t>
      </w:r>
      <w:r w:rsidR="004F304C">
        <w:t xml:space="preserve">Di </w:t>
      </w:r>
      <w:proofErr w:type="spellStart"/>
      <w:r w:rsidR="004F304C">
        <w:t>Iorio</w:t>
      </w:r>
      <w:proofErr w:type="spellEnd"/>
      <w:r w:rsidR="004F304C">
        <w:t xml:space="preserve"> et al., 2015</w:t>
      </w:r>
      <w:r w:rsidR="001B0EF6">
        <w:t>)</w:t>
      </w:r>
      <w:r w:rsidR="00526F05">
        <w:t xml:space="preserve">), </w:t>
      </w:r>
      <w:r>
        <w:t xml:space="preserve">projects and datasets </w:t>
      </w:r>
      <w:r w:rsidR="00526F05">
        <w:t xml:space="preserve">(e.g. </w:t>
      </w:r>
      <w:proofErr w:type="spellStart"/>
      <w:r w:rsidR="00526F05">
        <w:t>SemanticLancet</w:t>
      </w:r>
      <w:proofErr w:type="spellEnd"/>
      <w:r w:rsidR="00526F05">
        <w:t xml:space="preserve"> </w:t>
      </w:r>
      <w:r w:rsidR="001B0EF6">
        <w:t xml:space="preserve">(Di </w:t>
      </w:r>
      <w:proofErr w:type="spellStart"/>
      <w:r w:rsidR="001B0EF6">
        <w:t>Iorio</w:t>
      </w:r>
      <w:proofErr w:type="spellEnd"/>
      <w:r w:rsidR="001B0EF6">
        <w:t xml:space="preserve"> et al., 2017)</w:t>
      </w:r>
      <w:r w:rsidR="00526F05">
        <w:t xml:space="preserve">) </w:t>
      </w:r>
      <w:r>
        <w:t xml:space="preserve">have been released so far so as to leverage the open citation data available online. As a result, there is a growing list of publishers that release their citation data in </w:t>
      </w:r>
      <w:proofErr w:type="spellStart"/>
      <w:r>
        <w:t>C</w:t>
      </w:r>
      <w:r w:rsidR="002728E1">
        <w:t>rossref</w:t>
      </w:r>
      <w:proofErr w:type="spellEnd"/>
      <w:r w:rsidR="002728E1">
        <w:t>, and these also include</w:t>
      </w:r>
      <w:r>
        <w:t xml:space="preserve"> citation data of important Computer Science venues and publishers such as the Association for Computing Machinery (ACM).</w:t>
      </w:r>
    </w:p>
    <w:p w14:paraId="2F290FDC" w14:textId="77777777" w:rsidR="00B50104" w:rsidRDefault="00B50104" w:rsidP="00B50104">
      <w:pPr>
        <w:pStyle w:val="Titolo1"/>
        <w:rPr>
          <w:rFonts w:eastAsia="Arial"/>
          <w:sz w:val="40"/>
          <w:szCs w:val="40"/>
          <w:lang w:val="en"/>
        </w:rPr>
      </w:pPr>
      <w:r>
        <w:rPr>
          <w:rFonts w:eastAsia="Arial"/>
        </w:rPr>
        <w:t>Methods and materials</w:t>
      </w:r>
    </w:p>
    <w:p w14:paraId="55522630" w14:textId="77777777" w:rsidR="00B50104" w:rsidRDefault="00B50104" w:rsidP="00B50104">
      <w:pPr>
        <w:rPr>
          <w:rFonts w:eastAsia="Arial"/>
        </w:rPr>
      </w:pPr>
      <w:r>
        <w:t xml:space="preserve">The first step of our analysis consisted in computing the indicators proposed by the ASN for all the candidates in the Recruitment Field </w:t>
      </w:r>
      <w:r>
        <w:rPr>
          <w:i/>
        </w:rPr>
        <w:t>Informatics</w:t>
      </w:r>
      <w:r>
        <w:rPr>
          <w:vertAlign w:val="superscript"/>
        </w:rPr>
        <w:footnoteReference w:id="1"/>
      </w:r>
      <w:r>
        <w:t xml:space="preserve"> by taking into account only open data. To do so, we first collected the curricula of all applicants to the five sessions of the ASN 2016, which have been made publicly available on the ANVUR website for a short period of time. We collected 518 CVs for level I (full professor) and 757 CVs for level II (associate professor). Note that each CV correspond to a single application, and that the same applicant may apply multiple times (i.e. in more than one session) for multiple levels.</w:t>
      </w:r>
    </w:p>
    <w:p w14:paraId="4B8FF347" w14:textId="11BC07A5" w:rsidR="00B50104" w:rsidRDefault="00B50104" w:rsidP="00B50104">
      <w:r>
        <w:t xml:space="preserve">The next step consisted in collecting the list of the DOIs of all the publications that each candidate specified in her/his CV, thus excluding all the publications that do not have associated a DOI. This lead us to miss some publications, for instance the workshop articles in the CEUR-WS </w:t>
      </w:r>
      <w:r w:rsidR="00BC26DD">
        <w:t>volumes, which</w:t>
      </w:r>
      <w:r>
        <w:t xml:space="preserve"> are published without a DOI (though Scopus takes track of them). However, we expect that the loss in term of citations is rather limited, considering that the most relevant works and their extensions usually go to journal articles and conference proceedings papers, which are instead associated with a DOI. </w:t>
      </w:r>
    </w:p>
    <w:p w14:paraId="6C74BD96" w14:textId="77777777" w:rsidR="00B50104" w:rsidRDefault="00B50104" w:rsidP="00B50104">
      <w:r>
        <w:t>We used two different sources to retrieve the features needed for such computation:</w:t>
      </w:r>
    </w:p>
    <w:p w14:paraId="559A18AE" w14:textId="0C232932" w:rsidR="00B50104" w:rsidRDefault="00B50104" w:rsidP="0043570D">
      <w:pPr>
        <w:numPr>
          <w:ilvl w:val="0"/>
          <w:numId w:val="4"/>
        </w:numPr>
        <w:spacing w:line="276" w:lineRule="auto"/>
      </w:pPr>
      <w:r>
        <w:t>DBLP (</w:t>
      </w:r>
      <w:hyperlink r:id="rId15" w:history="1">
        <w:r w:rsidR="0043570D" w:rsidRPr="00DC34D4">
          <w:rPr>
            <w:rStyle w:val="Collegamentoipertestuale"/>
          </w:rPr>
          <w:t>https://dblp.uni-trier.de</w:t>
        </w:r>
      </w:hyperlink>
      <w:r>
        <w:t xml:space="preserve">): it is a free and publicly available computer science bibliography repository started in 1993 at the University of Trier, Germany. DBLP contained more than 4.4 million bibliographic entries (as of January 2019). We search the candidates by name using the DBLP API, and downloaded the full publication list of each of them.  We exploited standard disambiguation techniques and ORCID data to identify candidates. </w:t>
      </w:r>
    </w:p>
    <w:p w14:paraId="13B1A85A" w14:textId="6F01E9BD" w:rsidR="00B50104" w:rsidRDefault="00B50104" w:rsidP="0043570D">
      <w:pPr>
        <w:numPr>
          <w:ilvl w:val="0"/>
          <w:numId w:val="4"/>
        </w:numPr>
        <w:spacing w:line="276" w:lineRule="auto"/>
      </w:pPr>
      <w:r>
        <w:t xml:space="preserve">Candidates’ CVs: we extracted the text from each CV (which was originally in PDF format), and searched for valid DOIs using a simple pattern matching approach to </w:t>
      </w:r>
      <w:r>
        <w:lastRenderedPageBreak/>
        <w:t>produce the publication list. The DOI system Proxy Server REST API (</w:t>
      </w:r>
      <w:hyperlink r:id="rId16" w:anchor="rest-api" w:history="1">
        <w:r w:rsidR="0043570D" w:rsidRPr="00DC34D4">
          <w:rPr>
            <w:rStyle w:val="Collegamentoipertestuale"/>
          </w:rPr>
          <w:t>http://www.doi.org/factsheets/DOIProxy.html#rest-api</w:t>
        </w:r>
      </w:hyperlink>
      <w:r>
        <w:t xml:space="preserve">) have been used to verify the existence and validity of the collected DOIs. </w:t>
      </w:r>
    </w:p>
    <w:p w14:paraId="21942FB5" w14:textId="129F03F7" w:rsidR="00B50104" w:rsidRDefault="00B50104" w:rsidP="00B50104">
      <w:r>
        <w:t xml:space="preserve">The collected data have been used to produce three publication lists for each candidate: the first contains the DOIs of the publications retrieved from DBLP, the second contains the DOIs of the publications extracted from the CV, and the latter is the union of the DOI of the publications collected from the two sources (where duplicates DOIs have been considered only </w:t>
      </w:r>
      <w:r w:rsidRPr="002F4758">
        <w:rPr>
          <w:szCs w:val="24"/>
        </w:rPr>
        <w:t xml:space="preserve">once). </w:t>
      </w:r>
      <w:r w:rsidR="00654CEF" w:rsidRPr="002F4758">
        <w:rPr>
          <w:szCs w:val="24"/>
        </w:rPr>
        <w:fldChar w:fldCharType="begin"/>
      </w:r>
      <w:r w:rsidR="00654CEF" w:rsidRPr="002F4758">
        <w:rPr>
          <w:szCs w:val="24"/>
        </w:rPr>
        <w:instrText xml:space="preserve"> REF _Ref10727955 \h  \* MERGEFORMAT </w:instrText>
      </w:r>
      <w:r w:rsidR="00654CEF" w:rsidRPr="002F4758">
        <w:rPr>
          <w:szCs w:val="24"/>
        </w:rPr>
      </w:r>
      <w:r w:rsidR="00654CEF" w:rsidRPr="002F4758">
        <w:rPr>
          <w:szCs w:val="24"/>
        </w:rPr>
        <w:fldChar w:fldCharType="separate"/>
      </w:r>
      <w:r w:rsidR="00657860" w:rsidRPr="00657860">
        <w:rPr>
          <w:szCs w:val="24"/>
          <w:lang w:val="en-US"/>
        </w:rPr>
        <w:t xml:space="preserve">Table </w:t>
      </w:r>
      <w:r w:rsidR="00657860" w:rsidRPr="00657860">
        <w:rPr>
          <w:noProof/>
          <w:szCs w:val="24"/>
          <w:lang w:val="en-US"/>
        </w:rPr>
        <w:t>1</w:t>
      </w:r>
      <w:r w:rsidR="00654CEF" w:rsidRPr="002F4758">
        <w:rPr>
          <w:szCs w:val="24"/>
        </w:rPr>
        <w:fldChar w:fldCharType="end"/>
      </w:r>
      <w:r w:rsidRPr="002F4758">
        <w:rPr>
          <w:szCs w:val="24"/>
        </w:rPr>
        <w:t xml:space="preserve"> reports some basic statistics about the</w:t>
      </w:r>
      <w:r w:rsidR="001E7EA7">
        <w:rPr>
          <w:szCs w:val="24"/>
        </w:rPr>
        <w:t>se three</w:t>
      </w:r>
      <w:r w:rsidRPr="002F4758">
        <w:rPr>
          <w:szCs w:val="24"/>
        </w:rPr>
        <w:t xml:space="preserve"> dataset</w:t>
      </w:r>
      <w:r w:rsidR="00BC26DD">
        <w:rPr>
          <w:szCs w:val="24"/>
        </w:rPr>
        <w:t>s</w:t>
      </w:r>
      <w:r>
        <w:t>.</w:t>
      </w:r>
    </w:p>
    <w:p w14:paraId="4CF6F045" w14:textId="77777777" w:rsidR="00B50104" w:rsidRDefault="00B50104" w:rsidP="00B50104">
      <w:pPr>
        <w:rPr>
          <w:color w:val="FF0000"/>
        </w:rPr>
      </w:pPr>
    </w:p>
    <w:p w14:paraId="696278C9" w14:textId="77777777" w:rsidR="00654CEF" w:rsidRDefault="00654CEF" w:rsidP="00654CEF">
      <w:pPr>
        <w:pStyle w:val="Didascalia"/>
        <w:keepNext/>
        <w:jc w:val="center"/>
        <w:rPr>
          <w:rFonts w:ascii="Times New Roman" w:hAnsi="Times New Roman" w:cs="Times New Roman"/>
          <w:i w:val="0"/>
          <w:color w:val="auto"/>
          <w:sz w:val="22"/>
          <w:szCs w:val="22"/>
          <w:lang w:val="en-US"/>
        </w:rPr>
      </w:pPr>
      <w:bookmarkStart w:id="1" w:name="_Ref10727955"/>
      <w:r w:rsidRPr="00654CEF">
        <w:rPr>
          <w:rFonts w:ascii="Times New Roman" w:hAnsi="Times New Roman" w:cs="Times New Roman"/>
          <w:b/>
          <w:i w:val="0"/>
          <w:color w:val="auto"/>
          <w:sz w:val="22"/>
          <w:szCs w:val="22"/>
          <w:lang w:val="en-US"/>
        </w:rPr>
        <w:t xml:space="preserve">Table </w:t>
      </w:r>
      <w:r>
        <w:fldChar w:fldCharType="begin"/>
      </w:r>
      <w:r w:rsidRPr="00654CEF">
        <w:rPr>
          <w:rFonts w:ascii="Times New Roman" w:hAnsi="Times New Roman" w:cs="Times New Roman"/>
          <w:b/>
          <w:i w:val="0"/>
          <w:color w:val="auto"/>
          <w:sz w:val="22"/>
          <w:szCs w:val="22"/>
          <w:lang w:val="en-US"/>
        </w:rPr>
        <w:instrText xml:space="preserve"> SEQ Table \* ARABIC </w:instrText>
      </w:r>
      <w:r>
        <w:fldChar w:fldCharType="separate"/>
      </w:r>
      <w:r w:rsidR="00657860">
        <w:rPr>
          <w:rFonts w:ascii="Times New Roman" w:hAnsi="Times New Roman" w:cs="Times New Roman"/>
          <w:b/>
          <w:i w:val="0"/>
          <w:noProof/>
          <w:color w:val="auto"/>
          <w:sz w:val="22"/>
          <w:szCs w:val="22"/>
          <w:lang w:val="en-US"/>
        </w:rPr>
        <w:t>1</w:t>
      </w:r>
      <w:r>
        <w:fldChar w:fldCharType="end"/>
      </w:r>
      <w:bookmarkEnd w:id="1"/>
      <w:r w:rsidRPr="00654CEF">
        <w:rPr>
          <w:rFonts w:ascii="Times New Roman" w:hAnsi="Times New Roman" w:cs="Times New Roman"/>
          <w:b/>
          <w:i w:val="0"/>
          <w:color w:val="auto"/>
          <w:sz w:val="22"/>
          <w:szCs w:val="22"/>
          <w:lang w:val="en-US"/>
        </w:rPr>
        <w:t>.</w:t>
      </w:r>
      <w:r w:rsidRPr="00654CEF">
        <w:rPr>
          <w:rFonts w:ascii="Times New Roman" w:hAnsi="Times New Roman" w:cs="Times New Roman"/>
          <w:i w:val="0"/>
          <w:color w:val="auto"/>
          <w:sz w:val="22"/>
          <w:szCs w:val="22"/>
          <w:lang w:val="en-US"/>
        </w:rPr>
        <w:t xml:space="preserve"> </w:t>
      </w:r>
      <w:r>
        <w:rPr>
          <w:rFonts w:ascii="Times New Roman" w:hAnsi="Times New Roman" w:cs="Times New Roman"/>
          <w:b/>
          <w:i w:val="0"/>
          <w:color w:val="auto"/>
          <w:sz w:val="22"/>
          <w:szCs w:val="22"/>
        </w:rPr>
        <w:t>Basic statistics about the application submitted for Recruitment Field Informatics at the ASN 2016. For each level we report the number of CVs collected, and the overall number of retrieved DOIs of applicants’ publications and, in parentheses, the average number of publications per candidate extracted from (i.) DBLP, (ii) the CVs, and (iii) the union of them. In addition, both DBLP and Crossref were used to retrieve the publication types of all the aforementioned DOIs.</w:t>
      </w:r>
    </w:p>
    <w:tbl>
      <w:tblPr>
        <w:tblW w:w="5000" w:type="pct"/>
        <w:tblBorders>
          <w:top w:val="single" w:sz="4" w:space="0" w:color="auto"/>
          <w:bottom w:val="single" w:sz="4" w:space="0" w:color="auto"/>
        </w:tblBorders>
        <w:tblLook w:val="0600" w:firstRow="0" w:lastRow="0" w:firstColumn="0" w:lastColumn="0" w:noHBand="1" w:noVBand="1"/>
      </w:tblPr>
      <w:tblGrid>
        <w:gridCol w:w="2273"/>
        <w:gridCol w:w="1411"/>
        <w:gridCol w:w="1862"/>
        <w:gridCol w:w="1862"/>
        <w:gridCol w:w="1863"/>
      </w:tblGrid>
      <w:tr w:rsidR="00654CEF" w14:paraId="2EDE1C87" w14:textId="77777777" w:rsidTr="00654FA4">
        <w:trPr>
          <w:trHeight w:val="245"/>
        </w:trPr>
        <w:tc>
          <w:tcPr>
            <w:tcW w:w="1226" w:type="pct"/>
            <w:tcBorders>
              <w:top w:val="single" w:sz="4" w:space="0" w:color="auto"/>
              <w:bottom w:val="single" w:sz="4" w:space="0" w:color="auto"/>
              <w:right w:val="single" w:sz="4" w:space="0" w:color="auto"/>
            </w:tcBorders>
            <w:tcMar>
              <w:top w:w="100" w:type="dxa"/>
              <w:left w:w="100" w:type="dxa"/>
              <w:bottom w:w="100" w:type="dxa"/>
              <w:right w:w="100" w:type="dxa"/>
            </w:tcMar>
            <w:hideMark/>
          </w:tcPr>
          <w:p w14:paraId="01C0A159" w14:textId="77777777" w:rsidR="00654CEF" w:rsidRDefault="00654CEF">
            <w:pPr>
              <w:widowControl w:val="0"/>
              <w:rPr>
                <w:i/>
                <w:sz w:val="22"/>
                <w:lang w:val="en"/>
              </w:rPr>
            </w:pPr>
            <w:r>
              <w:rPr>
                <w:i/>
              </w:rPr>
              <w:t>Level</w:t>
            </w:r>
          </w:p>
        </w:tc>
        <w:tc>
          <w:tcPr>
            <w:tcW w:w="761" w:type="pct"/>
            <w:tcBorders>
              <w:top w:val="single" w:sz="4" w:space="0" w:color="auto"/>
              <w:left w:val="single" w:sz="4" w:space="0" w:color="auto"/>
              <w:bottom w:val="single" w:sz="4" w:space="0" w:color="auto"/>
            </w:tcBorders>
            <w:tcMar>
              <w:top w:w="100" w:type="dxa"/>
              <w:left w:w="100" w:type="dxa"/>
              <w:bottom w:w="100" w:type="dxa"/>
              <w:right w:w="100" w:type="dxa"/>
            </w:tcMar>
            <w:hideMark/>
          </w:tcPr>
          <w:p w14:paraId="55FA7D24" w14:textId="77777777" w:rsidR="00654CEF" w:rsidRDefault="00654CEF">
            <w:pPr>
              <w:widowControl w:val="0"/>
              <w:jc w:val="center"/>
              <w:rPr>
                <w:i/>
              </w:rPr>
            </w:pPr>
            <w:r>
              <w:rPr>
                <w:i/>
              </w:rPr>
              <w:t>CVs</w:t>
            </w:r>
          </w:p>
        </w:tc>
        <w:tc>
          <w:tcPr>
            <w:tcW w:w="1004" w:type="pct"/>
            <w:tcBorders>
              <w:top w:val="single" w:sz="4" w:space="0" w:color="auto"/>
              <w:bottom w:val="single" w:sz="4" w:space="0" w:color="auto"/>
            </w:tcBorders>
            <w:tcMar>
              <w:top w:w="100" w:type="dxa"/>
              <w:left w:w="100" w:type="dxa"/>
              <w:bottom w:w="100" w:type="dxa"/>
              <w:right w:w="100" w:type="dxa"/>
            </w:tcMar>
            <w:hideMark/>
          </w:tcPr>
          <w:p w14:paraId="059FB58F" w14:textId="77777777" w:rsidR="00654CEF" w:rsidRDefault="00654CEF">
            <w:pPr>
              <w:widowControl w:val="0"/>
              <w:jc w:val="center"/>
              <w:rPr>
                <w:i/>
              </w:rPr>
            </w:pPr>
            <w:r>
              <w:rPr>
                <w:i/>
              </w:rPr>
              <w:t>DOI DBLP</w:t>
            </w:r>
          </w:p>
        </w:tc>
        <w:tc>
          <w:tcPr>
            <w:tcW w:w="1004" w:type="pct"/>
            <w:tcBorders>
              <w:top w:val="single" w:sz="4" w:space="0" w:color="auto"/>
              <w:bottom w:val="single" w:sz="4" w:space="0" w:color="auto"/>
            </w:tcBorders>
            <w:tcMar>
              <w:top w:w="100" w:type="dxa"/>
              <w:left w:w="100" w:type="dxa"/>
              <w:bottom w:w="100" w:type="dxa"/>
              <w:right w:w="100" w:type="dxa"/>
            </w:tcMar>
            <w:hideMark/>
          </w:tcPr>
          <w:p w14:paraId="5B04F382" w14:textId="77777777" w:rsidR="00654CEF" w:rsidRDefault="00654CEF">
            <w:pPr>
              <w:widowControl w:val="0"/>
              <w:jc w:val="center"/>
              <w:rPr>
                <w:i/>
              </w:rPr>
            </w:pPr>
            <w:r>
              <w:rPr>
                <w:i/>
              </w:rPr>
              <w:t>DOI CV</w:t>
            </w:r>
          </w:p>
        </w:tc>
        <w:tc>
          <w:tcPr>
            <w:tcW w:w="1004" w:type="pct"/>
            <w:tcBorders>
              <w:top w:val="single" w:sz="4" w:space="0" w:color="auto"/>
              <w:bottom w:val="single" w:sz="4" w:space="0" w:color="auto"/>
            </w:tcBorders>
            <w:tcMar>
              <w:top w:w="100" w:type="dxa"/>
              <w:left w:w="100" w:type="dxa"/>
              <w:bottom w:w="100" w:type="dxa"/>
              <w:right w:w="100" w:type="dxa"/>
            </w:tcMar>
            <w:hideMark/>
          </w:tcPr>
          <w:p w14:paraId="67FEA3C8" w14:textId="77777777" w:rsidR="00654CEF" w:rsidRDefault="00654CEF">
            <w:pPr>
              <w:widowControl w:val="0"/>
              <w:jc w:val="center"/>
              <w:rPr>
                <w:i/>
              </w:rPr>
            </w:pPr>
            <w:r>
              <w:rPr>
                <w:i/>
              </w:rPr>
              <w:t>DOI UNION</w:t>
            </w:r>
          </w:p>
        </w:tc>
      </w:tr>
      <w:tr w:rsidR="00654CEF" w14:paraId="2461D81C" w14:textId="77777777" w:rsidTr="00654FA4">
        <w:trPr>
          <w:trHeight w:val="381"/>
        </w:trPr>
        <w:tc>
          <w:tcPr>
            <w:tcW w:w="1226" w:type="pct"/>
            <w:tcBorders>
              <w:top w:val="single" w:sz="4" w:space="0" w:color="auto"/>
              <w:bottom w:val="single" w:sz="4" w:space="0" w:color="auto"/>
              <w:right w:val="single" w:sz="4" w:space="0" w:color="auto"/>
            </w:tcBorders>
            <w:tcMar>
              <w:top w:w="100" w:type="dxa"/>
              <w:left w:w="100" w:type="dxa"/>
              <w:bottom w:w="100" w:type="dxa"/>
              <w:right w:w="100" w:type="dxa"/>
            </w:tcMar>
          </w:tcPr>
          <w:p w14:paraId="19F93DF6" w14:textId="77777777" w:rsidR="00654CEF" w:rsidRDefault="00654CEF">
            <w:pPr>
              <w:widowControl w:val="0"/>
              <w:rPr>
                <w:b/>
              </w:rPr>
            </w:pPr>
          </w:p>
        </w:tc>
        <w:tc>
          <w:tcPr>
            <w:tcW w:w="761" w:type="pct"/>
            <w:tcBorders>
              <w:top w:val="single" w:sz="4" w:space="0" w:color="auto"/>
              <w:left w:val="single" w:sz="4" w:space="0" w:color="auto"/>
              <w:bottom w:val="single" w:sz="4" w:space="0" w:color="auto"/>
            </w:tcBorders>
            <w:tcMar>
              <w:top w:w="100" w:type="dxa"/>
              <w:left w:w="100" w:type="dxa"/>
              <w:bottom w:w="100" w:type="dxa"/>
              <w:right w:w="100" w:type="dxa"/>
            </w:tcMar>
          </w:tcPr>
          <w:p w14:paraId="09CAD4D2" w14:textId="77777777" w:rsidR="00654CEF" w:rsidRDefault="00654CEF">
            <w:pPr>
              <w:widowControl w:val="0"/>
              <w:jc w:val="center"/>
              <w:rPr>
                <w:b/>
              </w:rPr>
            </w:pPr>
          </w:p>
        </w:tc>
        <w:tc>
          <w:tcPr>
            <w:tcW w:w="3013" w:type="pct"/>
            <w:gridSpan w:val="3"/>
            <w:tcBorders>
              <w:top w:val="single" w:sz="4" w:space="0" w:color="auto"/>
              <w:bottom w:val="single" w:sz="4" w:space="0" w:color="auto"/>
            </w:tcBorders>
            <w:tcMar>
              <w:top w:w="100" w:type="dxa"/>
              <w:left w:w="100" w:type="dxa"/>
              <w:bottom w:w="100" w:type="dxa"/>
              <w:right w:w="100" w:type="dxa"/>
            </w:tcMar>
            <w:hideMark/>
          </w:tcPr>
          <w:p w14:paraId="45533695" w14:textId="77777777" w:rsidR="00654CEF" w:rsidRDefault="00654CEF">
            <w:pPr>
              <w:widowControl w:val="0"/>
              <w:jc w:val="center"/>
              <w:rPr>
                <w:i/>
              </w:rPr>
            </w:pPr>
            <w:r>
              <w:rPr>
                <w:i/>
              </w:rPr>
              <w:t>(*  in parentheses average DOIs per applicant)</w:t>
            </w:r>
          </w:p>
        </w:tc>
      </w:tr>
      <w:tr w:rsidR="00654CEF" w14:paraId="2A130C7D" w14:textId="77777777" w:rsidTr="005F6CA0">
        <w:tc>
          <w:tcPr>
            <w:tcW w:w="1226" w:type="pct"/>
            <w:tcBorders>
              <w:top w:val="single" w:sz="4" w:space="0" w:color="auto"/>
              <w:bottom w:val="nil"/>
              <w:right w:val="single" w:sz="4" w:space="0" w:color="auto"/>
            </w:tcBorders>
            <w:tcMar>
              <w:top w:w="100" w:type="dxa"/>
              <w:left w:w="100" w:type="dxa"/>
              <w:bottom w:w="100" w:type="dxa"/>
              <w:right w:w="100" w:type="dxa"/>
            </w:tcMar>
            <w:hideMark/>
          </w:tcPr>
          <w:p w14:paraId="58AC65D0" w14:textId="77777777" w:rsidR="00654CEF" w:rsidRDefault="00654CEF">
            <w:pPr>
              <w:widowControl w:val="0"/>
            </w:pPr>
            <w:r>
              <w:t>Associate Professor</w:t>
            </w:r>
          </w:p>
        </w:tc>
        <w:tc>
          <w:tcPr>
            <w:tcW w:w="761" w:type="pct"/>
            <w:tcBorders>
              <w:top w:val="single" w:sz="4" w:space="0" w:color="auto"/>
              <w:left w:val="single" w:sz="4" w:space="0" w:color="auto"/>
              <w:bottom w:val="nil"/>
            </w:tcBorders>
            <w:tcMar>
              <w:top w:w="100" w:type="dxa"/>
              <w:left w:w="100" w:type="dxa"/>
              <w:bottom w:w="100" w:type="dxa"/>
              <w:right w:w="100" w:type="dxa"/>
            </w:tcMar>
            <w:hideMark/>
          </w:tcPr>
          <w:p w14:paraId="68CACCE1" w14:textId="77777777" w:rsidR="00654CEF" w:rsidRDefault="00654CEF">
            <w:pPr>
              <w:widowControl w:val="0"/>
              <w:jc w:val="center"/>
            </w:pPr>
            <w:r>
              <w:t>757</w:t>
            </w:r>
          </w:p>
        </w:tc>
        <w:tc>
          <w:tcPr>
            <w:tcW w:w="1004" w:type="pct"/>
            <w:tcBorders>
              <w:top w:val="single" w:sz="4" w:space="0" w:color="auto"/>
              <w:bottom w:val="nil"/>
            </w:tcBorders>
            <w:tcMar>
              <w:top w:w="100" w:type="dxa"/>
              <w:left w:w="100" w:type="dxa"/>
              <w:bottom w:w="100" w:type="dxa"/>
              <w:right w:w="100" w:type="dxa"/>
            </w:tcMar>
            <w:hideMark/>
          </w:tcPr>
          <w:p w14:paraId="4722B84B" w14:textId="77777777" w:rsidR="00654CEF" w:rsidRDefault="00654CEF">
            <w:pPr>
              <w:widowControl w:val="0"/>
              <w:jc w:val="center"/>
            </w:pPr>
            <w:r>
              <w:t>31713 (41.9)</w:t>
            </w:r>
          </w:p>
        </w:tc>
        <w:tc>
          <w:tcPr>
            <w:tcW w:w="1004" w:type="pct"/>
            <w:tcBorders>
              <w:top w:val="single" w:sz="4" w:space="0" w:color="auto"/>
              <w:bottom w:val="nil"/>
            </w:tcBorders>
            <w:tcMar>
              <w:top w:w="100" w:type="dxa"/>
              <w:left w:w="100" w:type="dxa"/>
              <w:bottom w:w="100" w:type="dxa"/>
              <w:right w:w="100" w:type="dxa"/>
            </w:tcMar>
            <w:hideMark/>
          </w:tcPr>
          <w:p w14:paraId="1A04E5F2" w14:textId="77777777" w:rsidR="00654CEF" w:rsidRDefault="00654CEF">
            <w:pPr>
              <w:widowControl w:val="0"/>
              <w:jc w:val="center"/>
            </w:pPr>
            <w:r>
              <w:t>31896 (42.1)</w:t>
            </w:r>
          </w:p>
        </w:tc>
        <w:tc>
          <w:tcPr>
            <w:tcW w:w="1004" w:type="pct"/>
            <w:tcBorders>
              <w:top w:val="single" w:sz="4" w:space="0" w:color="auto"/>
              <w:bottom w:val="nil"/>
            </w:tcBorders>
            <w:tcMar>
              <w:top w:w="100" w:type="dxa"/>
              <w:left w:w="100" w:type="dxa"/>
              <w:bottom w:w="100" w:type="dxa"/>
              <w:right w:w="100" w:type="dxa"/>
            </w:tcMar>
            <w:hideMark/>
          </w:tcPr>
          <w:p w14:paraId="48F64071" w14:textId="77777777" w:rsidR="00654CEF" w:rsidRDefault="00654CEF">
            <w:pPr>
              <w:widowControl w:val="0"/>
              <w:jc w:val="center"/>
            </w:pPr>
            <w:r>
              <w:t>36820 (48.6)</w:t>
            </w:r>
          </w:p>
        </w:tc>
      </w:tr>
      <w:tr w:rsidR="00654CEF" w14:paraId="21402DED" w14:textId="77777777" w:rsidTr="005F6CA0">
        <w:tc>
          <w:tcPr>
            <w:tcW w:w="1226" w:type="pct"/>
            <w:tcBorders>
              <w:top w:val="nil"/>
              <w:bottom w:val="single" w:sz="4" w:space="0" w:color="auto"/>
              <w:right w:val="single" w:sz="4" w:space="0" w:color="auto"/>
            </w:tcBorders>
            <w:tcMar>
              <w:top w:w="100" w:type="dxa"/>
              <w:left w:w="100" w:type="dxa"/>
              <w:bottom w:w="100" w:type="dxa"/>
              <w:right w:w="100" w:type="dxa"/>
            </w:tcMar>
            <w:hideMark/>
          </w:tcPr>
          <w:p w14:paraId="37D2DE4B" w14:textId="77777777" w:rsidR="00654CEF" w:rsidRDefault="00654CEF">
            <w:pPr>
              <w:widowControl w:val="0"/>
            </w:pPr>
            <w:r>
              <w:t>Full Professor</w:t>
            </w:r>
          </w:p>
        </w:tc>
        <w:tc>
          <w:tcPr>
            <w:tcW w:w="761" w:type="pct"/>
            <w:tcBorders>
              <w:top w:val="nil"/>
              <w:left w:val="single" w:sz="4" w:space="0" w:color="auto"/>
              <w:bottom w:val="single" w:sz="4" w:space="0" w:color="auto"/>
            </w:tcBorders>
            <w:tcMar>
              <w:top w:w="100" w:type="dxa"/>
              <w:left w:w="100" w:type="dxa"/>
              <w:bottom w:w="100" w:type="dxa"/>
              <w:right w:w="100" w:type="dxa"/>
            </w:tcMar>
            <w:hideMark/>
          </w:tcPr>
          <w:p w14:paraId="2FA6B6A5" w14:textId="77777777" w:rsidR="00654CEF" w:rsidRDefault="00654CEF">
            <w:pPr>
              <w:widowControl w:val="0"/>
              <w:jc w:val="center"/>
            </w:pPr>
            <w:r>
              <w:t>518</w:t>
            </w:r>
          </w:p>
        </w:tc>
        <w:tc>
          <w:tcPr>
            <w:tcW w:w="1004" w:type="pct"/>
            <w:tcBorders>
              <w:top w:val="nil"/>
              <w:bottom w:val="single" w:sz="4" w:space="0" w:color="auto"/>
            </w:tcBorders>
            <w:tcMar>
              <w:top w:w="100" w:type="dxa"/>
              <w:left w:w="100" w:type="dxa"/>
              <w:bottom w:w="100" w:type="dxa"/>
              <w:right w:w="100" w:type="dxa"/>
            </w:tcMar>
            <w:hideMark/>
          </w:tcPr>
          <w:p w14:paraId="29B991CA" w14:textId="77777777" w:rsidR="00654CEF" w:rsidRDefault="00654CEF">
            <w:pPr>
              <w:widowControl w:val="0"/>
              <w:jc w:val="center"/>
            </w:pPr>
            <w:r>
              <w:t>37728 (72.8)</w:t>
            </w:r>
          </w:p>
        </w:tc>
        <w:tc>
          <w:tcPr>
            <w:tcW w:w="1004" w:type="pct"/>
            <w:tcBorders>
              <w:top w:val="nil"/>
              <w:bottom w:val="single" w:sz="4" w:space="0" w:color="auto"/>
            </w:tcBorders>
            <w:tcMar>
              <w:top w:w="100" w:type="dxa"/>
              <w:left w:w="100" w:type="dxa"/>
              <w:bottom w:w="100" w:type="dxa"/>
              <w:right w:w="100" w:type="dxa"/>
            </w:tcMar>
            <w:hideMark/>
          </w:tcPr>
          <w:p w14:paraId="4F1AAE8D" w14:textId="77777777" w:rsidR="00654CEF" w:rsidRDefault="00654CEF">
            <w:pPr>
              <w:widowControl w:val="0"/>
              <w:jc w:val="center"/>
            </w:pPr>
            <w:r>
              <w:t>37793 (73.0)</w:t>
            </w:r>
          </w:p>
        </w:tc>
        <w:tc>
          <w:tcPr>
            <w:tcW w:w="1004" w:type="pct"/>
            <w:tcBorders>
              <w:top w:val="nil"/>
              <w:bottom w:val="single" w:sz="4" w:space="0" w:color="auto"/>
            </w:tcBorders>
            <w:tcMar>
              <w:top w:w="100" w:type="dxa"/>
              <w:left w:w="100" w:type="dxa"/>
              <w:bottom w:w="100" w:type="dxa"/>
              <w:right w:w="100" w:type="dxa"/>
            </w:tcMar>
            <w:hideMark/>
          </w:tcPr>
          <w:p w14:paraId="4DA72B97" w14:textId="77777777" w:rsidR="00654CEF" w:rsidRDefault="00654CEF">
            <w:pPr>
              <w:widowControl w:val="0"/>
              <w:jc w:val="center"/>
            </w:pPr>
            <w:r>
              <w:t>42375 (81.8)</w:t>
            </w:r>
          </w:p>
        </w:tc>
      </w:tr>
    </w:tbl>
    <w:p w14:paraId="70B12570" w14:textId="77777777" w:rsidR="00B50104" w:rsidRDefault="00B50104" w:rsidP="00B50104"/>
    <w:p w14:paraId="56F61BEB" w14:textId="6D8303A8" w:rsidR="00B50104" w:rsidRDefault="00B50104" w:rsidP="00B50104">
      <w:r>
        <w:t xml:space="preserve">All the citations related to the DOIs extracted were gathered from COCI, the </w:t>
      </w:r>
      <w:proofErr w:type="spellStart"/>
      <w:r>
        <w:t>OpenCitations</w:t>
      </w:r>
      <w:proofErr w:type="spellEnd"/>
      <w:r>
        <w:t xml:space="preserve"> Index of </w:t>
      </w:r>
      <w:proofErr w:type="spellStart"/>
      <w:r>
        <w:t>Crossref</w:t>
      </w:r>
      <w:proofErr w:type="spellEnd"/>
      <w:r>
        <w:t xml:space="preserve"> open DOI-to-DOI citations (</w:t>
      </w:r>
      <w:hyperlink r:id="rId17" w:history="1">
        <w:r w:rsidR="0043570D" w:rsidRPr="00DC34D4">
          <w:rPr>
            <w:rStyle w:val="Collegamentoipertestuale"/>
          </w:rPr>
          <w:t>http://opencitations.net/index/coci</w:t>
        </w:r>
      </w:hyperlink>
      <w:r>
        <w:t xml:space="preserve">). This dataset is provided by </w:t>
      </w:r>
      <w:proofErr w:type="spellStart"/>
      <w:r>
        <w:t>OpenCitations</w:t>
      </w:r>
      <w:proofErr w:type="spellEnd"/>
      <w:r>
        <w:t>, a scholarly infrastructure organization dedicated to open scholarship and the publication of open bibliographic and citation data (</w:t>
      </w:r>
      <w:proofErr w:type="spellStart"/>
      <w:r>
        <w:t>Peroni</w:t>
      </w:r>
      <w:proofErr w:type="spellEnd"/>
      <w:r>
        <w:t xml:space="preserve"> and </w:t>
      </w:r>
      <w:proofErr w:type="spellStart"/>
      <w:r>
        <w:t>Shotton</w:t>
      </w:r>
      <w:proofErr w:type="spellEnd"/>
      <w:r>
        <w:t xml:space="preserve">, 2018) by the use of Semantic Web (Linked Data) technologies. Launched in July 2018, COCI is the first of the Indexes proposed by </w:t>
      </w:r>
      <w:proofErr w:type="spellStart"/>
      <w:r>
        <w:t>OpenCitations</w:t>
      </w:r>
      <w:proofErr w:type="spellEnd"/>
      <w:r>
        <w:t xml:space="preserve"> (</w:t>
      </w:r>
      <w:hyperlink r:id="rId18" w:history="1">
        <w:r w:rsidR="0043570D" w:rsidRPr="00DC34D4">
          <w:rPr>
            <w:rStyle w:val="Collegamentoipertestuale"/>
          </w:rPr>
          <w:t>http://opencitations.net/index</w:t>
        </w:r>
      </w:hyperlink>
      <w:r>
        <w:t>) in which citations are exposed as first-class data entities with accompanying properties, and currently contains 449,840,503 DOI-to-DOI citation links between 46,534,705 distinct bibliographic entities (</w:t>
      </w:r>
      <w:proofErr w:type="spellStart"/>
      <w:r>
        <w:t>OpenCitations</w:t>
      </w:r>
      <w:proofErr w:type="spellEnd"/>
      <w:r>
        <w:t xml:space="preserve">, 2018). </w:t>
      </w:r>
    </w:p>
    <w:p w14:paraId="3A99E54E" w14:textId="397FBC35" w:rsidR="00B50104" w:rsidRDefault="00B50104" w:rsidP="00B50104">
      <w:r>
        <w:t xml:space="preserve">To date, the majority of the citations stored in </w:t>
      </w:r>
      <w:proofErr w:type="spellStart"/>
      <w:r>
        <w:t>Crossref</w:t>
      </w:r>
      <w:proofErr w:type="spellEnd"/>
      <w:r>
        <w:t xml:space="preserve"> that are not available in COCI comes from just three publishers: Elsevier, the American Chemical Society and University of Chicago Press (</w:t>
      </w:r>
      <w:proofErr w:type="spellStart"/>
      <w:r>
        <w:t>Heibi</w:t>
      </w:r>
      <w:proofErr w:type="spellEnd"/>
      <w:r>
        <w:t xml:space="preserve"> et al., 2019). This is due to the particular access policy chosen by these publishers, since such citation data refer to publications for which the reference lists are not visible to anyone outside the </w:t>
      </w:r>
      <w:proofErr w:type="spellStart"/>
      <w:r>
        <w:t>Crossref</w:t>
      </w:r>
      <w:proofErr w:type="spellEnd"/>
      <w:r>
        <w:t xml:space="preserve"> Cited-by membership. The advantage to access COCI instead of </w:t>
      </w:r>
      <w:proofErr w:type="spellStart"/>
      <w:r>
        <w:t>Crossref</w:t>
      </w:r>
      <w:proofErr w:type="spellEnd"/>
      <w:r>
        <w:t xml:space="preserve"> is that COCI also contains DOI-to-DOI citations that are included in the </w:t>
      </w:r>
      <w:proofErr w:type="spellStart"/>
      <w:r>
        <w:t>Crossref</w:t>
      </w:r>
      <w:proofErr w:type="spellEnd"/>
      <w:r>
        <w:t xml:space="preserve"> ‘limited’ dataset, which is accessible only to users of the </w:t>
      </w:r>
      <w:proofErr w:type="spellStart"/>
      <w:r>
        <w:t>Crossref</w:t>
      </w:r>
      <w:proofErr w:type="spellEnd"/>
      <w:r>
        <w:t xml:space="preserve"> Cited-by service and to Metadata Plus members of </w:t>
      </w:r>
      <w:proofErr w:type="spellStart"/>
      <w:r>
        <w:t>Crossref</w:t>
      </w:r>
      <w:proofErr w:type="spellEnd"/>
      <w:r>
        <w:t xml:space="preserve">. Additional information about the way </w:t>
      </w:r>
      <w:proofErr w:type="spellStart"/>
      <w:r>
        <w:t>Crossref</w:t>
      </w:r>
      <w:proofErr w:type="spellEnd"/>
      <w:r>
        <w:t xml:space="preserve"> classifies reference lists is available at </w:t>
      </w:r>
      <w:hyperlink r:id="rId19" w:history="1">
        <w:r w:rsidR="0043570D" w:rsidRPr="00DC34D4">
          <w:rPr>
            <w:rStyle w:val="Collegamentoipertestuale"/>
          </w:rPr>
          <w:t>https://www.crossref.org/reference-distribution/</w:t>
        </w:r>
      </w:hyperlink>
      <w:r>
        <w:t xml:space="preserve">. The fact that COCI does not contain citations from Elsevier’s articles can be a bottleneck to </w:t>
      </w:r>
      <w:r w:rsidR="00B83A50">
        <w:t xml:space="preserve">our </w:t>
      </w:r>
      <w:r>
        <w:t>study, since such publisher manages several of the most important Computer Science journals that are valuable sources of citations to other Computer Science articles.</w:t>
      </w:r>
    </w:p>
    <w:p w14:paraId="3CFEC07F" w14:textId="1D955CFC" w:rsidR="00B50104" w:rsidRDefault="00B50104" w:rsidP="00B50104">
      <w:r>
        <w:t>The source code of the pipeline to collect these data is available as open source a</w:t>
      </w:r>
      <w:r w:rsidR="0043570D">
        <w:t xml:space="preserve">t </w:t>
      </w:r>
      <w:hyperlink r:id="rId20" w:history="1">
        <w:r w:rsidR="0043570D" w:rsidRPr="00DC34D4">
          <w:rPr>
            <w:rStyle w:val="Collegamentoipertestuale"/>
          </w:rPr>
          <w:t>https://github.com/sosgang/asn2016-issi2019</w:t>
        </w:r>
      </w:hyperlink>
      <w:r>
        <w:t xml:space="preserve">, while the data are available on </w:t>
      </w:r>
      <w:proofErr w:type="spellStart"/>
      <w:r>
        <w:t>Zenodo</w:t>
      </w:r>
      <w:proofErr w:type="spellEnd"/>
      <w:r>
        <w:t xml:space="preserve"> and are released with a CC0 waiver (Di </w:t>
      </w:r>
      <w:proofErr w:type="spellStart"/>
      <w:r>
        <w:t>Iorio</w:t>
      </w:r>
      <w:proofErr w:type="spellEnd"/>
      <w:r>
        <w:t xml:space="preserve">, </w:t>
      </w:r>
      <w:proofErr w:type="spellStart"/>
      <w:r>
        <w:t>Peroni</w:t>
      </w:r>
      <w:proofErr w:type="spellEnd"/>
      <w:r>
        <w:t xml:space="preserve"> and Poggi, 2019).</w:t>
      </w:r>
    </w:p>
    <w:p w14:paraId="67201A71" w14:textId="77777777" w:rsidR="00B50104" w:rsidRDefault="00B50104" w:rsidP="00B50104">
      <w:pPr>
        <w:pStyle w:val="Titolo1"/>
        <w:rPr>
          <w:rFonts w:eastAsia="Arial"/>
          <w:sz w:val="40"/>
          <w:szCs w:val="40"/>
          <w:lang w:val="en"/>
        </w:rPr>
      </w:pPr>
      <w:r>
        <w:rPr>
          <w:rFonts w:eastAsia="Arial"/>
        </w:rPr>
        <w:lastRenderedPageBreak/>
        <w:t>Experiments with open data and ASN</w:t>
      </w:r>
    </w:p>
    <w:p w14:paraId="55A349E0" w14:textId="77777777" w:rsidR="00B50104" w:rsidRDefault="00B50104" w:rsidP="00B50104">
      <w:pPr>
        <w:rPr>
          <w:rFonts w:eastAsia="Arial"/>
        </w:rPr>
      </w:pPr>
      <w:r>
        <w:t>The core of the experiment consisted of studying the performance of the candidates when using open data instead of closed ones. We repeated the test under three conditions corresponding to the three overlapping sets of DOIs. For the sake of clarity these conditions will be indicated with an acronym from now on:</w:t>
      </w:r>
    </w:p>
    <w:p w14:paraId="7455F4A2" w14:textId="77777777" w:rsidR="00B50104" w:rsidRDefault="00B50104" w:rsidP="00B50104">
      <w:pPr>
        <w:numPr>
          <w:ilvl w:val="0"/>
          <w:numId w:val="5"/>
        </w:numPr>
        <w:spacing w:line="276" w:lineRule="auto"/>
      </w:pPr>
      <w:r>
        <w:rPr>
          <w:b/>
        </w:rPr>
        <w:t>CCV</w:t>
      </w:r>
      <w:r>
        <w:t>: DOIs taken from CVs and citations taken from COCI;</w:t>
      </w:r>
    </w:p>
    <w:p w14:paraId="2096D806" w14:textId="77777777" w:rsidR="00B50104" w:rsidRDefault="00B50104" w:rsidP="00B50104">
      <w:pPr>
        <w:numPr>
          <w:ilvl w:val="0"/>
          <w:numId w:val="5"/>
        </w:numPr>
        <w:spacing w:line="276" w:lineRule="auto"/>
      </w:pPr>
      <w:r>
        <w:rPr>
          <w:b/>
        </w:rPr>
        <w:t>CDBLP</w:t>
      </w:r>
      <w:r>
        <w:t>: DOIs taken from DBLP and citations taken from COCI;</w:t>
      </w:r>
    </w:p>
    <w:p w14:paraId="13744083" w14:textId="6E781FAF" w:rsidR="00B50104" w:rsidRDefault="00B50104" w:rsidP="00B50104">
      <w:pPr>
        <w:numPr>
          <w:ilvl w:val="0"/>
          <w:numId w:val="5"/>
        </w:numPr>
        <w:spacing w:line="276" w:lineRule="auto"/>
      </w:pPr>
      <w:r>
        <w:rPr>
          <w:b/>
        </w:rPr>
        <w:t>CU</w:t>
      </w:r>
      <w:r>
        <w:t>: DOIs obtained as the union of the DOIs in CCV and CDLP, and citations taken from COCI.</w:t>
      </w:r>
    </w:p>
    <w:p w14:paraId="6DDB9942" w14:textId="41EEF114" w:rsidR="00B50104" w:rsidRDefault="00B50104" w:rsidP="00B50104">
      <w:pPr>
        <w:rPr>
          <w:highlight w:val="white"/>
        </w:rPr>
      </w:pPr>
      <w:r>
        <w:rPr>
          <w:highlight w:val="white"/>
        </w:rPr>
        <w:t>The following step consists of calculating the three thresholds against which compare our data. Our initial plan was to re-calculate these thresholds as medians of the values of the indicators for Associate and Full Professors, as done for the ASN 2012. We also expected to compute the indicators for each condition. This was not done since ANVUR did not publish the algorithm to calculate the official thresholds in 2016 but only their values. Then we used the official thresholds directly, even if they were calculated from closed (and, potentially, more rich) data. This is not optimal but gave us valuable insights and we plan to do further experiments on the thresholds as discussed at the end of the paper.</w:t>
      </w:r>
      <w:r>
        <w:rPr>
          <w:color w:val="FF0000"/>
        </w:rPr>
        <w:t xml:space="preserve"> </w:t>
      </w:r>
      <w:r>
        <w:rPr>
          <w:highlight w:val="white"/>
        </w:rPr>
        <w:t>The current values are sh</w:t>
      </w:r>
      <w:r w:rsidRPr="002F4758">
        <w:rPr>
          <w:szCs w:val="24"/>
          <w:highlight w:val="white"/>
        </w:rPr>
        <w:t>own i</w:t>
      </w:r>
      <w:r w:rsidR="00654CEF" w:rsidRPr="002F4758">
        <w:rPr>
          <w:szCs w:val="24"/>
          <w:highlight w:val="white"/>
        </w:rPr>
        <w:t xml:space="preserve">n </w:t>
      </w:r>
      <w:r w:rsidR="00654CEF" w:rsidRPr="002F4758">
        <w:rPr>
          <w:szCs w:val="24"/>
          <w:highlight w:val="white"/>
        </w:rPr>
        <w:fldChar w:fldCharType="begin"/>
      </w:r>
      <w:r w:rsidR="00654CEF" w:rsidRPr="002F4758">
        <w:rPr>
          <w:szCs w:val="24"/>
          <w:highlight w:val="white"/>
        </w:rPr>
        <w:instrText xml:space="preserve"> REF _Ref10730822 \h  \* MERGEFORMAT </w:instrText>
      </w:r>
      <w:r w:rsidR="00654CEF" w:rsidRPr="002F4758">
        <w:rPr>
          <w:szCs w:val="24"/>
          <w:highlight w:val="white"/>
        </w:rPr>
      </w:r>
      <w:r w:rsidR="00654CEF" w:rsidRPr="002F4758">
        <w:rPr>
          <w:szCs w:val="24"/>
          <w:highlight w:val="white"/>
        </w:rPr>
        <w:fldChar w:fldCharType="separate"/>
      </w:r>
      <w:r w:rsidR="00657860" w:rsidRPr="00657860">
        <w:rPr>
          <w:szCs w:val="24"/>
        </w:rPr>
        <w:t xml:space="preserve">Table </w:t>
      </w:r>
      <w:r w:rsidR="00657860" w:rsidRPr="00657860">
        <w:rPr>
          <w:noProof/>
          <w:szCs w:val="24"/>
        </w:rPr>
        <w:t>2</w:t>
      </w:r>
      <w:r w:rsidR="00654CEF" w:rsidRPr="002F4758">
        <w:rPr>
          <w:szCs w:val="24"/>
          <w:highlight w:val="white"/>
        </w:rPr>
        <w:fldChar w:fldCharType="end"/>
      </w:r>
      <w:r w:rsidRPr="002F4758">
        <w:rPr>
          <w:szCs w:val="24"/>
          <w:highlight w:val="white"/>
        </w:rPr>
        <w:t>.</w:t>
      </w:r>
    </w:p>
    <w:p w14:paraId="1C93779C" w14:textId="77777777" w:rsidR="00B50104" w:rsidRDefault="00B50104" w:rsidP="00B50104"/>
    <w:p w14:paraId="44933068" w14:textId="77777777" w:rsidR="00654CEF" w:rsidRDefault="00654CEF" w:rsidP="00654CEF">
      <w:pPr>
        <w:pStyle w:val="Didascalia"/>
        <w:keepNext/>
        <w:jc w:val="center"/>
        <w:rPr>
          <w:rFonts w:ascii="Times New Roman" w:hAnsi="Times New Roman" w:cs="Times New Roman"/>
          <w:b/>
          <w:i w:val="0"/>
          <w:color w:val="auto"/>
          <w:sz w:val="22"/>
          <w:szCs w:val="22"/>
        </w:rPr>
      </w:pPr>
      <w:bookmarkStart w:id="2" w:name="_Ref10730822"/>
      <w:r>
        <w:rPr>
          <w:rFonts w:ascii="Times New Roman" w:hAnsi="Times New Roman" w:cs="Times New Roman"/>
          <w:b/>
          <w:i w:val="0"/>
          <w:color w:val="auto"/>
          <w:sz w:val="22"/>
          <w:szCs w:val="22"/>
        </w:rPr>
        <w:t xml:space="preserve">Table </w:t>
      </w:r>
      <w:r>
        <w:fldChar w:fldCharType="begin"/>
      </w:r>
      <w:r>
        <w:rPr>
          <w:rFonts w:ascii="Times New Roman" w:hAnsi="Times New Roman" w:cs="Times New Roman"/>
          <w:b/>
          <w:i w:val="0"/>
          <w:color w:val="auto"/>
          <w:sz w:val="22"/>
          <w:szCs w:val="22"/>
        </w:rPr>
        <w:instrText xml:space="preserve"> SEQ Table \* ARABIC </w:instrText>
      </w:r>
      <w:r>
        <w:fldChar w:fldCharType="separate"/>
      </w:r>
      <w:r w:rsidR="00657860">
        <w:rPr>
          <w:rFonts w:ascii="Times New Roman" w:hAnsi="Times New Roman" w:cs="Times New Roman"/>
          <w:b/>
          <w:i w:val="0"/>
          <w:noProof/>
          <w:color w:val="auto"/>
          <w:sz w:val="22"/>
          <w:szCs w:val="22"/>
        </w:rPr>
        <w:t>2</w:t>
      </w:r>
      <w:r>
        <w:fldChar w:fldCharType="end"/>
      </w:r>
      <w:bookmarkEnd w:id="2"/>
      <w:r>
        <w:rPr>
          <w:rFonts w:ascii="Times New Roman" w:hAnsi="Times New Roman" w:cs="Times New Roman"/>
          <w:b/>
          <w:i w:val="0"/>
          <w:color w:val="auto"/>
          <w:sz w:val="22"/>
          <w:szCs w:val="22"/>
        </w:rPr>
        <w:t>. The ASN 2016 thresholds for the Associated Professor and Full Professor positions.</w:t>
      </w:r>
    </w:p>
    <w:tbl>
      <w:tblPr>
        <w:tblW w:w="8639" w:type="dxa"/>
        <w:jc w:val="center"/>
        <w:tblBorders>
          <w:insideH w:val="nil"/>
          <w:insideV w:val="nil"/>
        </w:tblBorders>
        <w:tblLayout w:type="fixed"/>
        <w:tblLook w:val="0600" w:firstRow="0" w:lastRow="0" w:firstColumn="0" w:lastColumn="0" w:noHBand="1" w:noVBand="1"/>
      </w:tblPr>
      <w:tblGrid>
        <w:gridCol w:w="2260"/>
        <w:gridCol w:w="2410"/>
        <w:gridCol w:w="2126"/>
        <w:gridCol w:w="1843"/>
      </w:tblGrid>
      <w:tr w:rsidR="00654CEF" w14:paraId="6D635202" w14:textId="77777777" w:rsidTr="005F6CA0">
        <w:trPr>
          <w:trHeight w:val="460"/>
          <w:jc w:val="center"/>
        </w:trPr>
        <w:tc>
          <w:tcPr>
            <w:tcW w:w="2260" w:type="dxa"/>
            <w:tcBorders>
              <w:top w:val="single" w:sz="4" w:space="0" w:color="auto"/>
              <w:left w:val="single" w:sz="6" w:space="0" w:color="CCCCCC"/>
              <w:bottom w:val="single" w:sz="4" w:space="0" w:color="auto"/>
              <w:right w:val="single" w:sz="4" w:space="0" w:color="auto"/>
            </w:tcBorders>
            <w:tcMar>
              <w:top w:w="0" w:type="dxa"/>
              <w:left w:w="40" w:type="dxa"/>
              <w:bottom w:w="0" w:type="dxa"/>
              <w:right w:w="40" w:type="dxa"/>
            </w:tcMar>
            <w:vAlign w:val="bottom"/>
            <w:hideMark/>
          </w:tcPr>
          <w:p w14:paraId="5DB4CF49" w14:textId="77777777" w:rsidR="00654CEF" w:rsidRPr="00654CEF" w:rsidRDefault="00654CEF">
            <w:pPr>
              <w:widowControl w:val="0"/>
              <w:rPr>
                <w:i/>
                <w:szCs w:val="24"/>
              </w:rPr>
            </w:pPr>
            <w:r w:rsidRPr="00654CEF">
              <w:rPr>
                <w:i/>
                <w:szCs w:val="24"/>
              </w:rPr>
              <w:t>Role</w:t>
            </w:r>
          </w:p>
        </w:tc>
        <w:tc>
          <w:tcPr>
            <w:tcW w:w="2410" w:type="dxa"/>
            <w:tcBorders>
              <w:top w:val="single" w:sz="4" w:space="0" w:color="auto"/>
              <w:left w:val="single" w:sz="4" w:space="0" w:color="auto"/>
              <w:bottom w:val="single" w:sz="4" w:space="0" w:color="auto"/>
              <w:right w:val="single" w:sz="6" w:space="0" w:color="CCCCCC"/>
            </w:tcBorders>
            <w:tcMar>
              <w:top w:w="0" w:type="dxa"/>
              <w:left w:w="40" w:type="dxa"/>
              <w:bottom w:w="0" w:type="dxa"/>
              <w:right w:w="40" w:type="dxa"/>
            </w:tcMar>
            <w:vAlign w:val="bottom"/>
            <w:hideMark/>
          </w:tcPr>
          <w:p w14:paraId="7C8104A0" w14:textId="77777777" w:rsidR="00654CEF" w:rsidRPr="00654CEF" w:rsidRDefault="00654CEF">
            <w:pPr>
              <w:widowControl w:val="0"/>
              <w:rPr>
                <w:i/>
                <w:szCs w:val="24"/>
              </w:rPr>
            </w:pPr>
            <w:r w:rsidRPr="00654CEF">
              <w:rPr>
                <w:i/>
                <w:szCs w:val="24"/>
              </w:rPr>
              <w:t>#journals articles (A)</w:t>
            </w:r>
          </w:p>
        </w:tc>
        <w:tc>
          <w:tcPr>
            <w:tcW w:w="2126" w:type="dxa"/>
            <w:tcBorders>
              <w:top w:val="single" w:sz="4" w:space="0" w:color="auto"/>
              <w:left w:val="single" w:sz="6" w:space="0" w:color="CCCCCC"/>
              <w:bottom w:val="single" w:sz="4" w:space="0" w:color="auto"/>
              <w:right w:val="single" w:sz="6" w:space="0" w:color="CCCCCC"/>
            </w:tcBorders>
            <w:tcMar>
              <w:top w:w="0" w:type="dxa"/>
              <w:left w:w="40" w:type="dxa"/>
              <w:bottom w:w="0" w:type="dxa"/>
              <w:right w:w="40" w:type="dxa"/>
            </w:tcMar>
            <w:vAlign w:val="bottom"/>
            <w:hideMark/>
          </w:tcPr>
          <w:p w14:paraId="7C9B578C" w14:textId="77777777" w:rsidR="00654CEF" w:rsidRPr="00654CEF" w:rsidRDefault="00654CEF">
            <w:pPr>
              <w:widowControl w:val="0"/>
              <w:rPr>
                <w:i/>
                <w:szCs w:val="24"/>
              </w:rPr>
            </w:pPr>
            <w:r w:rsidRPr="00654CEF">
              <w:rPr>
                <w:i/>
                <w:szCs w:val="24"/>
              </w:rPr>
              <w:t xml:space="preserve"> #citations (B)</w:t>
            </w:r>
          </w:p>
        </w:tc>
        <w:tc>
          <w:tcPr>
            <w:tcW w:w="1843" w:type="dxa"/>
            <w:tcBorders>
              <w:top w:val="single" w:sz="4" w:space="0" w:color="auto"/>
              <w:left w:val="single" w:sz="6" w:space="0" w:color="CCCCCC"/>
              <w:bottom w:val="single" w:sz="4" w:space="0" w:color="auto"/>
              <w:right w:val="single" w:sz="6" w:space="0" w:color="CCCCCC"/>
            </w:tcBorders>
            <w:tcMar>
              <w:top w:w="0" w:type="dxa"/>
              <w:left w:w="40" w:type="dxa"/>
              <w:bottom w:w="0" w:type="dxa"/>
              <w:right w:w="40" w:type="dxa"/>
            </w:tcMar>
            <w:vAlign w:val="bottom"/>
            <w:hideMark/>
          </w:tcPr>
          <w:p w14:paraId="6E7A8593" w14:textId="77777777" w:rsidR="00654CEF" w:rsidRPr="00654CEF" w:rsidRDefault="00654CEF">
            <w:pPr>
              <w:widowControl w:val="0"/>
              <w:rPr>
                <w:i/>
                <w:szCs w:val="24"/>
              </w:rPr>
            </w:pPr>
            <w:r w:rsidRPr="00654CEF">
              <w:rPr>
                <w:i/>
                <w:szCs w:val="24"/>
              </w:rPr>
              <w:t>H-index (C)</w:t>
            </w:r>
          </w:p>
        </w:tc>
      </w:tr>
      <w:tr w:rsidR="00654CEF" w14:paraId="5286F84E" w14:textId="77777777" w:rsidTr="00654CEF">
        <w:trPr>
          <w:trHeight w:val="240"/>
          <w:jc w:val="center"/>
        </w:trPr>
        <w:tc>
          <w:tcPr>
            <w:tcW w:w="2260" w:type="dxa"/>
            <w:tcBorders>
              <w:top w:val="single" w:sz="4" w:space="0" w:color="auto"/>
              <w:left w:val="single" w:sz="6" w:space="0" w:color="CCCCCC"/>
              <w:bottom w:val="single" w:sz="6" w:space="0" w:color="CCCCCC"/>
              <w:right w:val="single" w:sz="4" w:space="0" w:color="auto"/>
            </w:tcBorders>
            <w:tcMar>
              <w:top w:w="0" w:type="dxa"/>
              <w:left w:w="40" w:type="dxa"/>
              <w:bottom w:w="0" w:type="dxa"/>
              <w:right w:w="40" w:type="dxa"/>
            </w:tcMar>
            <w:vAlign w:val="bottom"/>
            <w:hideMark/>
          </w:tcPr>
          <w:p w14:paraId="164E0F70" w14:textId="77777777" w:rsidR="00654CEF" w:rsidRPr="00654CEF" w:rsidRDefault="00654CEF">
            <w:pPr>
              <w:widowControl w:val="0"/>
              <w:rPr>
                <w:szCs w:val="24"/>
              </w:rPr>
            </w:pPr>
            <w:r w:rsidRPr="00654CEF">
              <w:rPr>
                <w:szCs w:val="24"/>
              </w:rPr>
              <w:t>Associate Professor</w:t>
            </w:r>
          </w:p>
        </w:tc>
        <w:tc>
          <w:tcPr>
            <w:tcW w:w="2410" w:type="dxa"/>
            <w:tcBorders>
              <w:top w:val="single" w:sz="4" w:space="0" w:color="auto"/>
              <w:left w:val="single" w:sz="4" w:space="0" w:color="auto"/>
              <w:bottom w:val="single" w:sz="6" w:space="0" w:color="CCCCCC"/>
              <w:right w:val="single" w:sz="6" w:space="0" w:color="CCCCCC"/>
            </w:tcBorders>
            <w:tcMar>
              <w:top w:w="0" w:type="dxa"/>
              <w:left w:w="40" w:type="dxa"/>
              <w:bottom w:w="0" w:type="dxa"/>
              <w:right w:w="40" w:type="dxa"/>
            </w:tcMar>
            <w:vAlign w:val="bottom"/>
            <w:hideMark/>
          </w:tcPr>
          <w:p w14:paraId="4BB30724" w14:textId="7C2AD189" w:rsidR="00654CEF" w:rsidRPr="00654CEF" w:rsidRDefault="0067341C">
            <w:pPr>
              <w:widowControl w:val="0"/>
              <w:jc w:val="right"/>
              <w:rPr>
                <w:szCs w:val="24"/>
              </w:rPr>
            </w:pPr>
            <w:r>
              <w:rPr>
                <w:szCs w:val="24"/>
              </w:rPr>
              <w:t>5</w:t>
            </w:r>
          </w:p>
        </w:tc>
        <w:tc>
          <w:tcPr>
            <w:tcW w:w="2126" w:type="dxa"/>
            <w:tcBorders>
              <w:top w:val="single" w:sz="4" w:space="0" w:color="auto"/>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E25C68C" w14:textId="6F2F0EC2" w:rsidR="00654CEF" w:rsidRPr="00654CEF" w:rsidRDefault="0067341C">
            <w:pPr>
              <w:widowControl w:val="0"/>
              <w:jc w:val="right"/>
              <w:rPr>
                <w:szCs w:val="24"/>
              </w:rPr>
            </w:pPr>
            <w:r>
              <w:rPr>
                <w:szCs w:val="24"/>
              </w:rPr>
              <w:t>118</w:t>
            </w:r>
          </w:p>
        </w:tc>
        <w:tc>
          <w:tcPr>
            <w:tcW w:w="1843" w:type="dxa"/>
            <w:tcBorders>
              <w:top w:val="single" w:sz="4" w:space="0" w:color="auto"/>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A3EB3DC" w14:textId="1F08FE44" w:rsidR="00654CEF" w:rsidRPr="00654CEF" w:rsidRDefault="0067341C">
            <w:pPr>
              <w:widowControl w:val="0"/>
              <w:jc w:val="right"/>
              <w:rPr>
                <w:szCs w:val="24"/>
              </w:rPr>
            </w:pPr>
            <w:r>
              <w:rPr>
                <w:szCs w:val="24"/>
              </w:rPr>
              <w:t>6</w:t>
            </w:r>
          </w:p>
        </w:tc>
      </w:tr>
      <w:tr w:rsidR="00654CEF" w14:paraId="3317DD25" w14:textId="77777777" w:rsidTr="005F6CA0">
        <w:trPr>
          <w:trHeight w:val="240"/>
          <w:jc w:val="center"/>
        </w:trPr>
        <w:tc>
          <w:tcPr>
            <w:tcW w:w="2260" w:type="dxa"/>
            <w:tcBorders>
              <w:top w:val="single" w:sz="6" w:space="0" w:color="CCCCCC"/>
              <w:left w:val="single" w:sz="6" w:space="0" w:color="CCCCCC"/>
              <w:bottom w:val="single" w:sz="4" w:space="0" w:color="auto"/>
              <w:right w:val="single" w:sz="4" w:space="0" w:color="auto"/>
            </w:tcBorders>
            <w:tcMar>
              <w:top w:w="0" w:type="dxa"/>
              <w:left w:w="40" w:type="dxa"/>
              <w:bottom w:w="0" w:type="dxa"/>
              <w:right w:w="40" w:type="dxa"/>
            </w:tcMar>
            <w:vAlign w:val="bottom"/>
            <w:hideMark/>
          </w:tcPr>
          <w:p w14:paraId="1EF0AC11" w14:textId="77777777" w:rsidR="00654CEF" w:rsidRPr="00654CEF" w:rsidRDefault="00654CEF">
            <w:pPr>
              <w:widowControl w:val="0"/>
              <w:rPr>
                <w:szCs w:val="24"/>
              </w:rPr>
            </w:pPr>
            <w:r w:rsidRPr="00654CEF">
              <w:rPr>
                <w:szCs w:val="24"/>
              </w:rPr>
              <w:t>Full Professor</w:t>
            </w:r>
          </w:p>
        </w:tc>
        <w:tc>
          <w:tcPr>
            <w:tcW w:w="2410" w:type="dxa"/>
            <w:tcBorders>
              <w:top w:val="single" w:sz="6" w:space="0" w:color="CCCCCC"/>
              <w:left w:val="single" w:sz="4" w:space="0" w:color="auto"/>
              <w:bottom w:val="single" w:sz="4" w:space="0" w:color="auto"/>
              <w:right w:val="single" w:sz="6" w:space="0" w:color="CCCCCC"/>
            </w:tcBorders>
            <w:tcMar>
              <w:top w:w="0" w:type="dxa"/>
              <w:left w:w="40" w:type="dxa"/>
              <w:bottom w:w="0" w:type="dxa"/>
              <w:right w:w="40" w:type="dxa"/>
            </w:tcMar>
            <w:vAlign w:val="bottom"/>
            <w:hideMark/>
          </w:tcPr>
          <w:p w14:paraId="1205D8F4" w14:textId="7EAE1515" w:rsidR="00654CEF" w:rsidRPr="00654CEF" w:rsidRDefault="0067341C" w:rsidP="0067341C">
            <w:pPr>
              <w:widowControl w:val="0"/>
              <w:jc w:val="right"/>
              <w:rPr>
                <w:szCs w:val="24"/>
              </w:rPr>
            </w:pPr>
            <w:r>
              <w:rPr>
                <w:szCs w:val="24"/>
              </w:rPr>
              <w:t>8</w:t>
            </w:r>
          </w:p>
        </w:tc>
        <w:tc>
          <w:tcPr>
            <w:tcW w:w="2126" w:type="dxa"/>
            <w:tcBorders>
              <w:top w:val="single" w:sz="6" w:space="0" w:color="CCCCCC"/>
              <w:left w:val="single" w:sz="6" w:space="0" w:color="CCCCCC"/>
              <w:bottom w:val="single" w:sz="4" w:space="0" w:color="auto"/>
              <w:right w:val="single" w:sz="6" w:space="0" w:color="CCCCCC"/>
            </w:tcBorders>
            <w:tcMar>
              <w:top w:w="0" w:type="dxa"/>
              <w:left w:w="40" w:type="dxa"/>
              <w:bottom w:w="0" w:type="dxa"/>
              <w:right w:w="40" w:type="dxa"/>
            </w:tcMar>
            <w:vAlign w:val="bottom"/>
            <w:hideMark/>
          </w:tcPr>
          <w:p w14:paraId="0560B4C7" w14:textId="1A14496B" w:rsidR="00654CEF" w:rsidRPr="00654CEF" w:rsidRDefault="0067341C">
            <w:pPr>
              <w:widowControl w:val="0"/>
              <w:jc w:val="right"/>
              <w:rPr>
                <w:szCs w:val="24"/>
              </w:rPr>
            </w:pPr>
            <w:r w:rsidRPr="00654CEF">
              <w:rPr>
                <w:szCs w:val="24"/>
              </w:rPr>
              <w:t>216</w:t>
            </w:r>
          </w:p>
        </w:tc>
        <w:tc>
          <w:tcPr>
            <w:tcW w:w="1843" w:type="dxa"/>
            <w:tcBorders>
              <w:top w:val="single" w:sz="6" w:space="0" w:color="CCCCCC"/>
              <w:left w:val="single" w:sz="6" w:space="0" w:color="CCCCCC"/>
              <w:bottom w:val="single" w:sz="4" w:space="0" w:color="auto"/>
              <w:right w:val="single" w:sz="6" w:space="0" w:color="CCCCCC"/>
            </w:tcBorders>
            <w:tcMar>
              <w:top w:w="0" w:type="dxa"/>
              <w:left w:w="40" w:type="dxa"/>
              <w:bottom w:w="0" w:type="dxa"/>
              <w:right w:w="40" w:type="dxa"/>
            </w:tcMar>
            <w:vAlign w:val="bottom"/>
            <w:hideMark/>
          </w:tcPr>
          <w:p w14:paraId="6A03E93E" w14:textId="2707B9AE" w:rsidR="00654CEF" w:rsidRPr="00654CEF" w:rsidRDefault="0067341C">
            <w:pPr>
              <w:widowControl w:val="0"/>
              <w:jc w:val="right"/>
              <w:rPr>
                <w:szCs w:val="24"/>
              </w:rPr>
            </w:pPr>
            <w:r>
              <w:rPr>
                <w:szCs w:val="24"/>
              </w:rPr>
              <w:t>8</w:t>
            </w:r>
          </w:p>
        </w:tc>
      </w:tr>
    </w:tbl>
    <w:p w14:paraId="5E401E10" w14:textId="77777777" w:rsidR="00654CEF" w:rsidRDefault="00654CEF" w:rsidP="00B50104"/>
    <w:p w14:paraId="26A9C618" w14:textId="77777777" w:rsidR="00B50104" w:rsidRDefault="00B50104" w:rsidP="00B50104">
      <w:r>
        <w:t xml:space="preserve">Then, for each indicator we calculated the percentage of candidates who were able to exceed the thresholds in both our test and the official ASN. We also measured the amount of candidates who exceeded two thresholds over three - and thus were able to continue the process to get the qualification - in both cases. Note that we do not compare the values of the indicators directly, as we expected them to be different, rather their contribution to the </w:t>
      </w:r>
      <w:proofErr w:type="spellStart"/>
      <w:r>
        <w:t>habilitation</w:t>
      </w:r>
      <w:proofErr w:type="spellEnd"/>
      <w:r>
        <w:t xml:space="preserve">. </w:t>
      </w:r>
    </w:p>
    <w:p w14:paraId="5A215AC9" w14:textId="77777777" w:rsidR="00B50104" w:rsidRDefault="00B50104" w:rsidP="00B50104"/>
    <w:p w14:paraId="7DBA0D1E" w14:textId="40157759" w:rsidR="00654CEF" w:rsidRPr="00654CEF" w:rsidRDefault="00654CEF" w:rsidP="00654CEF">
      <w:pPr>
        <w:pStyle w:val="Didascalia"/>
        <w:keepNext/>
        <w:jc w:val="center"/>
        <w:rPr>
          <w:rFonts w:ascii="Times New Roman" w:hAnsi="Times New Roman" w:cs="Times New Roman"/>
          <w:b/>
          <w:i w:val="0"/>
          <w:color w:val="auto"/>
          <w:sz w:val="22"/>
          <w:szCs w:val="22"/>
        </w:rPr>
      </w:pPr>
      <w:bookmarkStart w:id="3" w:name="_Ref10731770"/>
      <w:r w:rsidRPr="00654CEF">
        <w:rPr>
          <w:rFonts w:ascii="Times New Roman" w:hAnsi="Times New Roman" w:cs="Times New Roman"/>
          <w:b/>
          <w:i w:val="0"/>
          <w:color w:val="auto"/>
          <w:sz w:val="22"/>
          <w:szCs w:val="22"/>
        </w:rPr>
        <w:t xml:space="preserve">Table </w:t>
      </w:r>
      <w:r w:rsidRPr="00654CEF">
        <w:rPr>
          <w:rFonts w:ascii="Times New Roman" w:hAnsi="Times New Roman" w:cs="Times New Roman"/>
          <w:b/>
          <w:i w:val="0"/>
          <w:color w:val="auto"/>
          <w:sz w:val="22"/>
          <w:szCs w:val="22"/>
        </w:rPr>
        <w:fldChar w:fldCharType="begin"/>
      </w:r>
      <w:r w:rsidRPr="00654CEF">
        <w:rPr>
          <w:rFonts w:ascii="Times New Roman" w:hAnsi="Times New Roman" w:cs="Times New Roman"/>
          <w:b/>
          <w:i w:val="0"/>
          <w:color w:val="auto"/>
          <w:sz w:val="22"/>
          <w:szCs w:val="22"/>
        </w:rPr>
        <w:instrText xml:space="preserve"> SEQ Table \* ARABIC </w:instrText>
      </w:r>
      <w:r w:rsidRPr="00654CEF">
        <w:rPr>
          <w:rFonts w:ascii="Times New Roman" w:hAnsi="Times New Roman" w:cs="Times New Roman"/>
          <w:b/>
          <w:i w:val="0"/>
          <w:color w:val="auto"/>
          <w:sz w:val="22"/>
          <w:szCs w:val="22"/>
        </w:rPr>
        <w:fldChar w:fldCharType="separate"/>
      </w:r>
      <w:r w:rsidR="00657860">
        <w:rPr>
          <w:rFonts w:ascii="Times New Roman" w:hAnsi="Times New Roman" w:cs="Times New Roman"/>
          <w:b/>
          <w:i w:val="0"/>
          <w:noProof/>
          <w:color w:val="auto"/>
          <w:sz w:val="22"/>
          <w:szCs w:val="22"/>
        </w:rPr>
        <w:t>3</w:t>
      </w:r>
      <w:r w:rsidRPr="00654CEF">
        <w:rPr>
          <w:rFonts w:ascii="Times New Roman" w:hAnsi="Times New Roman" w:cs="Times New Roman"/>
          <w:b/>
          <w:i w:val="0"/>
          <w:color w:val="auto"/>
          <w:sz w:val="22"/>
          <w:szCs w:val="22"/>
        </w:rPr>
        <w:fldChar w:fldCharType="end"/>
      </w:r>
      <w:bookmarkEnd w:id="3"/>
      <w:r w:rsidRPr="00654CEF">
        <w:rPr>
          <w:rFonts w:ascii="Times New Roman" w:hAnsi="Times New Roman" w:cs="Times New Roman"/>
          <w:b/>
          <w:i w:val="0"/>
          <w:color w:val="auto"/>
          <w:sz w:val="22"/>
          <w:szCs w:val="22"/>
        </w:rPr>
        <w:t>. Two (real) candidates of the ASN accompanied by their values for the three indicators used in the ASN, i.e. number of journal articles, number of citations, and h-index. The number shown refers to those ones retrieved by means of open data and the real</w:t>
      </w:r>
    </w:p>
    <w:tbl>
      <w:tblPr>
        <w:tblW w:w="5000" w:type="pct"/>
        <w:tblBorders>
          <w:insideH w:val="nil"/>
          <w:insideV w:val="nil"/>
        </w:tblBorders>
        <w:tblLook w:val="0600" w:firstRow="0" w:lastRow="0" w:firstColumn="0" w:lastColumn="0" w:noHBand="1" w:noVBand="1"/>
      </w:tblPr>
      <w:tblGrid>
        <w:gridCol w:w="374"/>
        <w:gridCol w:w="1431"/>
        <w:gridCol w:w="1565"/>
        <w:gridCol w:w="1385"/>
        <w:gridCol w:w="1521"/>
        <w:gridCol w:w="1385"/>
        <w:gridCol w:w="1490"/>
      </w:tblGrid>
      <w:tr w:rsidR="00B50104" w14:paraId="7A9B3DBE" w14:textId="77777777" w:rsidTr="00654CEF">
        <w:trPr>
          <w:trHeight w:val="460"/>
        </w:trPr>
        <w:tc>
          <w:tcPr>
            <w:tcW w:w="204" w:type="pct"/>
            <w:tcBorders>
              <w:top w:val="single" w:sz="4" w:space="0" w:color="auto"/>
              <w:left w:val="single" w:sz="6" w:space="0" w:color="CCCCCC"/>
              <w:bottom w:val="single" w:sz="4" w:space="0" w:color="auto"/>
              <w:right w:val="single" w:sz="4" w:space="0" w:color="auto"/>
            </w:tcBorders>
            <w:tcMar>
              <w:top w:w="0" w:type="dxa"/>
              <w:left w:w="40" w:type="dxa"/>
              <w:bottom w:w="0" w:type="dxa"/>
              <w:right w:w="40" w:type="dxa"/>
            </w:tcMar>
            <w:vAlign w:val="bottom"/>
          </w:tcPr>
          <w:p w14:paraId="68D61691" w14:textId="77777777" w:rsidR="00B50104" w:rsidRPr="00654CEF" w:rsidRDefault="00B50104">
            <w:pPr>
              <w:widowControl w:val="0"/>
              <w:rPr>
                <w:i/>
                <w:szCs w:val="24"/>
              </w:rPr>
            </w:pPr>
          </w:p>
        </w:tc>
        <w:tc>
          <w:tcPr>
            <w:tcW w:w="2394" w:type="pct"/>
            <w:gridSpan w:val="3"/>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hideMark/>
          </w:tcPr>
          <w:p w14:paraId="782CB6C7" w14:textId="77777777" w:rsidR="00B50104" w:rsidRPr="00654CEF" w:rsidRDefault="00B50104">
            <w:pPr>
              <w:widowControl w:val="0"/>
              <w:jc w:val="center"/>
              <w:rPr>
                <w:i/>
                <w:szCs w:val="24"/>
              </w:rPr>
            </w:pPr>
            <w:r w:rsidRPr="00654CEF">
              <w:rPr>
                <w:i/>
                <w:szCs w:val="24"/>
              </w:rPr>
              <w:t>Open data</w:t>
            </w:r>
          </w:p>
        </w:tc>
        <w:tc>
          <w:tcPr>
            <w:tcW w:w="2402" w:type="pct"/>
            <w:gridSpan w:val="3"/>
            <w:tcBorders>
              <w:top w:val="single" w:sz="4" w:space="0" w:color="auto"/>
              <w:left w:val="single" w:sz="4" w:space="0" w:color="auto"/>
              <w:bottom w:val="single" w:sz="4" w:space="0" w:color="auto"/>
              <w:right w:val="single" w:sz="6" w:space="0" w:color="CCCCCC"/>
            </w:tcBorders>
            <w:tcMar>
              <w:top w:w="0" w:type="dxa"/>
              <w:left w:w="40" w:type="dxa"/>
              <w:bottom w:w="0" w:type="dxa"/>
              <w:right w:w="40" w:type="dxa"/>
            </w:tcMar>
            <w:vAlign w:val="bottom"/>
            <w:hideMark/>
          </w:tcPr>
          <w:p w14:paraId="666CE507" w14:textId="77777777" w:rsidR="00B50104" w:rsidRPr="00654CEF" w:rsidRDefault="00B50104">
            <w:pPr>
              <w:widowControl w:val="0"/>
              <w:jc w:val="center"/>
              <w:rPr>
                <w:i/>
                <w:szCs w:val="24"/>
              </w:rPr>
            </w:pPr>
            <w:r w:rsidRPr="00654CEF">
              <w:rPr>
                <w:i/>
                <w:szCs w:val="24"/>
              </w:rPr>
              <w:t>Official ASN data</w:t>
            </w:r>
          </w:p>
        </w:tc>
      </w:tr>
      <w:tr w:rsidR="00B50104" w14:paraId="08DA701B" w14:textId="77777777" w:rsidTr="00654CEF">
        <w:trPr>
          <w:trHeight w:val="460"/>
        </w:trPr>
        <w:tc>
          <w:tcPr>
            <w:tcW w:w="204" w:type="pct"/>
            <w:tcBorders>
              <w:top w:val="single" w:sz="4" w:space="0" w:color="auto"/>
              <w:left w:val="single" w:sz="6" w:space="0" w:color="CCCCCC"/>
              <w:bottom w:val="single" w:sz="4" w:space="0" w:color="auto"/>
              <w:right w:val="single" w:sz="4" w:space="0" w:color="auto"/>
            </w:tcBorders>
            <w:tcMar>
              <w:top w:w="0" w:type="dxa"/>
              <w:left w:w="40" w:type="dxa"/>
              <w:bottom w:w="0" w:type="dxa"/>
              <w:right w:w="40" w:type="dxa"/>
            </w:tcMar>
            <w:vAlign w:val="bottom"/>
            <w:hideMark/>
          </w:tcPr>
          <w:p w14:paraId="309C9A0F" w14:textId="77777777" w:rsidR="00B50104" w:rsidRPr="00654CEF" w:rsidRDefault="00B50104">
            <w:pPr>
              <w:widowControl w:val="0"/>
              <w:rPr>
                <w:i/>
                <w:szCs w:val="24"/>
              </w:rPr>
            </w:pPr>
            <w:r w:rsidRPr="00654CEF">
              <w:rPr>
                <w:i/>
                <w:szCs w:val="24"/>
              </w:rPr>
              <w:t>id</w:t>
            </w:r>
          </w:p>
        </w:tc>
        <w:tc>
          <w:tcPr>
            <w:tcW w:w="782" w:type="pct"/>
            <w:tcBorders>
              <w:top w:val="single" w:sz="4" w:space="0" w:color="auto"/>
              <w:left w:val="single" w:sz="4" w:space="0" w:color="auto"/>
              <w:bottom w:val="single" w:sz="4" w:space="0" w:color="auto"/>
              <w:right w:val="single" w:sz="6" w:space="0" w:color="CCCCCC"/>
            </w:tcBorders>
            <w:tcMar>
              <w:top w:w="0" w:type="dxa"/>
              <w:left w:w="40" w:type="dxa"/>
              <w:bottom w:w="0" w:type="dxa"/>
              <w:right w:w="40" w:type="dxa"/>
            </w:tcMar>
            <w:vAlign w:val="bottom"/>
            <w:hideMark/>
          </w:tcPr>
          <w:p w14:paraId="02CF0AFE" w14:textId="77777777" w:rsidR="00B50104" w:rsidRPr="00654CEF" w:rsidRDefault="00B50104">
            <w:pPr>
              <w:widowControl w:val="0"/>
              <w:rPr>
                <w:i/>
                <w:szCs w:val="24"/>
              </w:rPr>
            </w:pPr>
            <w:r w:rsidRPr="00654CEF">
              <w:rPr>
                <w:i/>
                <w:szCs w:val="24"/>
              </w:rPr>
              <w:t>#journal articles (A)</w:t>
            </w:r>
          </w:p>
        </w:tc>
        <w:tc>
          <w:tcPr>
            <w:tcW w:w="855" w:type="pct"/>
            <w:tcBorders>
              <w:top w:val="single" w:sz="4" w:space="0" w:color="auto"/>
              <w:left w:val="single" w:sz="6" w:space="0" w:color="CCCCCC"/>
              <w:bottom w:val="single" w:sz="4" w:space="0" w:color="auto"/>
              <w:right w:val="single" w:sz="6" w:space="0" w:color="CCCCCC"/>
            </w:tcBorders>
            <w:tcMar>
              <w:top w:w="0" w:type="dxa"/>
              <w:left w:w="40" w:type="dxa"/>
              <w:bottom w:w="0" w:type="dxa"/>
              <w:right w:w="40" w:type="dxa"/>
            </w:tcMar>
            <w:vAlign w:val="bottom"/>
            <w:hideMark/>
          </w:tcPr>
          <w:p w14:paraId="5BE56812" w14:textId="77777777" w:rsidR="00B50104" w:rsidRPr="00654CEF" w:rsidRDefault="00B50104">
            <w:pPr>
              <w:widowControl w:val="0"/>
              <w:rPr>
                <w:i/>
                <w:szCs w:val="24"/>
              </w:rPr>
            </w:pPr>
            <w:r w:rsidRPr="00654CEF">
              <w:rPr>
                <w:i/>
                <w:szCs w:val="24"/>
              </w:rPr>
              <w:t xml:space="preserve"> #citations (B)</w:t>
            </w:r>
          </w:p>
        </w:tc>
        <w:tc>
          <w:tcPr>
            <w:tcW w:w="757" w:type="pct"/>
            <w:tcBorders>
              <w:top w:val="single" w:sz="4" w:space="0" w:color="auto"/>
              <w:left w:val="single" w:sz="6" w:space="0" w:color="CCCCCC"/>
              <w:bottom w:val="single" w:sz="4" w:space="0" w:color="auto"/>
              <w:right w:val="single" w:sz="4" w:space="0" w:color="auto"/>
            </w:tcBorders>
            <w:tcMar>
              <w:top w:w="0" w:type="dxa"/>
              <w:left w:w="40" w:type="dxa"/>
              <w:bottom w:w="0" w:type="dxa"/>
              <w:right w:w="40" w:type="dxa"/>
            </w:tcMar>
            <w:vAlign w:val="bottom"/>
            <w:hideMark/>
          </w:tcPr>
          <w:p w14:paraId="0AD6646B" w14:textId="77777777" w:rsidR="00B50104" w:rsidRPr="00654CEF" w:rsidRDefault="00B50104">
            <w:pPr>
              <w:widowControl w:val="0"/>
              <w:rPr>
                <w:i/>
                <w:szCs w:val="24"/>
              </w:rPr>
            </w:pPr>
            <w:r w:rsidRPr="00654CEF">
              <w:rPr>
                <w:i/>
                <w:szCs w:val="24"/>
              </w:rPr>
              <w:t>H-index (C)</w:t>
            </w:r>
          </w:p>
        </w:tc>
        <w:tc>
          <w:tcPr>
            <w:tcW w:w="831" w:type="pct"/>
            <w:tcBorders>
              <w:top w:val="single" w:sz="4" w:space="0" w:color="auto"/>
              <w:left w:val="single" w:sz="4" w:space="0" w:color="auto"/>
              <w:bottom w:val="single" w:sz="4" w:space="0" w:color="auto"/>
              <w:right w:val="single" w:sz="6" w:space="0" w:color="CCCCCC"/>
            </w:tcBorders>
            <w:tcMar>
              <w:top w:w="0" w:type="dxa"/>
              <w:left w:w="40" w:type="dxa"/>
              <w:bottom w:w="0" w:type="dxa"/>
              <w:right w:w="40" w:type="dxa"/>
            </w:tcMar>
            <w:vAlign w:val="bottom"/>
            <w:hideMark/>
          </w:tcPr>
          <w:p w14:paraId="5DD71A3C" w14:textId="77777777" w:rsidR="00B50104" w:rsidRPr="00654CEF" w:rsidRDefault="00B50104">
            <w:pPr>
              <w:widowControl w:val="0"/>
              <w:rPr>
                <w:i/>
                <w:szCs w:val="24"/>
              </w:rPr>
            </w:pPr>
            <w:r w:rsidRPr="00654CEF">
              <w:rPr>
                <w:i/>
                <w:szCs w:val="24"/>
              </w:rPr>
              <w:t>#journals articles (A)</w:t>
            </w:r>
          </w:p>
        </w:tc>
        <w:tc>
          <w:tcPr>
            <w:tcW w:w="757" w:type="pct"/>
            <w:tcBorders>
              <w:top w:val="single" w:sz="4" w:space="0" w:color="auto"/>
              <w:left w:val="single" w:sz="6" w:space="0" w:color="CCCCCC"/>
              <w:bottom w:val="single" w:sz="4" w:space="0" w:color="auto"/>
              <w:right w:val="single" w:sz="6" w:space="0" w:color="CCCCCC"/>
            </w:tcBorders>
            <w:tcMar>
              <w:top w:w="0" w:type="dxa"/>
              <w:left w:w="40" w:type="dxa"/>
              <w:bottom w:w="0" w:type="dxa"/>
              <w:right w:w="40" w:type="dxa"/>
            </w:tcMar>
            <w:vAlign w:val="bottom"/>
            <w:hideMark/>
          </w:tcPr>
          <w:p w14:paraId="201666EF" w14:textId="77777777" w:rsidR="00B50104" w:rsidRPr="00654CEF" w:rsidRDefault="00B50104">
            <w:pPr>
              <w:widowControl w:val="0"/>
              <w:rPr>
                <w:i/>
                <w:szCs w:val="24"/>
              </w:rPr>
            </w:pPr>
            <w:r w:rsidRPr="00654CEF">
              <w:rPr>
                <w:i/>
                <w:szCs w:val="24"/>
              </w:rPr>
              <w:t>#citations (B)</w:t>
            </w:r>
          </w:p>
        </w:tc>
        <w:tc>
          <w:tcPr>
            <w:tcW w:w="814" w:type="pct"/>
            <w:tcBorders>
              <w:top w:val="single" w:sz="4" w:space="0" w:color="auto"/>
              <w:left w:val="single" w:sz="6" w:space="0" w:color="CCCCCC"/>
              <w:bottom w:val="single" w:sz="4" w:space="0" w:color="auto"/>
              <w:right w:val="single" w:sz="6" w:space="0" w:color="CCCCCC"/>
            </w:tcBorders>
            <w:tcMar>
              <w:top w:w="0" w:type="dxa"/>
              <w:left w:w="40" w:type="dxa"/>
              <w:bottom w:w="0" w:type="dxa"/>
              <w:right w:w="40" w:type="dxa"/>
            </w:tcMar>
            <w:vAlign w:val="bottom"/>
            <w:hideMark/>
          </w:tcPr>
          <w:p w14:paraId="1677B153" w14:textId="77777777" w:rsidR="00B50104" w:rsidRPr="00654CEF" w:rsidRDefault="00B50104">
            <w:pPr>
              <w:widowControl w:val="0"/>
              <w:rPr>
                <w:i/>
                <w:szCs w:val="24"/>
              </w:rPr>
            </w:pPr>
            <w:r w:rsidRPr="00654CEF">
              <w:rPr>
                <w:i/>
                <w:szCs w:val="24"/>
              </w:rPr>
              <w:t>H-index (C)</w:t>
            </w:r>
          </w:p>
        </w:tc>
      </w:tr>
      <w:tr w:rsidR="00B50104" w14:paraId="4AE7E8E9" w14:textId="77777777" w:rsidTr="005F6CA0">
        <w:trPr>
          <w:trHeight w:val="240"/>
        </w:trPr>
        <w:tc>
          <w:tcPr>
            <w:tcW w:w="204" w:type="pct"/>
            <w:tcBorders>
              <w:top w:val="single" w:sz="4" w:space="0" w:color="auto"/>
              <w:left w:val="single" w:sz="6" w:space="0" w:color="CCCCCC"/>
              <w:bottom w:val="single" w:sz="6" w:space="0" w:color="CCCCCC"/>
              <w:right w:val="single" w:sz="4" w:space="0" w:color="auto"/>
            </w:tcBorders>
            <w:tcMar>
              <w:top w:w="0" w:type="dxa"/>
              <w:left w:w="40" w:type="dxa"/>
              <w:bottom w:w="0" w:type="dxa"/>
              <w:right w:w="40" w:type="dxa"/>
            </w:tcMar>
            <w:vAlign w:val="bottom"/>
            <w:hideMark/>
          </w:tcPr>
          <w:p w14:paraId="3F0B8311" w14:textId="77777777" w:rsidR="00B50104" w:rsidRPr="00654CEF" w:rsidRDefault="00B50104">
            <w:pPr>
              <w:widowControl w:val="0"/>
              <w:rPr>
                <w:szCs w:val="24"/>
              </w:rPr>
            </w:pPr>
            <w:r w:rsidRPr="00654CEF">
              <w:rPr>
                <w:szCs w:val="24"/>
              </w:rPr>
              <w:t>1</w:t>
            </w:r>
          </w:p>
        </w:tc>
        <w:tc>
          <w:tcPr>
            <w:tcW w:w="782" w:type="pct"/>
            <w:tcBorders>
              <w:top w:val="single" w:sz="4" w:space="0" w:color="auto"/>
              <w:left w:val="single" w:sz="4" w:space="0" w:color="auto"/>
              <w:bottom w:val="single" w:sz="6" w:space="0" w:color="CCCCCC"/>
              <w:right w:val="single" w:sz="6" w:space="0" w:color="CCCCCC"/>
            </w:tcBorders>
            <w:tcMar>
              <w:top w:w="0" w:type="dxa"/>
              <w:left w:w="40" w:type="dxa"/>
              <w:bottom w:w="0" w:type="dxa"/>
              <w:right w:w="40" w:type="dxa"/>
            </w:tcMar>
            <w:vAlign w:val="bottom"/>
            <w:hideMark/>
          </w:tcPr>
          <w:p w14:paraId="37AFF30D" w14:textId="77777777" w:rsidR="00B50104" w:rsidRPr="00654CEF" w:rsidRDefault="00B50104">
            <w:pPr>
              <w:widowControl w:val="0"/>
              <w:jc w:val="right"/>
              <w:rPr>
                <w:szCs w:val="24"/>
              </w:rPr>
            </w:pPr>
            <w:r w:rsidRPr="00654CEF">
              <w:rPr>
                <w:szCs w:val="24"/>
              </w:rPr>
              <w:t>15</w:t>
            </w:r>
          </w:p>
        </w:tc>
        <w:tc>
          <w:tcPr>
            <w:tcW w:w="855" w:type="pct"/>
            <w:tcBorders>
              <w:top w:val="single" w:sz="4" w:space="0" w:color="auto"/>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40C0553" w14:textId="77777777" w:rsidR="00B50104" w:rsidRPr="00654CEF" w:rsidRDefault="00B50104">
            <w:pPr>
              <w:widowControl w:val="0"/>
              <w:jc w:val="right"/>
              <w:rPr>
                <w:szCs w:val="24"/>
              </w:rPr>
            </w:pPr>
            <w:r w:rsidRPr="00654CEF">
              <w:rPr>
                <w:szCs w:val="24"/>
              </w:rPr>
              <w:t>417</w:t>
            </w:r>
          </w:p>
        </w:tc>
        <w:tc>
          <w:tcPr>
            <w:tcW w:w="757" w:type="pct"/>
            <w:tcBorders>
              <w:top w:val="single" w:sz="4" w:space="0" w:color="auto"/>
              <w:left w:val="single" w:sz="6" w:space="0" w:color="CCCCCC"/>
              <w:bottom w:val="single" w:sz="6" w:space="0" w:color="CCCCCC"/>
              <w:right w:val="single" w:sz="4" w:space="0" w:color="auto"/>
            </w:tcBorders>
            <w:tcMar>
              <w:top w:w="0" w:type="dxa"/>
              <w:left w:w="40" w:type="dxa"/>
              <w:bottom w:w="0" w:type="dxa"/>
              <w:right w:w="40" w:type="dxa"/>
            </w:tcMar>
            <w:vAlign w:val="bottom"/>
            <w:hideMark/>
          </w:tcPr>
          <w:p w14:paraId="0C35258F" w14:textId="77777777" w:rsidR="00B50104" w:rsidRPr="00654CEF" w:rsidRDefault="00B50104">
            <w:pPr>
              <w:widowControl w:val="0"/>
              <w:jc w:val="right"/>
              <w:rPr>
                <w:szCs w:val="24"/>
              </w:rPr>
            </w:pPr>
            <w:r w:rsidRPr="00654CEF">
              <w:rPr>
                <w:szCs w:val="24"/>
              </w:rPr>
              <w:t>12</w:t>
            </w:r>
          </w:p>
        </w:tc>
        <w:tc>
          <w:tcPr>
            <w:tcW w:w="831" w:type="pct"/>
            <w:tcBorders>
              <w:top w:val="single" w:sz="4" w:space="0" w:color="auto"/>
              <w:left w:val="single" w:sz="4" w:space="0" w:color="auto"/>
              <w:bottom w:val="single" w:sz="6" w:space="0" w:color="CCCCCC"/>
              <w:right w:val="single" w:sz="6" w:space="0" w:color="CCCCCC"/>
            </w:tcBorders>
            <w:tcMar>
              <w:top w:w="0" w:type="dxa"/>
              <w:left w:w="40" w:type="dxa"/>
              <w:bottom w:w="0" w:type="dxa"/>
              <w:right w:w="40" w:type="dxa"/>
            </w:tcMar>
            <w:vAlign w:val="bottom"/>
            <w:hideMark/>
          </w:tcPr>
          <w:p w14:paraId="6DEEA1B5" w14:textId="77777777" w:rsidR="00B50104" w:rsidRPr="00654CEF" w:rsidRDefault="00B50104">
            <w:pPr>
              <w:widowControl w:val="0"/>
              <w:jc w:val="right"/>
              <w:rPr>
                <w:szCs w:val="24"/>
              </w:rPr>
            </w:pPr>
            <w:r w:rsidRPr="00654CEF">
              <w:rPr>
                <w:szCs w:val="24"/>
              </w:rPr>
              <w:t>17</w:t>
            </w:r>
          </w:p>
        </w:tc>
        <w:tc>
          <w:tcPr>
            <w:tcW w:w="757" w:type="pct"/>
            <w:tcBorders>
              <w:top w:val="single" w:sz="4" w:space="0" w:color="auto"/>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6BE96E2" w14:textId="77777777" w:rsidR="00B50104" w:rsidRPr="00654CEF" w:rsidRDefault="00B50104">
            <w:pPr>
              <w:widowControl w:val="0"/>
              <w:jc w:val="right"/>
              <w:rPr>
                <w:szCs w:val="24"/>
              </w:rPr>
            </w:pPr>
            <w:r w:rsidRPr="00654CEF">
              <w:rPr>
                <w:szCs w:val="24"/>
              </w:rPr>
              <w:t>1144</w:t>
            </w:r>
          </w:p>
        </w:tc>
        <w:tc>
          <w:tcPr>
            <w:tcW w:w="814" w:type="pct"/>
            <w:tcBorders>
              <w:top w:val="single" w:sz="4" w:space="0" w:color="auto"/>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8AF5F4E" w14:textId="77777777" w:rsidR="00B50104" w:rsidRPr="00654CEF" w:rsidRDefault="00B50104">
            <w:pPr>
              <w:widowControl w:val="0"/>
              <w:jc w:val="right"/>
              <w:rPr>
                <w:szCs w:val="24"/>
              </w:rPr>
            </w:pPr>
            <w:r w:rsidRPr="00654CEF">
              <w:rPr>
                <w:szCs w:val="24"/>
              </w:rPr>
              <w:t>17</w:t>
            </w:r>
          </w:p>
        </w:tc>
      </w:tr>
      <w:tr w:rsidR="00B50104" w14:paraId="4D1B8F93" w14:textId="77777777" w:rsidTr="005F6CA0">
        <w:trPr>
          <w:trHeight w:val="240"/>
        </w:trPr>
        <w:tc>
          <w:tcPr>
            <w:tcW w:w="204" w:type="pct"/>
            <w:tcBorders>
              <w:top w:val="single" w:sz="6" w:space="0" w:color="CCCCCC"/>
              <w:left w:val="single" w:sz="6" w:space="0" w:color="CCCCCC"/>
              <w:bottom w:val="single" w:sz="4" w:space="0" w:color="auto"/>
              <w:right w:val="single" w:sz="4" w:space="0" w:color="auto"/>
            </w:tcBorders>
            <w:tcMar>
              <w:top w:w="0" w:type="dxa"/>
              <w:left w:w="40" w:type="dxa"/>
              <w:bottom w:w="0" w:type="dxa"/>
              <w:right w:w="40" w:type="dxa"/>
            </w:tcMar>
            <w:vAlign w:val="bottom"/>
            <w:hideMark/>
          </w:tcPr>
          <w:p w14:paraId="3DDF079D" w14:textId="77777777" w:rsidR="00B50104" w:rsidRPr="00654CEF" w:rsidRDefault="00B50104">
            <w:pPr>
              <w:widowControl w:val="0"/>
              <w:rPr>
                <w:szCs w:val="24"/>
              </w:rPr>
            </w:pPr>
            <w:r w:rsidRPr="00654CEF">
              <w:rPr>
                <w:szCs w:val="24"/>
              </w:rPr>
              <w:t>2</w:t>
            </w:r>
          </w:p>
        </w:tc>
        <w:tc>
          <w:tcPr>
            <w:tcW w:w="782" w:type="pct"/>
            <w:tcBorders>
              <w:top w:val="single" w:sz="6" w:space="0" w:color="CCCCCC"/>
              <w:left w:val="single" w:sz="4" w:space="0" w:color="auto"/>
              <w:bottom w:val="single" w:sz="4" w:space="0" w:color="auto"/>
              <w:right w:val="single" w:sz="6" w:space="0" w:color="CCCCCC"/>
            </w:tcBorders>
            <w:tcMar>
              <w:top w:w="0" w:type="dxa"/>
              <w:left w:w="40" w:type="dxa"/>
              <w:bottom w:w="0" w:type="dxa"/>
              <w:right w:w="40" w:type="dxa"/>
            </w:tcMar>
            <w:vAlign w:val="bottom"/>
            <w:hideMark/>
          </w:tcPr>
          <w:p w14:paraId="3033EB20" w14:textId="77777777" w:rsidR="00B50104" w:rsidRPr="00654CEF" w:rsidRDefault="00B50104">
            <w:pPr>
              <w:widowControl w:val="0"/>
              <w:jc w:val="right"/>
              <w:rPr>
                <w:szCs w:val="24"/>
              </w:rPr>
            </w:pPr>
            <w:r w:rsidRPr="00654CEF">
              <w:rPr>
                <w:szCs w:val="24"/>
              </w:rPr>
              <w:t>8</w:t>
            </w:r>
          </w:p>
        </w:tc>
        <w:tc>
          <w:tcPr>
            <w:tcW w:w="855" w:type="pct"/>
            <w:tcBorders>
              <w:top w:val="single" w:sz="6" w:space="0" w:color="CCCCCC"/>
              <w:left w:val="single" w:sz="6" w:space="0" w:color="CCCCCC"/>
              <w:bottom w:val="single" w:sz="4" w:space="0" w:color="auto"/>
              <w:right w:val="single" w:sz="6" w:space="0" w:color="CCCCCC"/>
            </w:tcBorders>
            <w:tcMar>
              <w:top w:w="0" w:type="dxa"/>
              <w:left w:w="40" w:type="dxa"/>
              <w:bottom w:w="0" w:type="dxa"/>
              <w:right w:w="40" w:type="dxa"/>
            </w:tcMar>
            <w:vAlign w:val="bottom"/>
            <w:hideMark/>
          </w:tcPr>
          <w:p w14:paraId="52D00357" w14:textId="77777777" w:rsidR="00B50104" w:rsidRPr="00654CEF" w:rsidRDefault="00B50104">
            <w:pPr>
              <w:widowControl w:val="0"/>
              <w:jc w:val="right"/>
              <w:rPr>
                <w:szCs w:val="24"/>
              </w:rPr>
            </w:pPr>
            <w:r w:rsidRPr="00654CEF">
              <w:rPr>
                <w:szCs w:val="24"/>
              </w:rPr>
              <w:t>197</w:t>
            </w:r>
          </w:p>
        </w:tc>
        <w:tc>
          <w:tcPr>
            <w:tcW w:w="757" w:type="pct"/>
            <w:tcBorders>
              <w:top w:val="single" w:sz="6" w:space="0" w:color="CCCCCC"/>
              <w:left w:val="single" w:sz="6" w:space="0" w:color="CCCCCC"/>
              <w:bottom w:val="single" w:sz="4" w:space="0" w:color="auto"/>
              <w:right w:val="single" w:sz="4" w:space="0" w:color="auto"/>
            </w:tcBorders>
            <w:tcMar>
              <w:top w:w="0" w:type="dxa"/>
              <w:left w:w="40" w:type="dxa"/>
              <w:bottom w:w="0" w:type="dxa"/>
              <w:right w:w="40" w:type="dxa"/>
            </w:tcMar>
            <w:vAlign w:val="bottom"/>
            <w:hideMark/>
          </w:tcPr>
          <w:p w14:paraId="111CFCD8" w14:textId="77777777" w:rsidR="00B50104" w:rsidRPr="00654CEF" w:rsidRDefault="00B50104">
            <w:pPr>
              <w:widowControl w:val="0"/>
              <w:jc w:val="right"/>
              <w:rPr>
                <w:szCs w:val="24"/>
              </w:rPr>
            </w:pPr>
            <w:r w:rsidRPr="00654CEF">
              <w:rPr>
                <w:szCs w:val="24"/>
              </w:rPr>
              <w:t>7</w:t>
            </w:r>
          </w:p>
        </w:tc>
        <w:tc>
          <w:tcPr>
            <w:tcW w:w="831" w:type="pct"/>
            <w:tcBorders>
              <w:top w:val="single" w:sz="6" w:space="0" w:color="CCCCCC"/>
              <w:left w:val="single" w:sz="4" w:space="0" w:color="auto"/>
              <w:bottom w:val="single" w:sz="4" w:space="0" w:color="auto"/>
              <w:right w:val="single" w:sz="6" w:space="0" w:color="CCCCCC"/>
            </w:tcBorders>
            <w:tcMar>
              <w:top w:w="0" w:type="dxa"/>
              <w:left w:w="40" w:type="dxa"/>
              <w:bottom w:w="0" w:type="dxa"/>
              <w:right w:w="40" w:type="dxa"/>
            </w:tcMar>
            <w:vAlign w:val="bottom"/>
            <w:hideMark/>
          </w:tcPr>
          <w:p w14:paraId="201CB4F3" w14:textId="77777777" w:rsidR="00B50104" w:rsidRPr="00654CEF" w:rsidRDefault="00B50104">
            <w:pPr>
              <w:widowControl w:val="0"/>
              <w:jc w:val="right"/>
              <w:rPr>
                <w:szCs w:val="24"/>
              </w:rPr>
            </w:pPr>
            <w:r w:rsidRPr="00654CEF">
              <w:rPr>
                <w:szCs w:val="24"/>
              </w:rPr>
              <w:t>33</w:t>
            </w:r>
          </w:p>
        </w:tc>
        <w:tc>
          <w:tcPr>
            <w:tcW w:w="757" w:type="pct"/>
            <w:tcBorders>
              <w:top w:val="single" w:sz="6" w:space="0" w:color="CCCCCC"/>
              <w:left w:val="single" w:sz="6" w:space="0" w:color="CCCCCC"/>
              <w:bottom w:val="single" w:sz="4" w:space="0" w:color="auto"/>
              <w:right w:val="single" w:sz="6" w:space="0" w:color="CCCCCC"/>
            </w:tcBorders>
            <w:tcMar>
              <w:top w:w="0" w:type="dxa"/>
              <w:left w:w="40" w:type="dxa"/>
              <w:bottom w:w="0" w:type="dxa"/>
              <w:right w:w="40" w:type="dxa"/>
            </w:tcMar>
            <w:vAlign w:val="bottom"/>
            <w:hideMark/>
          </w:tcPr>
          <w:p w14:paraId="085696E3" w14:textId="77777777" w:rsidR="00B50104" w:rsidRPr="00654CEF" w:rsidRDefault="00B50104">
            <w:pPr>
              <w:widowControl w:val="0"/>
              <w:jc w:val="right"/>
              <w:rPr>
                <w:szCs w:val="24"/>
              </w:rPr>
            </w:pPr>
            <w:r w:rsidRPr="00654CEF">
              <w:rPr>
                <w:szCs w:val="24"/>
              </w:rPr>
              <w:t>1939</w:t>
            </w:r>
          </w:p>
        </w:tc>
        <w:tc>
          <w:tcPr>
            <w:tcW w:w="814" w:type="pct"/>
            <w:tcBorders>
              <w:top w:val="single" w:sz="6" w:space="0" w:color="CCCCCC"/>
              <w:left w:val="single" w:sz="6" w:space="0" w:color="CCCCCC"/>
              <w:bottom w:val="single" w:sz="4" w:space="0" w:color="auto"/>
              <w:right w:val="single" w:sz="6" w:space="0" w:color="CCCCCC"/>
            </w:tcBorders>
            <w:tcMar>
              <w:top w:w="0" w:type="dxa"/>
              <w:left w:w="40" w:type="dxa"/>
              <w:bottom w:w="0" w:type="dxa"/>
              <w:right w:w="40" w:type="dxa"/>
            </w:tcMar>
            <w:vAlign w:val="bottom"/>
            <w:hideMark/>
          </w:tcPr>
          <w:p w14:paraId="7CE73650" w14:textId="77777777" w:rsidR="00B50104" w:rsidRPr="00654CEF" w:rsidRDefault="00B50104">
            <w:pPr>
              <w:widowControl w:val="0"/>
              <w:jc w:val="right"/>
              <w:rPr>
                <w:szCs w:val="24"/>
              </w:rPr>
            </w:pPr>
            <w:r w:rsidRPr="00654CEF">
              <w:rPr>
                <w:szCs w:val="24"/>
              </w:rPr>
              <w:t>18</w:t>
            </w:r>
          </w:p>
        </w:tc>
      </w:tr>
    </w:tbl>
    <w:p w14:paraId="355FE5A0" w14:textId="77777777" w:rsidR="00B50104" w:rsidRDefault="00B50104" w:rsidP="00B50104">
      <w:pPr>
        <w:rPr>
          <w:rFonts w:ascii="Arial" w:hAnsi="Arial" w:cs="Arial"/>
          <w:sz w:val="22"/>
          <w:lang w:val="en"/>
        </w:rPr>
      </w:pPr>
    </w:p>
    <w:p w14:paraId="3AF90231" w14:textId="66E2C61B" w:rsidR="00B50104" w:rsidRDefault="00B50104" w:rsidP="00B50104">
      <w:r>
        <w:t xml:space="preserve">For instance, let us consider the two (real) </w:t>
      </w:r>
      <w:r w:rsidRPr="002F4758">
        <w:rPr>
          <w:szCs w:val="24"/>
        </w:rPr>
        <w:t xml:space="preserve">candidates in </w:t>
      </w:r>
      <w:r w:rsidR="005F6CA0" w:rsidRPr="002F4758">
        <w:rPr>
          <w:szCs w:val="24"/>
        </w:rPr>
        <w:fldChar w:fldCharType="begin"/>
      </w:r>
      <w:r w:rsidR="005F6CA0" w:rsidRPr="002F4758">
        <w:rPr>
          <w:szCs w:val="24"/>
        </w:rPr>
        <w:instrText xml:space="preserve"> REF _Ref10731770 \h  \* MERGEFORMAT </w:instrText>
      </w:r>
      <w:r w:rsidR="005F6CA0" w:rsidRPr="002F4758">
        <w:rPr>
          <w:szCs w:val="24"/>
        </w:rPr>
      </w:r>
      <w:r w:rsidR="005F6CA0" w:rsidRPr="002F4758">
        <w:rPr>
          <w:szCs w:val="24"/>
        </w:rPr>
        <w:fldChar w:fldCharType="separate"/>
      </w:r>
      <w:r w:rsidR="00657860" w:rsidRPr="00657860">
        <w:rPr>
          <w:szCs w:val="24"/>
        </w:rPr>
        <w:t xml:space="preserve">Table </w:t>
      </w:r>
      <w:r w:rsidR="00657860" w:rsidRPr="00657860">
        <w:rPr>
          <w:noProof/>
          <w:szCs w:val="24"/>
        </w:rPr>
        <w:t>3</w:t>
      </w:r>
      <w:r w:rsidR="005F6CA0" w:rsidRPr="002F4758">
        <w:rPr>
          <w:szCs w:val="24"/>
        </w:rPr>
        <w:fldChar w:fldCharType="end"/>
      </w:r>
      <w:r w:rsidRPr="002F4758">
        <w:rPr>
          <w:szCs w:val="24"/>
        </w:rPr>
        <w:t>. Th</w:t>
      </w:r>
      <w:r>
        <w:t>ey both applied for the qualification as Full Professor and exceeded all three thresholds. The values of their indicators were lower when we only took open data into account in both cases. However, candidate #1 was able to exceed two thresholds anyway. The same did not happen for candidate #2. We counted the percentage of</w:t>
      </w:r>
      <w:r w:rsidR="00E3435D">
        <w:t xml:space="preserve"> </w:t>
      </w:r>
      <w:r>
        <w:t xml:space="preserve">these situations to study the relation between open and closed data. The measurements were also repeated on the three datasets CCV, CDBLP and CU in order to get a more precise picture and are fully described in the next section. </w:t>
      </w:r>
    </w:p>
    <w:p w14:paraId="7DD5EE2F" w14:textId="77777777" w:rsidR="00B50104" w:rsidRDefault="00B50104" w:rsidP="00B50104">
      <w:pPr>
        <w:pStyle w:val="Titolo1"/>
        <w:rPr>
          <w:rFonts w:eastAsia="Arial"/>
        </w:rPr>
      </w:pPr>
      <w:bookmarkStart w:id="4" w:name="_7m100h8pbolp"/>
      <w:bookmarkEnd w:id="4"/>
      <w:r>
        <w:rPr>
          <w:rFonts w:eastAsia="Arial"/>
        </w:rPr>
        <w:lastRenderedPageBreak/>
        <w:t>Results</w:t>
      </w:r>
    </w:p>
    <w:p w14:paraId="131F7FDB" w14:textId="136BFA19" w:rsidR="00B50104" w:rsidRDefault="00B50104" w:rsidP="00B50104">
      <w:pPr>
        <w:rPr>
          <w:rFonts w:eastAsia="Arial"/>
        </w:rPr>
      </w:pPr>
      <w:r>
        <w:t xml:space="preserve">We measured the percentage of candidates, for all levels and under all conditions, for which there is agreement between our test and the official ASN outcome. </w:t>
      </w:r>
      <w:r w:rsidR="005F6CA0" w:rsidRPr="005F6CA0">
        <w:rPr>
          <w:szCs w:val="24"/>
        </w:rPr>
        <w:fldChar w:fldCharType="begin"/>
      </w:r>
      <w:r w:rsidR="005F6CA0" w:rsidRPr="005F6CA0">
        <w:rPr>
          <w:szCs w:val="24"/>
        </w:rPr>
        <w:instrText xml:space="preserve"> REF _Ref10732099 \h  \* MERGEFORMAT </w:instrText>
      </w:r>
      <w:r w:rsidR="005F6CA0" w:rsidRPr="005F6CA0">
        <w:rPr>
          <w:szCs w:val="24"/>
        </w:rPr>
      </w:r>
      <w:r w:rsidR="005F6CA0" w:rsidRPr="005F6CA0">
        <w:rPr>
          <w:szCs w:val="24"/>
        </w:rPr>
        <w:fldChar w:fldCharType="separate"/>
      </w:r>
      <w:r w:rsidR="00657860" w:rsidRPr="00657860">
        <w:rPr>
          <w:szCs w:val="24"/>
        </w:rPr>
        <w:t xml:space="preserve">Table </w:t>
      </w:r>
      <w:r w:rsidR="00657860" w:rsidRPr="00657860">
        <w:rPr>
          <w:noProof/>
          <w:szCs w:val="24"/>
        </w:rPr>
        <w:t>4</w:t>
      </w:r>
      <w:r w:rsidR="005F6CA0" w:rsidRPr="005F6CA0">
        <w:rPr>
          <w:szCs w:val="24"/>
        </w:rPr>
        <w:fldChar w:fldCharType="end"/>
      </w:r>
      <w:r>
        <w:t xml:space="preserve"> summarizes the data on the 517 candidates as Full Professor (Level 1). The three columns correspond to the three conditions introduced CCV, CDBLP and CU. The rows detail each indicator and the overall result (two indicators over three above/below the thresholds). </w:t>
      </w:r>
    </w:p>
    <w:p w14:paraId="3A78B4EC" w14:textId="77777777" w:rsidR="00B50104" w:rsidRDefault="00B50104" w:rsidP="00B50104"/>
    <w:p w14:paraId="57C24207" w14:textId="1D429133" w:rsidR="005F6CA0" w:rsidRPr="005F6CA0" w:rsidRDefault="005F6CA0" w:rsidP="005F6CA0">
      <w:pPr>
        <w:pStyle w:val="Didascalia"/>
        <w:keepNext/>
        <w:jc w:val="center"/>
        <w:rPr>
          <w:rFonts w:ascii="Times New Roman" w:hAnsi="Times New Roman" w:cs="Times New Roman"/>
          <w:b/>
          <w:i w:val="0"/>
          <w:color w:val="auto"/>
          <w:sz w:val="22"/>
          <w:szCs w:val="22"/>
        </w:rPr>
      </w:pPr>
      <w:bookmarkStart w:id="5" w:name="_Ref10732099"/>
      <w:r w:rsidRPr="005F6CA0">
        <w:rPr>
          <w:rFonts w:ascii="Times New Roman" w:hAnsi="Times New Roman" w:cs="Times New Roman"/>
          <w:b/>
          <w:i w:val="0"/>
          <w:color w:val="auto"/>
          <w:sz w:val="22"/>
          <w:szCs w:val="22"/>
        </w:rPr>
        <w:t xml:space="preserve">Table </w:t>
      </w:r>
      <w:r w:rsidRPr="005F6CA0">
        <w:rPr>
          <w:rFonts w:ascii="Times New Roman" w:hAnsi="Times New Roman" w:cs="Times New Roman"/>
          <w:b/>
          <w:i w:val="0"/>
          <w:color w:val="auto"/>
          <w:sz w:val="22"/>
          <w:szCs w:val="22"/>
        </w:rPr>
        <w:fldChar w:fldCharType="begin"/>
      </w:r>
      <w:r w:rsidRPr="005F6CA0">
        <w:rPr>
          <w:rFonts w:ascii="Times New Roman" w:hAnsi="Times New Roman" w:cs="Times New Roman"/>
          <w:b/>
          <w:i w:val="0"/>
          <w:color w:val="auto"/>
          <w:sz w:val="22"/>
          <w:szCs w:val="22"/>
        </w:rPr>
        <w:instrText xml:space="preserve"> SEQ Table \* ARABIC </w:instrText>
      </w:r>
      <w:r w:rsidRPr="005F6CA0">
        <w:rPr>
          <w:rFonts w:ascii="Times New Roman" w:hAnsi="Times New Roman" w:cs="Times New Roman"/>
          <w:b/>
          <w:i w:val="0"/>
          <w:color w:val="auto"/>
          <w:sz w:val="22"/>
          <w:szCs w:val="22"/>
        </w:rPr>
        <w:fldChar w:fldCharType="separate"/>
      </w:r>
      <w:r w:rsidR="00657860">
        <w:rPr>
          <w:rFonts w:ascii="Times New Roman" w:hAnsi="Times New Roman" w:cs="Times New Roman"/>
          <w:b/>
          <w:i w:val="0"/>
          <w:noProof/>
          <w:color w:val="auto"/>
          <w:sz w:val="22"/>
          <w:szCs w:val="22"/>
        </w:rPr>
        <w:t>4</w:t>
      </w:r>
      <w:r w:rsidRPr="005F6CA0">
        <w:rPr>
          <w:rFonts w:ascii="Times New Roman" w:hAnsi="Times New Roman" w:cs="Times New Roman"/>
          <w:b/>
          <w:i w:val="0"/>
          <w:color w:val="auto"/>
          <w:sz w:val="22"/>
          <w:szCs w:val="22"/>
        </w:rPr>
        <w:fldChar w:fldCharType="end"/>
      </w:r>
      <w:bookmarkEnd w:id="5"/>
      <w:r w:rsidRPr="005F6CA0">
        <w:rPr>
          <w:rFonts w:ascii="Times New Roman" w:hAnsi="Times New Roman" w:cs="Times New Roman"/>
          <w:b/>
          <w:i w:val="0"/>
          <w:color w:val="auto"/>
          <w:sz w:val="22"/>
          <w:szCs w:val="22"/>
        </w:rPr>
        <w:t>. The percentage of candidates as Full Professor who achieved the same result in our open data simulation and the official ASN, for each indicator and under each condition.</w:t>
      </w:r>
    </w:p>
    <w:tbl>
      <w:tblPr>
        <w:tblW w:w="5490" w:type="dxa"/>
        <w:jc w:val="center"/>
        <w:tblBorders>
          <w:top w:val="single" w:sz="4" w:space="0" w:color="auto"/>
          <w:bottom w:val="single" w:sz="4" w:space="0" w:color="auto"/>
        </w:tblBorders>
        <w:tblLayout w:type="fixed"/>
        <w:tblLook w:val="0600" w:firstRow="0" w:lastRow="0" w:firstColumn="0" w:lastColumn="0" w:noHBand="1" w:noVBand="1"/>
      </w:tblPr>
      <w:tblGrid>
        <w:gridCol w:w="1372"/>
        <w:gridCol w:w="1373"/>
        <w:gridCol w:w="1372"/>
        <w:gridCol w:w="1373"/>
      </w:tblGrid>
      <w:tr w:rsidR="00B50104" w:rsidRPr="005F6CA0" w14:paraId="60806EA6" w14:textId="77777777" w:rsidTr="005F6CA0">
        <w:trPr>
          <w:trHeight w:val="300"/>
          <w:jc w:val="center"/>
        </w:trPr>
        <w:tc>
          <w:tcPr>
            <w:tcW w:w="5490" w:type="dxa"/>
            <w:gridSpan w:val="4"/>
            <w:tcBorders>
              <w:bottom w:val="single" w:sz="4" w:space="0" w:color="auto"/>
            </w:tcBorders>
            <w:tcMar>
              <w:top w:w="40" w:type="dxa"/>
              <w:left w:w="40" w:type="dxa"/>
              <w:bottom w:w="40" w:type="dxa"/>
              <w:right w:w="40" w:type="dxa"/>
            </w:tcMar>
            <w:vAlign w:val="bottom"/>
            <w:hideMark/>
          </w:tcPr>
          <w:p w14:paraId="75A54622" w14:textId="77777777" w:rsidR="00B50104" w:rsidRPr="005F6CA0" w:rsidRDefault="00B50104">
            <w:pPr>
              <w:widowControl w:val="0"/>
              <w:jc w:val="center"/>
              <w:rPr>
                <w:i/>
                <w:szCs w:val="24"/>
              </w:rPr>
            </w:pPr>
            <w:r w:rsidRPr="005F6CA0">
              <w:rPr>
                <w:i/>
                <w:szCs w:val="24"/>
              </w:rPr>
              <w:t>Full Professor (518 candidates)</w:t>
            </w:r>
          </w:p>
        </w:tc>
      </w:tr>
      <w:tr w:rsidR="00B50104" w:rsidRPr="005F6CA0" w14:paraId="623F6F4F" w14:textId="77777777" w:rsidTr="005F6CA0">
        <w:trPr>
          <w:trHeight w:val="300"/>
          <w:jc w:val="center"/>
        </w:trPr>
        <w:tc>
          <w:tcPr>
            <w:tcW w:w="1372" w:type="dxa"/>
            <w:tcBorders>
              <w:top w:val="single" w:sz="4" w:space="0" w:color="auto"/>
              <w:bottom w:val="single" w:sz="4" w:space="0" w:color="auto"/>
              <w:right w:val="single" w:sz="4" w:space="0" w:color="auto"/>
            </w:tcBorders>
            <w:tcMar>
              <w:top w:w="40" w:type="dxa"/>
              <w:left w:w="40" w:type="dxa"/>
              <w:bottom w:w="40" w:type="dxa"/>
              <w:right w:w="40" w:type="dxa"/>
            </w:tcMar>
            <w:vAlign w:val="bottom"/>
          </w:tcPr>
          <w:p w14:paraId="3A21D083" w14:textId="77777777" w:rsidR="00B50104" w:rsidRPr="005F6CA0" w:rsidRDefault="00B50104">
            <w:pPr>
              <w:widowControl w:val="0"/>
              <w:rPr>
                <w:szCs w:val="24"/>
              </w:rPr>
            </w:pPr>
          </w:p>
        </w:tc>
        <w:tc>
          <w:tcPr>
            <w:tcW w:w="1373" w:type="dxa"/>
            <w:tcBorders>
              <w:top w:val="single" w:sz="4" w:space="0" w:color="auto"/>
              <w:left w:val="single" w:sz="4" w:space="0" w:color="auto"/>
              <w:bottom w:val="single" w:sz="4" w:space="0" w:color="auto"/>
            </w:tcBorders>
            <w:tcMar>
              <w:top w:w="40" w:type="dxa"/>
              <w:left w:w="40" w:type="dxa"/>
              <w:bottom w:w="40" w:type="dxa"/>
              <w:right w:w="40" w:type="dxa"/>
            </w:tcMar>
            <w:vAlign w:val="bottom"/>
            <w:hideMark/>
          </w:tcPr>
          <w:p w14:paraId="3E49153F" w14:textId="77777777" w:rsidR="00B50104" w:rsidRPr="005F6CA0" w:rsidRDefault="00B50104">
            <w:pPr>
              <w:widowControl w:val="0"/>
              <w:jc w:val="center"/>
              <w:rPr>
                <w:i/>
                <w:szCs w:val="24"/>
              </w:rPr>
            </w:pPr>
            <w:r w:rsidRPr="005F6CA0">
              <w:rPr>
                <w:i/>
                <w:szCs w:val="24"/>
              </w:rPr>
              <w:t>CCV</w:t>
            </w:r>
          </w:p>
        </w:tc>
        <w:tc>
          <w:tcPr>
            <w:tcW w:w="1372" w:type="dxa"/>
            <w:tcBorders>
              <w:top w:val="single" w:sz="4" w:space="0" w:color="auto"/>
              <w:bottom w:val="single" w:sz="4" w:space="0" w:color="auto"/>
            </w:tcBorders>
            <w:tcMar>
              <w:top w:w="40" w:type="dxa"/>
              <w:left w:w="40" w:type="dxa"/>
              <w:bottom w:w="40" w:type="dxa"/>
              <w:right w:w="40" w:type="dxa"/>
            </w:tcMar>
            <w:vAlign w:val="bottom"/>
            <w:hideMark/>
          </w:tcPr>
          <w:p w14:paraId="14C0DBB2" w14:textId="77777777" w:rsidR="00B50104" w:rsidRPr="005F6CA0" w:rsidRDefault="00B50104">
            <w:pPr>
              <w:widowControl w:val="0"/>
              <w:jc w:val="center"/>
              <w:rPr>
                <w:i/>
                <w:szCs w:val="24"/>
              </w:rPr>
            </w:pPr>
            <w:r w:rsidRPr="005F6CA0">
              <w:rPr>
                <w:i/>
                <w:szCs w:val="24"/>
              </w:rPr>
              <w:t>CDBLP</w:t>
            </w:r>
          </w:p>
        </w:tc>
        <w:tc>
          <w:tcPr>
            <w:tcW w:w="1373" w:type="dxa"/>
            <w:tcBorders>
              <w:top w:val="single" w:sz="4" w:space="0" w:color="auto"/>
              <w:bottom w:val="single" w:sz="4" w:space="0" w:color="auto"/>
            </w:tcBorders>
            <w:tcMar>
              <w:top w:w="40" w:type="dxa"/>
              <w:left w:w="40" w:type="dxa"/>
              <w:bottom w:w="40" w:type="dxa"/>
              <w:right w:w="40" w:type="dxa"/>
            </w:tcMar>
            <w:vAlign w:val="bottom"/>
            <w:hideMark/>
          </w:tcPr>
          <w:p w14:paraId="45B8EBEB" w14:textId="77777777" w:rsidR="00B50104" w:rsidRPr="005F6CA0" w:rsidRDefault="00B50104">
            <w:pPr>
              <w:widowControl w:val="0"/>
              <w:jc w:val="center"/>
              <w:rPr>
                <w:i/>
                <w:szCs w:val="24"/>
              </w:rPr>
            </w:pPr>
            <w:r w:rsidRPr="005F6CA0">
              <w:rPr>
                <w:i/>
                <w:szCs w:val="24"/>
              </w:rPr>
              <w:t>CU</w:t>
            </w:r>
          </w:p>
        </w:tc>
      </w:tr>
      <w:tr w:rsidR="00B50104" w:rsidRPr="005F6CA0" w14:paraId="7E675C1E" w14:textId="77777777" w:rsidTr="005F6CA0">
        <w:trPr>
          <w:trHeight w:val="100"/>
          <w:jc w:val="center"/>
        </w:trPr>
        <w:tc>
          <w:tcPr>
            <w:tcW w:w="1372" w:type="dxa"/>
            <w:tcBorders>
              <w:top w:val="single" w:sz="4" w:space="0" w:color="auto"/>
              <w:bottom w:val="nil"/>
              <w:right w:val="single" w:sz="4" w:space="0" w:color="auto"/>
            </w:tcBorders>
            <w:tcMar>
              <w:top w:w="40" w:type="dxa"/>
              <w:left w:w="40" w:type="dxa"/>
              <w:bottom w:w="40" w:type="dxa"/>
              <w:right w:w="40" w:type="dxa"/>
            </w:tcMar>
            <w:vAlign w:val="bottom"/>
            <w:hideMark/>
          </w:tcPr>
          <w:p w14:paraId="369E1AD8" w14:textId="77777777" w:rsidR="00B50104" w:rsidRPr="005F6CA0" w:rsidRDefault="00B50104">
            <w:pPr>
              <w:widowControl w:val="0"/>
              <w:rPr>
                <w:szCs w:val="24"/>
                <w:u w:val="single"/>
              </w:rPr>
            </w:pPr>
            <w:r w:rsidRPr="005F6CA0">
              <w:rPr>
                <w:szCs w:val="24"/>
                <w:u w:val="single"/>
              </w:rPr>
              <w:t>Overall</w:t>
            </w:r>
          </w:p>
        </w:tc>
        <w:tc>
          <w:tcPr>
            <w:tcW w:w="1373" w:type="dxa"/>
            <w:tcBorders>
              <w:top w:val="single" w:sz="4" w:space="0" w:color="auto"/>
              <w:left w:val="single" w:sz="4" w:space="0" w:color="auto"/>
              <w:bottom w:val="nil"/>
            </w:tcBorders>
            <w:tcMar>
              <w:top w:w="0" w:type="dxa"/>
              <w:left w:w="40" w:type="dxa"/>
              <w:bottom w:w="0" w:type="dxa"/>
              <w:right w:w="40" w:type="dxa"/>
            </w:tcMar>
            <w:vAlign w:val="bottom"/>
            <w:hideMark/>
          </w:tcPr>
          <w:p w14:paraId="6A788E95" w14:textId="77777777" w:rsidR="00B50104" w:rsidRPr="005F6CA0" w:rsidRDefault="00B50104">
            <w:pPr>
              <w:widowControl w:val="0"/>
              <w:jc w:val="right"/>
              <w:rPr>
                <w:szCs w:val="24"/>
              </w:rPr>
            </w:pPr>
            <w:r w:rsidRPr="005F6CA0">
              <w:rPr>
                <w:szCs w:val="24"/>
              </w:rPr>
              <w:t>59.07%</w:t>
            </w:r>
          </w:p>
        </w:tc>
        <w:tc>
          <w:tcPr>
            <w:tcW w:w="1372" w:type="dxa"/>
            <w:tcBorders>
              <w:top w:val="single" w:sz="4" w:space="0" w:color="auto"/>
              <w:bottom w:val="nil"/>
            </w:tcBorders>
            <w:tcMar>
              <w:top w:w="0" w:type="dxa"/>
              <w:left w:w="40" w:type="dxa"/>
              <w:bottom w:w="0" w:type="dxa"/>
              <w:right w:w="40" w:type="dxa"/>
            </w:tcMar>
            <w:vAlign w:val="bottom"/>
            <w:hideMark/>
          </w:tcPr>
          <w:p w14:paraId="2E02DA39" w14:textId="77777777" w:rsidR="00B50104" w:rsidRPr="005F6CA0" w:rsidRDefault="00B50104">
            <w:pPr>
              <w:widowControl w:val="0"/>
              <w:jc w:val="right"/>
              <w:rPr>
                <w:szCs w:val="24"/>
              </w:rPr>
            </w:pPr>
            <w:r w:rsidRPr="005F6CA0">
              <w:rPr>
                <w:szCs w:val="24"/>
              </w:rPr>
              <w:t>58.88%</w:t>
            </w:r>
          </w:p>
        </w:tc>
        <w:tc>
          <w:tcPr>
            <w:tcW w:w="1373" w:type="dxa"/>
            <w:tcBorders>
              <w:top w:val="single" w:sz="4" w:space="0" w:color="auto"/>
              <w:bottom w:val="nil"/>
            </w:tcBorders>
            <w:tcMar>
              <w:top w:w="0" w:type="dxa"/>
              <w:left w:w="40" w:type="dxa"/>
              <w:bottom w:w="0" w:type="dxa"/>
              <w:right w:w="40" w:type="dxa"/>
            </w:tcMar>
            <w:vAlign w:val="bottom"/>
            <w:hideMark/>
          </w:tcPr>
          <w:p w14:paraId="3E7A8C5B" w14:textId="77777777" w:rsidR="00B50104" w:rsidRPr="005F6CA0" w:rsidRDefault="00B50104">
            <w:pPr>
              <w:widowControl w:val="0"/>
              <w:jc w:val="right"/>
              <w:rPr>
                <w:szCs w:val="24"/>
              </w:rPr>
            </w:pPr>
            <w:r w:rsidRPr="005F6CA0">
              <w:rPr>
                <w:szCs w:val="24"/>
              </w:rPr>
              <w:t>67.95%</w:t>
            </w:r>
          </w:p>
        </w:tc>
      </w:tr>
      <w:tr w:rsidR="00B50104" w:rsidRPr="005F6CA0" w14:paraId="471FB71D" w14:textId="77777777" w:rsidTr="005F6CA0">
        <w:trPr>
          <w:trHeight w:val="300"/>
          <w:jc w:val="center"/>
        </w:trPr>
        <w:tc>
          <w:tcPr>
            <w:tcW w:w="1372" w:type="dxa"/>
            <w:tcBorders>
              <w:top w:val="nil"/>
              <w:bottom w:val="nil"/>
              <w:right w:val="single" w:sz="4" w:space="0" w:color="auto"/>
            </w:tcBorders>
            <w:tcMar>
              <w:top w:w="40" w:type="dxa"/>
              <w:left w:w="40" w:type="dxa"/>
              <w:bottom w:w="40" w:type="dxa"/>
              <w:right w:w="40" w:type="dxa"/>
            </w:tcMar>
            <w:vAlign w:val="bottom"/>
            <w:hideMark/>
          </w:tcPr>
          <w:p w14:paraId="5E45DBAA" w14:textId="77777777" w:rsidR="00B50104" w:rsidRPr="005F6CA0" w:rsidRDefault="00B50104">
            <w:pPr>
              <w:widowControl w:val="0"/>
              <w:rPr>
                <w:szCs w:val="24"/>
              </w:rPr>
            </w:pPr>
            <w:r w:rsidRPr="005F6CA0">
              <w:rPr>
                <w:szCs w:val="24"/>
              </w:rPr>
              <w:t>Journals</w:t>
            </w:r>
          </w:p>
        </w:tc>
        <w:tc>
          <w:tcPr>
            <w:tcW w:w="1373" w:type="dxa"/>
            <w:tcBorders>
              <w:top w:val="nil"/>
              <w:left w:val="single" w:sz="4" w:space="0" w:color="auto"/>
              <w:bottom w:val="nil"/>
            </w:tcBorders>
            <w:tcMar>
              <w:top w:w="0" w:type="dxa"/>
              <w:left w:w="40" w:type="dxa"/>
              <w:bottom w:w="0" w:type="dxa"/>
              <w:right w:w="40" w:type="dxa"/>
            </w:tcMar>
            <w:vAlign w:val="bottom"/>
            <w:hideMark/>
          </w:tcPr>
          <w:p w14:paraId="3908F0D5" w14:textId="77777777" w:rsidR="00B50104" w:rsidRPr="005F6CA0" w:rsidRDefault="00B50104">
            <w:pPr>
              <w:widowControl w:val="0"/>
              <w:jc w:val="right"/>
              <w:rPr>
                <w:szCs w:val="24"/>
              </w:rPr>
            </w:pPr>
            <w:r w:rsidRPr="005F6CA0">
              <w:rPr>
                <w:szCs w:val="24"/>
              </w:rPr>
              <w:t>89.77%</w:t>
            </w:r>
          </w:p>
        </w:tc>
        <w:tc>
          <w:tcPr>
            <w:tcW w:w="1372" w:type="dxa"/>
            <w:tcBorders>
              <w:top w:val="nil"/>
              <w:bottom w:val="nil"/>
            </w:tcBorders>
            <w:tcMar>
              <w:top w:w="0" w:type="dxa"/>
              <w:left w:w="40" w:type="dxa"/>
              <w:bottom w:w="0" w:type="dxa"/>
              <w:right w:w="40" w:type="dxa"/>
            </w:tcMar>
            <w:vAlign w:val="bottom"/>
            <w:hideMark/>
          </w:tcPr>
          <w:p w14:paraId="270C00AF" w14:textId="77777777" w:rsidR="00B50104" w:rsidRPr="005F6CA0" w:rsidRDefault="00B50104">
            <w:pPr>
              <w:widowControl w:val="0"/>
              <w:jc w:val="right"/>
              <w:rPr>
                <w:szCs w:val="24"/>
              </w:rPr>
            </w:pPr>
            <w:r w:rsidRPr="005F6CA0">
              <w:rPr>
                <w:szCs w:val="24"/>
              </w:rPr>
              <w:t>89.58%</w:t>
            </w:r>
          </w:p>
        </w:tc>
        <w:tc>
          <w:tcPr>
            <w:tcW w:w="1373" w:type="dxa"/>
            <w:tcBorders>
              <w:top w:val="nil"/>
              <w:bottom w:val="nil"/>
            </w:tcBorders>
            <w:tcMar>
              <w:top w:w="0" w:type="dxa"/>
              <w:left w:w="40" w:type="dxa"/>
              <w:bottom w:w="0" w:type="dxa"/>
              <w:right w:w="40" w:type="dxa"/>
            </w:tcMar>
            <w:vAlign w:val="bottom"/>
            <w:hideMark/>
          </w:tcPr>
          <w:p w14:paraId="1283033B" w14:textId="77777777" w:rsidR="00B50104" w:rsidRPr="005F6CA0" w:rsidRDefault="00B50104">
            <w:pPr>
              <w:widowControl w:val="0"/>
              <w:jc w:val="right"/>
              <w:rPr>
                <w:szCs w:val="24"/>
              </w:rPr>
            </w:pPr>
            <w:r w:rsidRPr="005F6CA0">
              <w:rPr>
                <w:szCs w:val="24"/>
              </w:rPr>
              <w:t>93.82%</w:t>
            </w:r>
          </w:p>
        </w:tc>
      </w:tr>
      <w:tr w:rsidR="00B50104" w:rsidRPr="005F6CA0" w14:paraId="2EF5EC63" w14:textId="77777777" w:rsidTr="005F6CA0">
        <w:trPr>
          <w:trHeight w:val="300"/>
          <w:jc w:val="center"/>
        </w:trPr>
        <w:tc>
          <w:tcPr>
            <w:tcW w:w="1372" w:type="dxa"/>
            <w:tcBorders>
              <w:top w:val="nil"/>
              <w:bottom w:val="nil"/>
              <w:right w:val="single" w:sz="4" w:space="0" w:color="auto"/>
            </w:tcBorders>
            <w:tcMar>
              <w:top w:w="40" w:type="dxa"/>
              <w:left w:w="40" w:type="dxa"/>
              <w:bottom w:w="40" w:type="dxa"/>
              <w:right w:w="40" w:type="dxa"/>
            </w:tcMar>
            <w:vAlign w:val="bottom"/>
            <w:hideMark/>
          </w:tcPr>
          <w:p w14:paraId="26C0B4B8" w14:textId="77777777" w:rsidR="00B50104" w:rsidRPr="005F6CA0" w:rsidRDefault="00B50104">
            <w:pPr>
              <w:widowControl w:val="0"/>
              <w:rPr>
                <w:szCs w:val="24"/>
              </w:rPr>
            </w:pPr>
            <w:r w:rsidRPr="005F6CA0">
              <w:rPr>
                <w:szCs w:val="24"/>
              </w:rPr>
              <w:t>Citations</w:t>
            </w:r>
          </w:p>
        </w:tc>
        <w:tc>
          <w:tcPr>
            <w:tcW w:w="1373" w:type="dxa"/>
            <w:tcBorders>
              <w:top w:val="nil"/>
              <w:left w:val="single" w:sz="4" w:space="0" w:color="auto"/>
              <w:bottom w:val="nil"/>
            </w:tcBorders>
            <w:tcMar>
              <w:top w:w="0" w:type="dxa"/>
              <w:left w:w="40" w:type="dxa"/>
              <w:bottom w:w="0" w:type="dxa"/>
              <w:right w:w="40" w:type="dxa"/>
            </w:tcMar>
            <w:vAlign w:val="bottom"/>
            <w:hideMark/>
          </w:tcPr>
          <w:p w14:paraId="49E1C0DF" w14:textId="77777777" w:rsidR="00B50104" w:rsidRPr="005F6CA0" w:rsidRDefault="00B50104">
            <w:pPr>
              <w:widowControl w:val="0"/>
              <w:jc w:val="right"/>
              <w:rPr>
                <w:szCs w:val="24"/>
              </w:rPr>
            </w:pPr>
            <w:r w:rsidRPr="005F6CA0">
              <w:rPr>
                <w:szCs w:val="24"/>
              </w:rPr>
              <w:t>50.77%</w:t>
            </w:r>
          </w:p>
        </w:tc>
        <w:tc>
          <w:tcPr>
            <w:tcW w:w="1372" w:type="dxa"/>
            <w:tcBorders>
              <w:top w:val="nil"/>
              <w:bottom w:val="nil"/>
            </w:tcBorders>
            <w:tcMar>
              <w:top w:w="0" w:type="dxa"/>
              <w:left w:w="40" w:type="dxa"/>
              <w:bottom w:w="0" w:type="dxa"/>
              <w:right w:w="40" w:type="dxa"/>
            </w:tcMar>
            <w:vAlign w:val="bottom"/>
            <w:hideMark/>
          </w:tcPr>
          <w:p w14:paraId="74B11688" w14:textId="77777777" w:rsidR="00B50104" w:rsidRPr="005F6CA0" w:rsidRDefault="00B50104">
            <w:pPr>
              <w:widowControl w:val="0"/>
              <w:jc w:val="right"/>
              <w:rPr>
                <w:szCs w:val="24"/>
              </w:rPr>
            </w:pPr>
            <w:r w:rsidRPr="005F6CA0">
              <w:rPr>
                <w:szCs w:val="24"/>
              </w:rPr>
              <w:t>50.58%</w:t>
            </w:r>
          </w:p>
        </w:tc>
        <w:tc>
          <w:tcPr>
            <w:tcW w:w="1373" w:type="dxa"/>
            <w:tcBorders>
              <w:top w:val="nil"/>
              <w:bottom w:val="nil"/>
            </w:tcBorders>
            <w:tcMar>
              <w:top w:w="0" w:type="dxa"/>
              <w:left w:w="40" w:type="dxa"/>
              <w:bottom w:w="0" w:type="dxa"/>
              <w:right w:w="40" w:type="dxa"/>
            </w:tcMar>
            <w:vAlign w:val="bottom"/>
            <w:hideMark/>
          </w:tcPr>
          <w:p w14:paraId="48BA5259" w14:textId="77777777" w:rsidR="00B50104" w:rsidRPr="005F6CA0" w:rsidRDefault="00B50104">
            <w:pPr>
              <w:widowControl w:val="0"/>
              <w:jc w:val="right"/>
              <w:rPr>
                <w:szCs w:val="24"/>
              </w:rPr>
            </w:pPr>
            <w:r w:rsidRPr="005F6CA0">
              <w:rPr>
                <w:szCs w:val="24"/>
              </w:rPr>
              <w:t>58.49%</w:t>
            </w:r>
          </w:p>
        </w:tc>
      </w:tr>
      <w:tr w:rsidR="00B50104" w:rsidRPr="005F6CA0" w14:paraId="2734C8F5" w14:textId="77777777" w:rsidTr="005F6CA0">
        <w:trPr>
          <w:trHeight w:val="300"/>
          <w:jc w:val="center"/>
        </w:trPr>
        <w:tc>
          <w:tcPr>
            <w:tcW w:w="1372" w:type="dxa"/>
            <w:tcBorders>
              <w:top w:val="nil"/>
              <w:bottom w:val="single" w:sz="4" w:space="0" w:color="auto"/>
              <w:right w:val="single" w:sz="4" w:space="0" w:color="auto"/>
            </w:tcBorders>
            <w:tcMar>
              <w:top w:w="40" w:type="dxa"/>
              <w:left w:w="40" w:type="dxa"/>
              <w:bottom w:w="40" w:type="dxa"/>
              <w:right w:w="40" w:type="dxa"/>
            </w:tcMar>
            <w:vAlign w:val="bottom"/>
            <w:hideMark/>
          </w:tcPr>
          <w:p w14:paraId="2B7A5374" w14:textId="77777777" w:rsidR="00B50104" w:rsidRPr="005F6CA0" w:rsidRDefault="00B50104">
            <w:pPr>
              <w:widowControl w:val="0"/>
              <w:rPr>
                <w:szCs w:val="24"/>
              </w:rPr>
            </w:pPr>
            <w:r w:rsidRPr="005F6CA0">
              <w:rPr>
                <w:szCs w:val="24"/>
              </w:rPr>
              <w:t>h-index</w:t>
            </w:r>
          </w:p>
        </w:tc>
        <w:tc>
          <w:tcPr>
            <w:tcW w:w="1373" w:type="dxa"/>
            <w:tcBorders>
              <w:top w:val="nil"/>
              <w:left w:val="single" w:sz="4" w:space="0" w:color="auto"/>
              <w:bottom w:val="single" w:sz="4" w:space="0" w:color="auto"/>
            </w:tcBorders>
            <w:tcMar>
              <w:top w:w="0" w:type="dxa"/>
              <w:left w:w="40" w:type="dxa"/>
              <w:bottom w:w="0" w:type="dxa"/>
              <w:right w:w="40" w:type="dxa"/>
            </w:tcMar>
            <w:vAlign w:val="bottom"/>
            <w:hideMark/>
          </w:tcPr>
          <w:p w14:paraId="0EE0598B" w14:textId="77777777" w:rsidR="00B50104" w:rsidRPr="005F6CA0" w:rsidRDefault="00B50104">
            <w:pPr>
              <w:widowControl w:val="0"/>
              <w:jc w:val="right"/>
              <w:rPr>
                <w:szCs w:val="24"/>
              </w:rPr>
            </w:pPr>
            <w:r w:rsidRPr="005F6CA0">
              <w:rPr>
                <w:szCs w:val="24"/>
              </w:rPr>
              <w:t>59.65%</w:t>
            </w:r>
          </w:p>
        </w:tc>
        <w:tc>
          <w:tcPr>
            <w:tcW w:w="1372" w:type="dxa"/>
            <w:tcBorders>
              <w:top w:val="nil"/>
              <w:bottom w:val="single" w:sz="4" w:space="0" w:color="auto"/>
            </w:tcBorders>
            <w:tcMar>
              <w:top w:w="0" w:type="dxa"/>
              <w:left w:w="40" w:type="dxa"/>
              <w:bottom w:w="0" w:type="dxa"/>
              <w:right w:w="40" w:type="dxa"/>
            </w:tcMar>
            <w:vAlign w:val="bottom"/>
            <w:hideMark/>
          </w:tcPr>
          <w:p w14:paraId="4FD7D926" w14:textId="77777777" w:rsidR="00B50104" w:rsidRPr="005F6CA0" w:rsidRDefault="00B50104">
            <w:pPr>
              <w:widowControl w:val="0"/>
              <w:jc w:val="right"/>
              <w:rPr>
                <w:szCs w:val="24"/>
              </w:rPr>
            </w:pPr>
            <w:r w:rsidRPr="005F6CA0">
              <w:rPr>
                <w:szCs w:val="24"/>
              </w:rPr>
              <w:t>59.46%</w:t>
            </w:r>
          </w:p>
        </w:tc>
        <w:tc>
          <w:tcPr>
            <w:tcW w:w="1373" w:type="dxa"/>
            <w:tcBorders>
              <w:top w:val="nil"/>
              <w:bottom w:val="single" w:sz="4" w:space="0" w:color="auto"/>
            </w:tcBorders>
            <w:tcMar>
              <w:top w:w="0" w:type="dxa"/>
              <w:left w:w="40" w:type="dxa"/>
              <w:bottom w:w="0" w:type="dxa"/>
              <w:right w:w="40" w:type="dxa"/>
            </w:tcMar>
            <w:vAlign w:val="bottom"/>
            <w:hideMark/>
          </w:tcPr>
          <w:p w14:paraId="26B274BA" w14:textId="77777777" w:rsidR="00B50104" w:rsidRPr="005F6CA0" w:rsidRDefault="00B50104">
            <w:pPr>
              <w:widowControl w:val="0"/>
              <w:jc w:val="right"/>
              <w:rPr>
                <w:szCs w:val="24"/>
              </w:rPr>
            </w:pPr>
            <w:r w:rsidRPr="005F6CA0">
              <w:rPr>
                <w:szCs w:val="24"/>
              </w:rPr>
              <w:t>67.76%</w:t>
            </w:r>
          </w:p>
        </w:tc>
      </w:tr>
    </w:tbl>
    <w:p w14:paraId="2F0E1A20" w14:textId="77777777" w:rsidR="00B50104" w:rsidRDefault="00B50104" w:rsidP="00B50104">
      <w:pPr>
        <w:ind w:left="720"/>
        <w:rPr>
          <w:rFonts w:ascii="Arial" w:hAnsi="Arial" w:cs="Arial"/>
          <w:sz w:val="22"/>
          <w:lang w:val="en"/>
        </w:rPr>
      </w:pPr>
    </w:p>
    <w:p w14:paraId="4B0CFD2A" w14:textId="77777777" w:rsidR="00B50104" w:rsidRDefault="00B50104" w:rsidP="00B50104">
      <w:r>
        <w:t xml:space="preserve">Overall, the results on open data are not yet comparable to those on closed ones. In fact, the agreement ranges from 58.88% of CDBLP to 67.95% of CU. The three indicators contributed in different ways to this result: while there was a substantial agreement on indicator A (articles in journals) with a percentage of about 90% for all three cases, the percentages lower to about 50% for the citations (indicator B) and 60% for the h-index (indicator C). It is also worth noticing that the results increase of about 8-9% when considering the union of CCV and CDBLP. </w:t>
      </w:r>
    </w:p>
    <w:p w14:paraId="4C590F4C" w14:textId="7331ED90" w:rsidR="00B50104" w:rsidRDefault="007F6881" w:rsidP="00B50104">
      <w:r w:rsidRPr="007F6881">
        <w:rPr>
          <w:szCs w:val="24"/>
        </w:rPr>
        <w:fldChar w:fldCharType="begin"/>
      </w:r>
      <w:r w:rsidRPr="007F6881">
        <w:rPr>
          <w:szCs w:val="24"/>
        </w:rPr>
        <w:instrText xml:space="preserve"> REF _Ref10732264 \h  \* MERGEFORMAT </w:instrText>
      </w:r>
      <w:r w:rsidRPr="007F6881">
        <w:rPr>
          <w:szCs w:val="24"/>
        </w:rPr>
      </w:r>
      <w:r w:rsidRPr="007F6881">
        <w:rPr>
          <w:szCs w:val="24"/>
        </w:rPr>
        <w:fldChar w:fldCharType="separate"/>
      </w:r>
      <w:r w:rsidR="00657860" w:rsidRPr="00657860">
        <w:rPr>
          <w:szCs w:val="24"/>
        </w:rPr>
        <w:t xml:space="preserve">Table </w:t>
      </w:r>
      <w:r w:rsidR="00657860" w:rsidRPr="00657860">
        <w:rPr>
          <w:noProof/>
          <w:szCs w:val="24"/>
        </w:rPr>
        <w:t>5</w:t>
      </w:r>
      <w:r w:rsidRPr="007F6881">
        <w:rPr>
          <w:szCs w:val="24"/>
        </w:rPr>
        <w:fldChar w:fldCharType="end"/>
      </w:r>
      <w:r>
        <w:rPr>
          <w:szCs w:val="24"/>
        </w:rPr>
        <w:t xml:space="preserve"> </w:t>
      </w:r>
      <w:r w:rsidR="00B50104">
        <w:t xml:space="preserve">shows the results for the applications as Associate Professor. The number of candidates was 757 and the overall agreement was in line with the previous scenario. In fact about 57% of the candidates got the same result in both the evaluations for CCV and DBLP while the agreement grows up to 70.94% for CU. Again, the agreement was very high for the indicator A (journal articles) and the ratio between the three indicators was quite stable. </w:t>
      </w:r>
    </w:p>
    <w:p w14:paraId="6D36B1C0" w14:textId="390C2C47" w:rsidR="00B50104" w:rsidRDefault="00B50104" w:rsidP="00B50104"/>
    <w:p w14:paraId="6E06574D" w14:textId="15930264" w:rsidR="007F6881" w:rsidRPr="007F6881" w:rsidRDefault="007F6881" w:rsidP="007F6881">
      <w:pPr>
        <w:pStyle w:val="Didascalia"/>
        <w:keepNext/>
        <w:jc w:val="center"/>
        <w:rPr>
          <w:rFonts w:ascii="Times New Roman" w:hAnsi="Times New Roman" w:cs="Times New Roman"/>
          <w:b/>
          <w:i w:val="0"/>
          <w:color w:val="auto"/>
          <w:sz w:val="22"/>
          <w:szCs w:val="22"/>
        </w:rPr>
      </w:pPr>
      <w:bookmarkStart w:id="6" w:name="_Ref10732264"/>
      <w:r w:rsidRPr="007F6881">
        <w:rPr>
          <w:rFonts w:ascii="Times New Roman" w:hAnsi="Times New Roman" w:cs="Times New Roman"/>
          <w:b/>
          <w:i w:val="0"/>
          <w:color w:val="auto"/>
          <w:sz w:val="22"/>
          <w:szCs w:val="22"/>
        </w:rPr>
        <w:t xml:space="preserve">Table </w:t>
      </w:r>
      <w:r w:rsidRPr="007F6881">
        <w:rPr>
          <w:rFonts w:ascii="Times New Roman" w:hAnsi="Times New Roman" w:cs="Times New Roman"/>
          <w:b/>
          <w:i w:val="0"/>
          <w:color w:val="auto"/>
          <w:sz w:val="22"/>
          <w:szCs w:val="22"/>
        </w:rPr>
        <w:fldChar w:fldCharType="begin"/>
      </w:r>
      <w:r w:rsidRPr="007F6881">
        <w:rPr>
          <w:rFonts w:ascii="Times New Roman" w:hAnsi="Times New Roman" w:cs="Times New Roman"/>
          <w:b/>
          <w:i w:val="0"/>
          <w:color w:val="auto"/>
          <w:sz w:val="22"/>
          <w:szCs w:val="22"/>
        </w:rPr>
        <w:instrText xml:space="preserve"> SEQ Table \* ARABIC </w:instrText>
      </w:r>
      <w:r w:rsidRPr="007F6881">
        <w:rPr>
          <w:rFonts w:ascii="Times New Roman" w:hAnsi="Times New Roman" w:cs="Times New Roman"/>
          <w:b/>
          <w:i w:val="0"/>
          <w:color w:val="auto"/>
          <w:sz w:val="22"/>
          <w:szCs w:val="22"/>
        </w:rPr>
        <w:fldChar w:fldCharType="separate"/>
      </w:r>
      <w:r w:rsidR="00657860">
        <w:rPr>
          <w:rFonts w:ascii="Times New Roman" w:hAnsi="Times New Roman" w:cs="Times New Roman"/>
          <w:b/>
          <w:i w:val="0"/>
          <w:noProof/>
          <w:color w:val="auto"/>
          <w:sz w:val="22"/>
          <w:szCs w:val="22"/>
        </w:rPr>
        <w:t>5</w:t>
      </w:r>
      <w:r w:rsidRPr="007F6881">
        <w:rPr>
          <w:rFonts w:ascii="Times New Roman" w:hAnsi="Times New Roman" w:cs="Times New Roman"/>
          <w:b/>
          <w:i w:val="0"/>
          <w:color w:val="auto"/>
          <w:sz w:val="22"/>
          <w:szCs w:val="22"/>
        </w:rPr>
        <w:fldChar w:fldCharType="end"/>
      </w:r>
      <w:bookmarkEnd w:id="6"/>
      <w:r w:rsidRPr="007F6881">
        <w:rPr>
          <w:rFonts w:ascii="Times New Roman" w:hAnsi="Times New Roman" w:cs="Times New Roman"/>
          <w:b/>
          <w:i w:val="0"/>
          <w:color w:val="auto"/>
          <w:sz w:val="22"/>
          <w:szCs w:val="22"/>
        </w:rPr>
        <w:t>. The percentage of candidates as Associate Professor who achieved the same result in our open data simulation and the official ASN, for each indicator and under each condition.</w:t>
      </w:r>
    </w:p>
    <w:tbl>
      <w:tblPr>
        <w:tblW w:w="5490" w:type="dxa"/>
        <w:jc w:val="center"/>
        <w:tblBorders>
          <w:insideH w:val="nil"/>
          <w:insideV w:val="nil"/>
        </w:tblBorders>
        <w:tblLayout w:type="fixed"/>
        <w:tblLook w:val="0600" w:firstRow="0" w:lastRow="0" w:firstColumn="0" w:lastColumn="0" w:noHBand="1" w:noVBand="1"/>
      </w:tblPr>
      <w:tblGrid>
        <w:gridCol w:w="1372"/>
        <w:gridCol w:w="1373"/>
        <w:gridCol w:w="1372"/>
        <w:gridCol w:w="1373"/>
      </w:tblGrid>
      <w:tr w:rsidR="00B50104" w14:paraId="5B625603" w14:textId="77777777" w:rsidTr="007F6881">
        <w:trPr>
          <w:trHeight w:val="300"/>
          <w:jc w:val="center"/>
        </w:trPr>
        <w:tc>
          <w:tcPr>
            <w:tcW w:w="5490" w:type="dxa"/>
            <w:gridSpan w:val="4"/>
            <w:tcBorders>
              <w:top w:val="single" w:sz="4" w:space="0" w:color="auto"/>
              <w:left w:val="nil"/>
              <w:bottom w:val="single" w:sz="4" w:space="0" w:color="auto"/>
              <w:right w:val="nil"/>
            </w:tcBorders>
            <w:tcMar>
              <w:top w:w="40" w:type="dxa"/>
              <w:left w:w="40" w:type="dxa"/>
              <w:bottom w:w="40" w:type="dxa"/>
              <w:right w:w="40" w:type="dxa"/>
            </w:tcMar>
            <w:vAlign w:val="bottom"/>
            <w:hideMark/>
          </w:tcPr>
          <w:p w14:paraId="664E0D55" w14:textId="77777777" w:rsidR="00B50104" w:rsidRPr="007F6881" w:rsidRDefault="00B50104">
            <w:pPr>
              <w:widowControl w:val="0"/>
              <w:jc w:val="center"/>
              <w:rPr>
                <w:i/>
                <w:szCs w:val="24"/>
              </w:rPr>
            </w:pPr>
            <w:r w:rsidRPr="007F6881">
              <w:rPr>
                <w:i/>
                <w:szCs w:val="24"/>
              </w:rPr>
              <w:t>Associate Professor (757 candidates)</w:t>
            </w:r>
          </w:p>
        </w:tc>
      </w:tr>
      <w:tr w:rsidR="00B50104" w14:paraId="5288D67D" w14:textId="77777777" w:rsidTr="007F6881">
        <w:trPr>
          <w:trHeight w:val="300"/>
          <w:jc w:val="center"/>
        </w:trPr>
        <w:tc>
          <w:tcPr>
            <w:tcW w:w="1372" w:type="dxa"/>
            <w:tcBorders>
              <w:top w:val="single" w:sz="4" w:space="0" w:color="auto"/>
              <w:left w:val="nil"/>
              <w:bottom w:val="single" w:sz="4" w:space="0" w:color="auto"/>
              <w:right w:val="single" w:sz="4" w:space="0" w:color="auto"/>
            </w:tcBorders>
            <w:tcMar>
              <w:top w:w="40" w:type="dxa"/>
              <w:left w:w="40" w:type="dxa"/>
              <w:bottom w:w="40" w:type="dxa"/>
              <w:right w:w="40" w:type="dxa"/>
            </w:tcMar>
            <w:vAlign w:val="bottom"/>
          </w:tcPr>
          <w:p w14:paraId="668A8CA6" w14:textId="77777777" w:rsidR="00B50104" w:rsidRPr="007F6881" w:rsidRDefault="00B50104">
            <w:pPr>
              <w:widowControl w:val="0"/>
              <w:rPr>
                <w:i/>
                <w:szCs w:val="24"/>
              </w:rPr>
            </w:pPr>
          </w:p>
        </w:tc>
        <w:tc>
          <w:tcPr>
            <w:tcW w:w="1373" w:type="dxa"/>
            <w:tcBorders>
              <w:top w:val="single" w:sz="4" w:space="0" w:color="auto"/>
              <w:left w:val="single" w:sz="4" w:space="0" w:color="auto"/>
              <w:bottom w:val="single" w:sz="4" w:space="0" w:color="auto"/>
              <w:right w:val="nil"/>
            </w:tcBorders>
            <w:tcMar>
              <w:top w:w="40" w:type="dxa"/>
              <w:left w:w="40" w:type="dxa"/>
              <w:bottom w:w="40" w:type="dxa"/>
              <w:right w:w="40" w:type="dxa"/>
            </w:tcMar>
            <w:vAlign w:val="bottom"/>
            <w:hideMark/>
          </w:tcPr>
          <w:p w14:paraId="6C42BB28" w14:textId="77777777" w:rsidR="00B50104" w:rsidRPr="007F6881" w:rsidRDefault="00B50104">
            <w:pPr>
              <w:widowControl w:val="0"/>
              <w:jc w:val="center"/>
              <w:rPr>
                <w:i/>
                <w:szCs w:val="24"/>
              </w:rPr>
            </w:pPr>
            <w:r w:rsidRPr="007F6881">
              <w:rPr>
                <w:i/>
                <w:szCs w:val="24"/>
              </w:rPr>
              <w:t>CCV</w:t>
            </w:r>
          </w:p>
        </w:tc>
        <w:tc>
          <w:tcPr>
            <w:tcW w:w="1372" w:type="dxa"/>
            <w:tcBorders>
              <w:top w:val="single" w:sz="4" w:space="0" w:color="auto"/>
              <w:left w:val="nil"/>
              <w:bottom w:val="single" w:sz="4" w:space="0" w:color="auto"/>
              <w:right w:val="nil"/>
            </w:tcBorders>
            <w:tcMar>
              <w:top w:w="40" w:type="dxa"/>
              <w:left w:w="40" w:type="dxa"/>
              <w:bottom w:w="40" w:type="dxa"/>
              <w:right w:w="40" w:type="dxa"/>
            </w:tcMar>
            <w:vAlign w:val="bottom"/>
            <w:hideMark/>
          </w:tcPr>
          <w:p w14:paraId="5712DB3A" w14:textId="77777777" w:rsidR="00B50104" w:rsidRPr="007F6881" w:rsidRDefault="00B50104">
            <w:pPr>
              <w:widowControl w:val="0"/>
              <w:jc w:val="center"/>
              <w:rPr>
                <w:i/>
                <w:szCs w:val="24"/>
              </w:rPr>
            </w:pPr>
            <w:r w:rsidRPr="007F6881">
              <w:rPr>
                <w:i/>
                <w:szCs w:val="24"/>
              </w:rPr>
              <w:t>CDBLP</w:t>
            </w:r>
          </w:p>
        </w:tc>
        <w:tc>
          <w:tcPr>
            <w:tcW w:w="1373" w:type="dxa"/>
            <w:tcBorders>
              <w:top w:val="single" w:sz="4" w:space="0" w:color="auto"/>
              <w:left w:val="nil"/>
              <w:bottom w:val="single" w:sz="4" w:space="0" w:color="auto"/>
              <w:right w:val="nil"/>
            </w:tcBorders>
            <w:tcMar>
              <w:top w:w="40" w:type="dxa"/>
              <w:left w:w="40" w:type="dxa"/>
              <w:bottom w:w="40" w:type="dxa"/>
              <w:right w:w="40" w:type="dxa"/>
            </w:tcMar>
            <w:vAlign w:val="bottom"/>
            <w:hideMark/>
          </w:tcPr>
          <w:p w14:paraId="097116EA" w14:textId="77777777" w:rsidR="00B50104" w:rsidRPr="007F6881" w:rsidRDefault="00B50104">
            <w:pPr>
              <w:widowControl w:val="0"/>
              <w:jc w:val="center"/>
              <w:rPr>
                <w:i/>
                <w:szCs w:val="24"/>
              </w:rPr>
            </w:pPr>
            <w:r w:rsidRPr="007F6881">
              <w:rPr>
                <w:i/>
                <w:szCs w:val="24"/>
              </w:rPr>
              <w:t>CU</w:t>
            </w:r>
          </w:p>
        </w:tc>
      </w:tr>
      <w:tr w:rsidR="00B50104" w14:paraId="63BAD9D2" w14:textId="77777777" w:rsidTr="007F6881">
        <w:trPr>
          <w:trHeight w:val="300"/>
          <w:jc w:val="center"/>
        </w:trPr>
        <w:tc>
          <w:tcPr>
            <w:tcW w:w="1372" w:type="dxa"/>
            <w:tcBorders>
              <w:top w:val="single" w:sz="4" w:space="0" w:color="auto"/>
              <w:left w:val="nil"/>
              <w:bottom w:val="single" w:sz="4" w:space="0" w:color="auto"/>
              <w:right w:val="single" w:sz="4" w:space="0" w:color="auto"/>
            </w:tcBorders>
            <w:tcMar>
              <w:top w:w="40" w:type="dxa"/>
              <w:left w:w="40" w:type="dxa"/>
              <w:bottom w:w="40" w:type="dxa"/>
              <w:right w:w="40" w:type="dxa"/>
            </w:tcMar>
            <w:vAlign w:val="bottom"/>
            <w:hideMark/>
          </w:tcPr>
          <w:p w14:paraId="66995E30" w14:textId="77777777" w:rsidR="00B50104" w:rsidRPr="007F6881" w:rsidRDefault="00B50104">
            <w:pPr>
              <w:widowControl w:val="0"/>
              <w:rPr>
                <w:szCs w:val="24"/>
                <w:u w:val="single"/>
              </w:rPr>
            </w:pPr>
            <w:r w:rsidRPr="007F6881">
              <w:rPr>
                <w:szCs w:val="24"/>
                <w:u w:val="single"/>
              </w:rPr>
              <w:t>Overall</w:t>
            </w:r>
          </w:p>
        </w:tc>
        <w:tc>
          <w:tcPr>
            <w:tcW w:w="1373" w:type="dxa"/>
            <w:tcBorders>
              <w:top w:val="single" w:sz="4" w:space="0" w:color="auto"/>
              <w:left w:val="single" w:sz="4" w:space="0" w:color="auto"/>
              <w:bottom w:val="nil"/>
              <w:right w:val="nil"/>
            </w:tcBorders>
            <w:tcMar>
              <w:top w:w="0" w:type="dxa"/>
              <w:left w:w="40" w:type="dxa"/>
              <w:bottom w:w="0" w:type="dxa"/>
              <w:right w:w="40" w:type="dxa"/>
            </w:tcMar>
            <w:vAlign w:val="bottom"/>
            <w:hideMark/>
          </w:tcPr>
          <w:p w14:paraId="24BF3D0B" w14:textId="77777777" w:rsidR="00B50104" w:rsidRPr="007F6881" w:rsidRDefault="00B50104">
            <w:pPr>
              <w:widowControl w:val="0"/>
              <w:jc w:val="right"/>
              <w:rPr>
                <w:szCs w:val="24"/>
              </w:rPr>
            </w:pPr>
            <w:r w:rsidRPr="007F6881">
              <w:rPr>
                <w:szCs w:val="24"/>
              </w:rPr>
              <w:t>57.60%</w:t>
            </w:r>
          </w:p>
        </w:tc>
        <w:tc>
          <w:tcPr>
            <w:tcW w:w="1372" w:type="dxa"/>
            <w:tcBorders>
              <w:top w:val="single" w:sz="4" w:space="0" w:color="auto"/>
              <w:left w:val="nil"/>
              <w:bottom w:val="nil"/>
              <w:right w:val="nil"/>
            </w:tcBorders>
            <w:tcMar>
              <w:top w:w="0" w:type="dxa"/>
              <w:left w:w="40" w:type="dxa"/>
              <w:bottom w:w="0" w:type="dxa"/>
              <w:right w:w="40" w:type="dxa"/>
            </w:tcMar>
            <w:vAlign w:val="bottom"/>
            <w:hideMark/>
          </w:tcPr>
          <w:p w14:paraId="57958E29" w14:textId="77777777" w:rsidR="00B50104" w:rsidRPr="007F6881" w:rsidRDefault="00B50104">
            <w:pPr>
              <w:widowControl w:val="0"/>
              <w:jc w:val="right"/>
              <w:rPr>
                <w:szCs w:val="24"/>
              </w:rPr>
            </w:pPr>
            <w:r w:rsidRPr="007F6881">
              <w:rPr>
                <w:szCs w:val="24"/>
              </w:rPr>
              <w:t>56.80%</w:t>
            </w:r>
          </w:p>
        </w:tc>
        <w:tc>
          <w:tcPr>
            <w:tcW w:w="1373" w:type="dxa"/>
            <w:tcBorders>
              <w:top w:val="single" w:sz="4" w:space="0" w:color="auto"/>
              <w:left w:val="nil"/>
              <w:bottom w:val="nil"/>
              <w:right w:val="nil"/>
            </w:tcBorders>
            <w:tcMar>
              <w:top w:w="0" w:type="dxa"/>
              <w:left w:w="40" w:type="dxa"/>
              <w:bottom w:w="0" w:type="dxa"/>
              <w:right w:w="40" w:type="dxa"/>
            </w:tcMar>
            <w:vAlign w:val="bottom"/>
            <w:hideMark/>
          </w:tcPr>
          <w:p w14:paraId="1F7B9975" w14:textId="77777777" w:rsidR="00B50104" w:rsidRPr="007F6881" w:rsidRDefault="00B50104">
            <w:pPr>
              <w:widowControl w:val="0"/>
              <w:jc w:val="right"/>
              <w:rPr>
                <w:szCs w:val="24"/>
              </w:rPr>
            </w:pPr>
            <w:r w:rsidRPr="007F6881">
              <w:rPr>
                <w:szCs w:val="24"/>
              </w:rPr>
              <w:t>70.94%</w:t>
            </w:r>
          </w:p>
        </w:tc>
      </w:tr>
      <w:tr w:rsidR="00B50104" w14:paraId="07849857" w14:textId="77777777" w:rsidTr="007F6881">
        <w:trPr>
          <w:trHeight w:val="300"/>
          <w:jc w:val="center"/>
        </w:trPr>
        <w:tc>
          <w:tcPr>
            <w:tcW w:w="1372" w:type="dxa"/>
            <w:tcBorders>
              <w:top w:val="single" w:sz="4" w:space="0" w:color="auto"/>
              <w:left w:val="nil"/>
              <w:bottom w:val="single" w:sz="4" w:space="0" w:color="auto"/>
              <w:right w:val="single" w:sz="4" w:space="0" w:color="auto"/>
            </w:tcBorders>
            <w:tcMar>
              <w:top w:w="40" w:type="dxa"/>
              <w:left w:w="40" w:type="dxa"/>
              <w:bottom w:w="40" w:type="dxa"/>
              <w:right w:w="40" w:type="dxa"/>
            </w:tcMar>
            <w:vAlign w:val="bottom"/>
            <w:hideMark/>
          </w:tcPr>
          <w:p w14:paraId="12432F99" w14:textId="77777777" w:rsidR="00B50104" w:rsidRPr="007F6881" w:rsidRDefault="00B50104">
            <w:pPr>
              <w:widowControl w:val="0"/>
              <w:rPr>
                <w:szCs w:val="24"/>
              </w:rPr>
            </w:pPr>
            <w:r w:rsidRPr="007F6881">
              <w:rPr>
                <w:szCs w:val="24"/>
              </w:rPr>
              <w:t>Journals</w:t>
            </w:r>
          </w:p>
        </w:tc>
        <w:tc>
          <w:tcPr>
            <w:tcW w:w="1373" w:type="dxa"/>
            <w:tcBorders>
              <w:top w:val="nil"/>
              <w:left w:val="single" w:sz="4" w:space="0" w:color="auto"/>
              <w:bottom w:val="nil"/>
              <w:right w:val="nil"/>
            </w:tcBorders>
            <w:tcMar>
              <w:top w:w="0" w:type="dxa"/>
              <w:left w:w="40" w:type="dxa"/>
              <w:bottom w:w="0" w:type="dxa"/>
              <w:right w:w="40" w:type="dxa"/>
            </w:tcMar>
            <w:vAlign w:val="bottom"/>
            <w:hideMark/>
          </w:tcPr>
          <w:p w14:paraId="3685C00C" w14:textId="77777777" w:rsidR="00B50104" w:rsidRPr="007F6881" w:rsidRDefault="00B50104">
            <w:pPr>
              <w:widowControl w:val="0"/>
              <w:jc w:val="right"/>
              <w:rPr>
                <w:szCs w:val="24"/>
              </w:rPr>
            </w:pPr>
            <w:r w:rsidRPr="007F6881">
              <w:rPr>
                <w:szCs w:val="24"/>
              </w:rPr>
              <w:t>80.58%</w:t>
            </w:r>
          </w:p>
        </w:tc>
        <w:tc>
          <w:tcPr>
            <w:tcW w:w="1372" w:type="dxa"/>
            <w:tcBorders>
              <w:top w:val="nil"/>
              <w:left w:val="nil"/>
              <w:bottom w:val="nil"/>
              <w:right w:val="nil"/>
            </w:tcBorders>
            <w:tcMar>
              <w:top w:w="0" w:type="dxa"/>
              <w:left w:w="40" w:type="dxa"/>
              <w:bottom w:w="0" w:type="dxa"/>
              <w:right w:w="40" w:type="dxa"/>
            </w:tcMar>
            <w:vAlign w:val="bottom"/>
            <w:hideMark/>
          </w:tcPr>
          <w:p w14:paraId="4425606E" w14:textId="77777777" w:rsidR="00B50104" w:rsidRPr="007F6881" w:rsidRDefault="00B50104">
            <w:pPr>
              <w:widowControl w:val="0"/>
              <w:jc w:val="right"/>
              <w:rPr>
                <w:szCs w:val="24"/>
              </w:rPr>
            </w:pPr>
            <w:r w:rsidRPr="007F6881">
              <w:rPr>
                <w:szCs w:val="24"/>
              </w:rPr>
              <w:t>79.79%</w:t>
            </w:r>
          </w:p>
        </w:tc>
        <w:tc>
          <w:tcPr>
            <w:tcW w:w="1373" w:type="dxa"/>
            <w:tcBorders>
              <w:top w:val="nil"/>
              <w:left w:val="nil"/>
              <w:bottom w:val="nil"/>
              <w:right w:val="nil"/>
            </w:tcBorders>
            <w:tcMar>
              <w:top w:w="0" w:type="dxa"/>
              <w:left w:w="40" w:type="dxa"/>
              <w:bottom w:w="0" w:type="dxa"/>
              <w:right w:w="40" w:type="dxa"/>
            </w:tcMar>
            <w:vAlign w:val="bottom"/>
            <w:hideMark/>
          </w:tcPr>
          <w:p w14:paraId="68F12E28" w14:textId="77777777" w:rsidR="00B50104" w:rsidRPr="007F6881" w:rsidRDefault="00B50104">
            <w:pPr>
              <w:widowControl w:val="0"/>
              <w:jc w:val="right"/>
              <w:rPr>
                <w:szCs w:val="24"/>
              </w:rPr>
            </w:pPr>
            <w:r w:rsidRPr="007F6881">
              <w:rPr>
                <w:szCs w:val="24"/>
              </w:rPr>
              <w:t>90.36%</w:t>
            </w:r>
          </w:p>
        </w:tc>
      </w:tr>
      <w:tr w:rsidR="00B50104" w14:paraId="2C572962" w14:textId="77777777" w:rsidTr="007F6881">
        <w:trPr>
          <w:trHeight w:val="300"/>
          <w:jc w:val="center"/>
        </w:trPr>
        <w:tc>
          <w:tcPr>
            <w:tcW w:w="1372" w:type="dxa"/>
            <w:tcBorders>
              <w:top w:val="single" w:sz="4" w:space="0" w:color="auto"/>
              <w:left w:val="nil"/>
              <w:bottom w:val="single" w:sz="4" w:space="0" w:color="auto"/>
              <w:right w:val="single" w:sz="4" w:space="0" w:color="auto"/>
            </w:tcBorders>
            <w:tcMar>
              <w:top w:w="40" w:type="dxa"/>
              <w:left w:w="40" w:type="dxa"/>
              <w:bottom w:w="40" w:type="dxa"/>
              <w:right w:w="40" w:type="dxa"/>
            </w:tcMar>
            <w:vAlign w:val="bottom"/>
            <w:hideMark/>
          </w:tcPr>
          <w:p w14:paraId="04D4F2FD" w14:textId="77777777" w:rsidR="00B50104" w:rsidRPr="007F6881" w:rsidRDefault="00B50104">
            <w:pPr>
              <w:widowControl w:val="0"/>
              <w:rPr>
                <w:szCs w:val="24"/>
              </w:rPr>
            </w:pPr>
            <w:r w:rsidRPr="007F6881">
              <w:rPr>
                <w:szCs w:val="24"/>
              </w:rPr>
              <w:t>Citations</w:t>
            </w:r>
          </w:p>
        </w:tc>
        <w:tc>
          <w:tcPr>
            <w:tcW w:w="1373" w:type="dxa"/>
            <w:tcBorders>
              <w:top w:val="nil"/>
              <w:left w:val="single" w:sz="4" w:space="0" w:color="auto"/>
              <w:bottom w:val="nil"/>
              <w:right w:val="nil"/>
            </w:tcBorders>
            <w:tcMar>
              <w:top w:w="0" w:type="dxa"/>
              <w:left w:w="40" w:type="dxa"/>
              <w:bottom w:w="0" w:type="dxa"/>
              <w:right w:w="40" w:type="dxa"/>
            </w:tcMar>
            <w:vAlign w:val="bottom"/>
            <w:hideMark/>
          </w:tcPr>
          <w:p w14:paraId="787A7BEB" w14:textId="77777777" w:rsidR="00B50104" w:rsidRPr="007F6881" w:rsidRDefault="00B50104">
            <w:pPr>
              <w:widowControl w:val="0"/>
              <w:jc w:val="right"/>
              <w:rPr>
                <w:szCs w:val="24"/>
              </w:rPr>
            </w:pPr>
            <w:r w:rsidRPr="007F6881">
              <w:rPr>
                <w:szCs w:val="24"/>
              </w:rPr>
              <w:t>49.14%</w:t>
            </w:r>
          </w:p>
        </w:tc>
        <w:tc>
          <w:tcPr>
            <w:tcW w:w="1372" w:type="dxa"/>
            <w:tcBorders>
              <w:top w:val="nil"/>
              <w:left w:val="nil"/>
              <w:bottom w:val="nil"/>
              <w:right w:val="nil"/>
            </w:tcBorders>
            <w:tcMar>
              <w:top w:w="0" w:type="dxa"/>
              <w:left w:w="40" w:type="dxa"/>
              <w:bottom w:w="0" w:type="dxa"/>
              <w:right w:w="40" w:type="dxa"/>
            </w:tcMar>
            <w:vAlign w:val="bottom"/>
            <w:hideMark/>
          </w:tcPr>
          <w:p w14:paraId="0DF0E66D" w14:textId="77777777" w:rsidR="00B50104" w:rsidRPr="007F6881" w:rsidRDefault="00B50104">
            <w:pPr>
              <w:widowControl w:val="0"/>
              <w:jc w:val="right"/>
              <w:rPr>
                <w:szCs w:val="24"/>
              </w:rPr>
            </w:pPr>
            <w:r w:rsidRPr="007F6881">
              <w:rPr>
                <w:szCs w:val="24"/>
              </w:rPr>
              <w:t>48.75%</w:t>
            </w:r>
          </w:p>
        </w:tc>
        <w:tc>
          <w:tcPr>
            <w:tcW w:w="1373" w:type="dxa"/>
            <w:tcBorders>
              <w:top w:val="nil"/>
              <w:left w:val="nil"/>
              <w:bottom w:val="nil"/>
              <w:right w:val="nil"/>
            </w:tcBorders>
            <w:tcMar>
              <w:top w:w="0" w:type="dxa"/>
              <w:left w:w="40" w:type="dxa"/>
              <w:bottom w:w="0" w:type="dxa"/>
              <w:right w:w="40" w:type="dxa"/>
            </w:tcMar>
            <w:vAlign w:val="bottom"/>
            <w:hideMark/>
          </w:tcPr>
          <w:p w14:paraId="6DC4A768" w14:textId="77777777" w:rsidR="00B50104" w:rsidRPr="007F6881" w:rsidRDefault="00B50104">
            <w:pPr>
              <w:widowControl w:val="0"/>
              <w:jc w:val="right"/>
              <w:rPr>
                <w:szCs w:val="24"/>
              </w:rPr>
            </w:pPr>
            <w:r w:rsidRPr="007F6881">
              <w:rPr>
                <w:szCs w:val="24"/>
              </w:rPr>
              <w:t>60.24%</w:t>
            </w:r>
          </w:p>
        </w:tc>
      </w:tr>
      <w:tr w:rsidR="00B50104" w14:paraId="0F4FDAC7" w14:textId="77777777" w:rsidTr="007F6881">
        <w:trPr>
          <w:trHeight w:val="300"/>
          <w:jc w:val="center"/>
        </w:trPr>
        <w:tc>
          <w:tcPr>
            <w:tcW w:w="1372" w:type="dxa"/>
            <w:tcBorders>
              <w:top w:val="single" w:sz="4" w:space="0" w:color="auto"/>
              <w:left w:val="nil"/>
              <w:bottom w:val="single" w:sz="4" w:space="0" w:color="auto"/>
              <w:right w:val="single" w:sz="4" w:space="0" w:color="auto"/>
            </w:tcBorders>
            <w:tcMar>
              <w:top w:w="40" w:type="dxa"/>
              <w:left w:w="40" w:type="dxa"/>
              <w:bottom w:w="40" w:type="dxa"/>
              <w:right w:w="40" w:type="dxa"/>
            </w:tcMar>
            <w:vAlign w:val="bottom"/>
            <w:hideMark/>
          </w:tcPr>
          <w:p w14:paraId="26DB5DF5" w14:textId="77777777" w:rsidR="00B50104" w:rsidRPr="007F6881" w:rsidRDefault="00B50104">
            <w:pPr>
              <w:widowControl w:val="0"/>
              <w:rPr>
                <w:szCs w:val="24"/>
              </w:rPr>
            </w:pPr>
            <w:r w:rsidRPr="007F6881">
              <w:rPr>
                <w:szCs w:val="24"/>
              </w:rPr>
              <w:t>h-index</w:t>
            </w:r>
          </w:p>
        </w:tc>
        <w:tc>
          <w:tcPr>
            <w:tcW w:w="1373" w:type="dxa"/>
            <w:tcBorders>
              <w:top w:val="nil"/>
              <w:left w:val="single" w:sz="4" w:space="0" w:color="auto"/>
              <w:bottom w:val="single" w:sz="4" w:space="0" w:color="auto"/>
              <w:right w:val="nil"/>
            </w:tcBorders>
            <w:tcMar>
              <w:top w:w="0" w:type="dxa"/>
              <w:left w:w="40" w:type="dxa"/>
              <w:bottom w:w="0" w:type="dxa"/>
              <w:right w:w="40" w:type="dxa"/>
            </w:tcMar>
            <w:vAlign w:val="bottom"/>
            <w:hideMark/>
          </w:tcPr>
          <w:p w14:paraId="48B0532D" w14:textId="77777777" w:rsidR="00B50104" w:rsidRPr="007F6881" w:rsidRDefault="00B50104">
            <w:pPr>
              <w:widowControl w:val="0"/>
              <w:jc w:val="right"/>
              <w:rPr>
                <w:szCs w:val="24"/>
              </w:rPr>
            </w:pPr>
            <w:r w:rsidRPr="007F6881">
              <w:rPr>
                <w:szCs w:val="24"/>
              </w:rPr>
              <w:t>62.35%</w:t>
            </w:r>
          </w:p>
        </w:tc>
        <w:tc>
          <w:tcPr>
            <w:tcW w:w="1372" w:type="dxa"/>
            <w:tcBorders>
              <w:top w:val="nil"/>
              <w:left w:val="nil"/>
              <w:bottom w:val="single" w:sz="4" w:space="0" w:color="auto"/>
              <w:right w:val="nil"/>
            </w:tcBorders>
            <w:tcMar>
              <w:top w:w="0" w:type="dxa"/>
              <w:left w:w="40" w:type="dxa"/>
              <w:bottom w:w="0" w:type="dxa"/>
              <w:right w:w="40" w:type="dxa"/>
            </w:tcMar>
            <w:vAlign w:val="bottom"/>
            <w:hideMark/>
          </w:tcPr>
          <w:p w14:paraId="2F73B0A7" w14:textId="77777777" w:rsidR="00B50104" w:rsidRPr="007F6881" w:rsidRDefault="00B50104">
            <w:pPr>
              <w:widowControl w:val="0"/>
              <w:jc w:val="right"/>
              <w:rPr>
                <w:szCs w:val="24"/>
              </w:rPr>
            </w:pPr>
            <w:r w:rsidRPr="007F6881">
              <w:rPr>
                <w:szCs w:val="24"/>
              </w:rPr>
              <w:t>61.56%</w:t>
            </w:r>
          </w:p>
        </w:tc>
        <w:tc>
          <w:tcPr>
            <w:tcW w:w="1373" w:type="dxa"/>
            <w:tcBorders>
              <w:top w:val="nil"/>
              <w:left w:val="nil"/>
              <w:bottom w:val="single" w:sz="4" w:space="0" w:color="auto"/>
              <w:right w:val="nil"/>
            </w:tcBorders>
            <w:tcMar>
              <w:top w:w="0" w:type="dxa"/>
              <w:left w:w="40" w:type="dxa"/>
              <w:bottom w:w="0" w:type="dxa"/>
              <w:right w:w="40" w:type="dxa"/>
            </w:tcMar>
            <w:vAlign w:val="bottom"/>
            <w:hideMark/>
          </w:tcPr>
          <w:p w14:paraId="044CBF34" w14:textId="77777777" w:rsidR="00B50104" w:rsidRPr="007F6881" w:rsidRDefault="00B50104">
            <w:pPr>
              <w:widowControl w:val="0"/>
              <w:jc w:val="right"/>
              <w:rPr>
                <w:szCs w:val="24"/>
              </w:rPr>
            </w:pPr>
            <w:r w:rsidRPr="007F6881">
              <w:rPr>
                <w:szCs w:val="24"/>
              </w:rPr>
              <w:t>73.98%</w:t>
            </w:r>
          </w:p>
        </w:tc>
      </w:tr>
    </w:tbl>
    <w:p w14:paraId="0588B034" w14:textId="77777777" w:rsidR="00B50104" w:rsidRDefault="00B50104" w:rsidP="00B50104">
      <w:pPr>
        <w:rPr>
          <w:rFonts w:ascii="Arial" w:hAnsi="Arial" w:cs="Arial"/>
          <w:sz w:val="22"/>
          <w:lang w:val="en"/>
        </w:rPr>
      </w:pPr>
    </w:p>
    <w:p w14:paraId="67DC7F4C" w14:textId="77777777" w:rsidR="00B50104" w:rsidRDefault="00B50104" w:rsidP="00B50104">
      <w:r>
        <w:t xml:space="preserve">As expected, the overall trend was that candidates get worse results when only considering open citation data, since the amount of these data was still limited when compared with closed citation data. We also asked ourselves if there are instead candidates whose results improved if the ASN had used open data. It might also happen in fact that DBLP data (i.e. the DOIs it contains) are richer than the corresponding in Scopus and Web of Science, so that some indicators could differ. </w:t>
      </w:r>
    </w:p>
    <w:p w14:paraId="110C8099" w14:textId="14D87B91" w:rsidR="00B50104" w:rsidRDefault="00B50104" w:rsidP="00B50104">
      <w:r>
        <w:lastRenderedPageBreak/>
        <w:t xml:space="preserve">To study such aspect we measured the percentage of candidates that exceeded the thresholds with open data but not with the closed ones (and vice versa). We also computed these variations for all indicators and the overall score. Results are summarized in </w:t>
      </w:r>
      <w:r w:rsidR="00DD6DAC" w:rsidRPr="00DD6DAC">
        <w:rPr>
          <w:szCs w:val="24"/>
        </w:rPr>
        <w:fldChar w:fldCharType="begin"/>
      </w:r>
      <w:r w:rsidR="00DD6DAC" w:rsidRPr="00DD6DAC">
        <w:rPr>
          <w:szCs w:val="24"/>
        </w:rPr>
        <w:instrText xml:space="preserve"> REF _Ref10732730 \h  \* MERGEFORMAT </w:instrText>
      </w:r>
      <w:r w:rsidR="00DD6DAC" w:rsidRPr="00DD6DAC">
        <w:rPr>
          <w:szCs w:val="24"/>
        </w:rPr>
      </w:r>
      <w:r w:rsidR="00DD6DAC" w:rsidRPr="00DD6DAC">
        <w:rPr>
          <w:szCs w:val="24"/>
        </w:rPr>
        <w:fldChar w:fldCharType="separate"/>
      </w:r>
      <w:r w:rsidR="00657860" w:rsidRPr="00657860">
        <w:rPr>
          <w:szCs w:val="24"/>
        </w:rPr>
        <w:t xml:space="preserve">Table </w:t>
      </w:r>
      <w:r w:rsidR="00657860" w:rsidRPr="00657860">
        <w:rPr>
          <w:noProof/>
          <w:szCs w:val="24"/>
        </w:rPr>
        <w:t>6</w:t>
      </w:r>
      <w:r w:rsidR="00DD6DAC" w:rsidRPr="00DD6DAC">
        <w:rPr>
          <w:szCs w:val="24"/>
        </w:rPr>
        <w:fldChar w:fldCharType="end"/>
      </w:r>
      <w:r>
        <w:t xml:space="preserve">, under the three </w:t>
      </w:r>
      <w:proofErr w:type="gramStart"/>
      <w:r>
        <w:t>conditions  CCV</w:t>
      </w:r>
      <w:proofErr w:type="gramEnd"/>
      <w:r>
        <w:t>, CDBLP and CU.</w:t>
      </w:r>
    </w:p>
    <w:p w14:paraId="27AE15F8" w14:textId="77777777" w:rsidR="00B50104" w:rsidRDefault="00B50104" w:rsidP="00B50104"/>
    <w:p w14:paraId="179A7847" w14:textId="23668EB2" w:rsidR="007F6881" w:rsidRPr="007F6881" w:rsidRDefault="007F6881" w:rsidP="007F6881">
      <w:pPr>
        <w:pStyle w:val="Didascalia"/>
        <w:keepNext/>
        <w:jc w:val="center"/>
        <w:rPr>
          <w:rFonts w:ascii="Times New Roman" w:hAnsi="Times New Roman" w:cs="Times New Roman"/>
          <w:b/>
          <w:i w:val="0"/>
          <w:color w:val="auto"/>
          <w:sz w:val="22"/>
          <w:szCs w:val="22"/>
        </w:rPr>
      </w:pPr>
      <w:bookmarkStart w:id="7" w:name="_Ref10732730"/>
      <w:r w:rsidRPr="007F6881">
        <w:rPr>
          <w:rFonts w:ascii="Times New Roman" w:hAnsi="Times New Roman" w:cs="Times New Roman"/>
          <w:b/>
          <w:i w:val="0"/>
          <w:color w:val="auto"/>
          <w:sz w:val="22"/>
          <w:szCs w:val="22"/>
        </w:rPr>
        <w:t xml:space="preserve">Table </w:t>
      </w:r>
      <w:r w:rsidRPr="007F6881">
        <w:rPr>
          <w:rFonts w:ascii="Times New Roman" w:hAnsi="Times New Roman" w:cs="Times New Roman"/>
          <w:b/>
          <w:i w:val="0"/>
          <w:color w:val="auto"/>
          <w:sz w:val="22"/>
          <w:szCs w:val="22"/>
        </w:rPr>
        <w:fldChar w:fldCharType="begin"/>
      </w:r>
      <w:r w:rsidRPr="007F6881">
        <w:rPr>
          <w:rFonts w:ascii="Times New Roman" w:hAnsi="Times New Roman" w:cs="Times New Roman"/>
          <w:b/>
          <w:i w:val="0"/>
          <w:color w:val="auto"/>
          <w:sz w:val="22"/>
          <w:szCs w:val="22"/>
        </w:rPr>
        <w:instrText xml:space="preserve"> SEQ Table \* ARABIC </w:instrText>
      </w:r>
      <w:r w:rsidRPr="007F6881">
        <w:rPr>
          <w:rFonts w:ascii="Times New Roman" w:hAnsi="Times New Roman" w:cs="Times New Roman"/>
          <w:b/>
          <w:i w:val="0"/>
          <w:color w:val="auto"/>
          <w:sz w:val="22"/>
          <w:szCs w:val="22"/>
        </w:rPr>
        <w:fldChar w:fldCharType="separate"/>
      </w:r>
      <w:r w:rsidR="00657860">
        <w:rPr>
          <w:rFonts w:ascii="Times New Roman" w:hAnsi="Times New Roman" w:cs="Times New Roman"/>
          <w:b/>
          <w:i w:val="0"/>
          <w:noProof/>
          <w:color w:val="auto"/>
          <w:sz w:val="22"/>
          <w:szCs w:val="22"/>
        </w:rPr>
        <w:t>6</w:t>
      </w:r>
      <w:r w:rsidRPr="007F6881">
        <w:rPr>
          <w:rFonts w:ascii="Times New Roman" w:hAnsi="Times New Roman" w:cs="Times New Roman"/>
          <w:b/>
          <w:i w:val="0"/>
          <w:color w:val="auto"/>
          <w:sz w:val="22"/>
          <w:szCs w:val="22"/>
        </w:rPr>
        <w:fldChar w:fldCharType="end"/>
      </w:r>
      <w:bookmarkEnd w:id="7"/>
      <w:r w:rsidRPr="007F6881">
        <w:rPr>
          <w:rFonts w:ascii="Times New Roman" w:hAnsi="Times New Roman" w:cs="Times New Roman"/>
          <w:b/>
          <w:i w:val="0"/>
          <w:color w:val="auto"/>
          <w:sz w:val="22"/>
          <w:szCs w:val="22"/>
        </w:rPr>
        <w:t>. The percentage of candidates who exceeded the thresholds with open data but not with the closed ones (column ‘+’) or vice versa (column ‘-’). The results are shown for all conditions CCV, CDBLP and CU. The table is split in two mirror-like parts, for c</w:t>
      </w:r>
    </w:p>
    <w:tbl>
      <w:tblPr>
        <w:tblW w:w="5000" w:type="pct"/>
        <w:tblBorders>
          <w:insideH w:val="nil"/>
          <w:insideV w:val="nil"/>
        </w:tblBorders>
        <w:tblLook w:val="0600" w:firstRow="0" w:lastRow="0" w:firstColumn="0" w:lastColumn="0" w:noHBand="1" w:noVBand="1"/>
      </w:tblPr>
      <w:tblGrid>
        <w:gridCol w:w="1306"/>
        <w:gridCol w:w="1306"/>
        <w:gridCol w:w="1309"/>
        <w:gridCol w:w="1307"/>
        <w:gridCol w:w="1309"/>
        <w:gridCol w:w="1307"/>
        <w:gridCol w:w="1307"/>
      </w:tblGrid>
      <w:tr w:rsidR="00B50104" w14:paraId="60DC8C04" w14:textId="77777777" w:rsidTr="007F6881">
        <w:trPr>
          <w:trHeight w:val="300"/>
        </w:trPr>
        <w:tc>
          <w:tcPr>
            <w:tcW w:w="714" w:type="pct"/>
            <w:tcBorders>
              <w:top w:val="single" w:sz="4" w:space="0" w:color="auto"/>
              <w:left w:val="single" w:sz="6" w:space="0" w:color="CCCCCC"/>
              <w:bottom w:val="single" w:sz="4" w:space="0" w:color="auto"/>
              <w:right w:val="single" w:sz="4" w:space="0" w:color="auto"/>
            </w:tcBorders>
            <w:tcMar>
              <w:top w:w="0" w:type="dxa"/>
              <w:left w:w="40" w:type="dxa"/>
              <w:bottom w:w="0" w:type="dxa"/>
              <w:right w:w="40" w:type="dxa"/>
            </w:tcMar>
            <w:vAlign w:val="bottom"/>
          </w:tcPr>
          <w:p w14:paraId="31A63AE3" w14:textId="77777777" w:rsidR="00B50104" w:rsidRPr="007F6881" w:rsidRDefault="00B50104">
            <w:pPr>
              <w:widowControl w:val="0"/>
              <w:rPr>
                <w:szCs w:val="24"/>
              </w:rPr>
            </w:pPr>
          </w:p>
        </w:tc>
        <w:tc>
          <w:tcPr>
            <w:tcW w:w="1429" w:type="pct"/>
            <w:gridSpan w:val="2"/>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hideMark/>
          </w:tcPr>
          <w:p w14:paraId="512DD255" w14:textId="77777777" w:rsidR="00B50104" w:rsidRPr="007F6881" w:rsidRDefault="00B50104">
            <w:pPr>
              <w:widowControl w:val="0"/>
              <w:jc w:val="center"/>
              <w:rPr>
                <w:i/>
                <w:szCs w:val="24"/>
              </w:rPr>
            </w:pPr>
            <w:r w:rsidRPr="007F6881">
              <w:rPr>
                <w:i/>
                <w:szCs w:val="24"/>
              </w:rPr>
              <w:t>CCV</w:t>
            </w:r>
          </w:p>
        </w:tc>
        <w:tc>
          <w:tcPr>
            <w:tcW w:w="1429" w:type="pct"/>
            <w:gridSpan w:val="2"/>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hideMark/>
          </w:tcPr>
          <w:p w14:paraId="65EAE5BC" w14:textId="77777777" w:rsidR="00B50104" w:rsidRPr="007F6881" w:rsidRDefault="00B50104">
            <w:pPr>
              <w:widowControl w:val="0"/>
              <w:jc w:val="center"/>
              <w:rPr>
                <w:i/>
                <w:szCs w:val="24"/>
              </w:rPr>
            </w:pPr>
            <w:r w:rsidRPr="007F6881">
              <w:rPr>
                <w:i/>
                <w:szCs w:val="24"/>
              </w:rPr>
              <w:t>CDBLP</w:t>
            </w:r>
          </w:p>
        </w:tc>
        <w:tc>
          <w:tcPr>
            <w:tcW w:w="1429" w:type="pct"/>
            <w:gridSpan w:val="2"/>
            <w:tcBorders>
              <w:top w:val="single" w:sz="4" w:space="0" w:color="auto"/>
              <w:left w:val="single" w:sz="4" w:space="0" w:color="auto"/>
              <w:bottom w:val="single" w:sz="4" w:space="0" w:color="auto"/>
              <w:right w:val="single" w:sz="6" w:space="0" w:color="CCCCCC"/>
            </w:tcBorders>
            <w:tcMar>
              <w:top w:w="0" w:type="dxa"/>
              <w:left w:w="40" w:type="dxa"/>
              <w:bottom w:w="0" w:type="dxa"/>
              <w:right w:w="40" w:type="dxa"/>
            </w:tcMar>
            <w:vAlign w:val="bottom"/>
            <w:hideMark/>
          </w:tcPr>
          <w:p w14:paraId="7F7C5BD9" w14:textId="77777777" w:rsidR="00B50104" w:rsidRPr="007F6881" w:rsidRDefault="00B50104">
            <w:pPr>
              <w:widowControl w:val="0"/>
              <w:jc w:val="center"/>
              <w:rPr>
                <w:i/>
                <w:szCs w:val="24"/>
              </w:rPr>
            </w:pPr>
            <w:r w:rsidRPr="007F6881">
              <w:rPr>
                <w:i/>
                <w:szCs w:val="24"/>
              </w:rPr>
              <w:t>CU</w:t>
            </w:r>
          </w:p>
        </w:tc>
      </w:tr>
      <w:tr w:rsidR="00B50104" w14:paraId="54F869CA" w14:textId="77777777" w:rsidTr="007F6881">
        <w:trPr>
          <w:trHeight w:val="300"/>
        </w:trPr>
        <w:tc>
          <w:tcPr>
            <w:tcW w:w="714" w:type="pct"/>
            <w:tcBorders>
              <w:top w:val="single" w:sz="4" w:space="0" w:color="auto"/>
              <w:left w:val="single" w:sz="6" w:space="0" w:color="CCCCCC"/>
              <w:bottom w:val="single" w:sz="4" w:space="0" w:color="auto"/>
              <w:right w:val="single" w:sz="4" w:space="0" w:color="auto"/>
            </w:tcBorders>
            <w:tcMar>
              <w:top w:w="0" w:type="dxa"/>
              <w:left w:w="40" w:type="dxa"/>
              <w:bottom w:w="0" w:type="dxa"/>
              <w:right w:w="40" w:type="dxa"/>
            </w:tcMar>
            <w:vAlign w:val="bottom"/>
          </w:tcPr>
          <w:p w14:paraId="07F45CC8" w14:textId="77777777" w:rsidR="00B50104" w:rsidRPr="007F6881" w:rsidRDefault="00B50104">
            <w:pPr>
              <w:widowControl w:val="0"/>
              <w:rPr>
                <w:szCs w:val="24"/>
              </w:rPr>
            </w:pPr>
          </w:p>
        </w:tc>
        <w:tc>
          <w:tcPr>
            <w:tcW w:w="714" w:type="pct"/>
            <w:tcBorders>
              <w:top w:val="single" w:sz="4" w:space="0" w:color="auto"/>
              <w:left w:val="single" w:sz="4" w:space="0" w:color="auto"/>
              <w:bottom w:val="single" w:sz="4" w:space="0" w:color="auto"/>
              <w:right w:val="single" w:sz="6" w:space="0" w:color="CCCCCC"/>
            </w:tcBorders>
            <w:tcMar>
              <w:top w:w="0" w:type="dxa"/>
              <w:left w:w="40" w:type="dxa"/>
              <w:bottom w:w="0" w:type="dxa"/>
              <w:right w:w="40" w:type="dxa"/>
            </w:tcMar>
            <w:vAlign w:val="bottom"/>
            <w:hideMark/>
          </w:tcPr>
          <w:p w14:paraId="44982AA4" w14:textId="77777777" w:rsidR="00B50104" w:rsidRPr="007F6881" w:rsidRDefault="00B50104">
            <w:pPr>
              <w:widowControl w:val="0"/>
              <w:rPr>
                <w:b/>
                <w:szCs w:val="24"/>
              </w:rPr>
            </w:pPr>
            <w:r w:rsidRPr="007F6881">
              <w:rPr>
                <w:b/>
                <w:szCs w:val="24"/>
              </w:rPr>
              <w:t>+</w:t>
            </w:r>
          </w:p>
        </w:tc>
        <w:tc>
          <w:tcPr>
            <w:tcW w:w="714" w:type="pct"/>
            <w:tcBorders>
              <w:top w:val="single" w:sz="4" w:space="0" w:color="auto"/>
              <w:left w:val="single" w:sz="6" w:space="0" w:color="CCCCCC"/>
              <w:bottom w:val="single" w:sz="4" w:space="0" w:color="auto"/>
              <w:right w:val="single" w:sz="4" w:space="0" w:color="auto"/>
            </w:tcBorders>
            <w:tcMar>
              <w:top w:w="0" w:type="dxa"/>
              <w:left w:w="40" w:type="dxa"/>
              <w:bottom w:w="0" w:type="dxa"/>
              <w:right w:w="40" w:type="dxa"/>
            </w:tcMar>
            <w:vAlign w:val="bottom"/>
            <w:hideMark/>
          </w:tcPr>
          <w:p w14:paraId="1CA8A215" w14:textId="77777777" w:rsidR="00B50104" w:rsidRPr="007F6881" w:rsidRDefault="00B50104">
            <w:pPr>
              <w:widowControl w:val="0"/>
              <w:rPr>
                <w:b/>
                <w:szCs w:val="24"/>
              </w:rPr>
            </w:pPr>
            <w:r w:rsidRPr="007F6881">
              <w:rPr>
                <w:b/>
                <w:szCs w:val="24"/>
              </w:rPr>
              <w:t>-</w:t>
            </w:r>
          </w:p>
        </w:tc>
        <w:tc>
          <w:tcPr>
            <w:tcW w:w="714" w:type="pct"/>
            <w:tcBorders>
              <w:top w:val="single" w:sz="4" w:space="0" w:color="auto"/>
              <w:left w:val="single" w:sz="4" w:space="0" w:color="auto"/>
              <w:bottom w:val="single" w:sz="4" w:space="0" w:color="auto"/>
              <w:right w:val="single" w:sz="6" w:space="0" w:color="CCCCCC"/>
            </w:tcBorders>
            <w:tcMar>
              <w:top w:w="0" w:type="dxa"/>
              <w:left w:w="40" w:type="dxa"/>
              <w:bottom w:w="0" w:type="dxa"/>
              <w:right w:w="40" w:type="dxa"/>
            </w:tcMar>
            <w:vAlign w:val="bottom"/>
            <w:hideMark/>
          </w:tcPr>
          <w:p w14:paraId="0C5EC491" w14:textId="77777777" w:rsidR="00B50104" w:rsidRPr="007F6881" w:rsidRDefault="00B50104">
            <w:pPr>
              <w:widowControl w:val="0"/>
              <w:rPr>
                <w:b/>
                <w:szCs w:val="24"/>
              </w:rPr>
            </w:pPr>
            <w:r w:rsidRPr="007F6881">
              <w:rPr>
                <w:b/>
                <w:szCs w:val="24"/>
              </w:rPr>
              <w:t>+</w:t>
            </w:r>
          </w:p>
        </w:tc>
        <w:tc>
          <w:tcPr>
            <w:tcW w:w="714" w:type="pct"/>
            <w:tcBorders>
              <w:top w:val="single" w:sz="4" w:space="0" w:color="auto"/>
              <w:left w:val="single" w:sz="6" w:space="0" w:color="CCCCCC"/>
              <w:bottom w:val="single" w:sz="4" w:space="0" w:color="auto"/>
              <w:right w:val="single" w:sz="4" w:space="0" w:color="auto"/>
            </w:tcBorders>
            <w:tcMar>
              <w:top w:w="0" w:type="dxa"/>
              <w:left w:w="40" w:type="dxa"/>
              <w:bottom w:w="0" w:type="dxa"/>
              <w:right w:w="40" w:type="dxa"/>
            </w:tcMar>
            <w:vAlign w:val="bottom"/>
            <w:hideMark/>
          </w:tcPr>
          <w:p w14:paraId="2AA7A659" w14:textId="77777777" w:rsidR="00B50104" w:rsidRPr="007F6881" w:rsidRDefault="00B50104">
            <w:pPr>
              <w:widowControl w:val="0"/>
              <w:rPr>
                <w:b/>
                <w:szCs w:val="24"/>
              </w:rPr>
            </w:pPr>
            <w:r w:rsidRPr="007F6881">
              <w:rPr>
                <w:b/>
                <w:szCs w:val="24"/>
              </w:rPr>
              <w:t>-</w:t>
            </w:r>
          </w:p>
        </w:tc>
        <w:tc>
          <w:tcPr>
            <w:tcW w:w="714" w:type="pct"/>
            <w:tcBorders>
              <w:top w:val="single" w:sz="4" w:space="0" w:color="auto"/>
              <w:left w:val="single" w:sz="4" w:space="0" w:color="auto"/>
              <w:bottom w:val="single" w:sz="4" w:space="0" w:color="auto"/>
              <w:right w:val="single" w:sz="6" w:space="0" w:color="CCCCCC"/>
            </w:tcBorders>
            <w:tcMar>
              <w:top w:w="0" w:type="dxa"/>
              <w:left w:w="40" w:type="dxa"/>
              <w:bottom w:w="0" w:type="dxa"/>
              <w:right w:w="40" w:type="dxa"/>
            </w:tcMar>
            <w:vAlign w:val="bottom"/>
            <w:hideMark/>
          </w:tcPr>
          <w:p w14:paraId="7CA57C98" w14:textId="77777777" w:rsidR="00B50104" w:rsidRPr="007F6881" w:rsidRDefault="00B50104">
            <w:pPr>
              <w:widowControl w:val="0"/>
              <w:rPr>
                <w:b/>
                <w:szCs w:val="24"/>
              </w:rPr>
            </w:pPr>
            <w:r w:rsidRPr="007F6881">
              <w:rPr>
                <w:b/>
                <w:szCs w:val="24"/>
              </w:rPr>
              <w:t>+</w:t>
            </w:r>
          </w:p>
        </w:tc>
        <w:tc>
          <w:tcPr>
            <w:tcW w:w="714" w:type="pct"/>
            <w:tcBorders>
              <w:top w:val="single" w:sz="4" w:space="0" w:color="auto"/>
              <w:left w:val="single" w:sz="6" w:space="0" w:color="CCCCCC"/>
              <w:bottom w:val="single" w:sz="4" w:space="0" w:color="auto"/>
              <w:right w:val="single" w:sz="6" w:space="0" w:color="CCCCCC"/>
            </w:tcBorders>
            <w:tcMar>
              <w:top w:w="0" w:type="dxa"/>
              <w:left w:w="40" w:type="dxa"/>
              <w:bottom w:w="0" w:type="dxa"/>
              <w:right w:w="40" w:type="dxa"/>
            </w:tcMar>
            <w:vAlign w:val="bottom"/>
            <w:hideMark/>
          </w:tcPr>
          <w:p w14:paraId="73A9D25F" w14:textId="77777777" w:rsidR="00B50104" w:rsidRPr="007F6881" w:rsidRDefault="00B50104">
            <w:pPr>
              <w:widowControl w:val="0"/>
              <w:rPr>
                <w:b/>
                <w:szCs w:val="24"/>
              </w:rPr>
            </w:pPr>
            <w:r w:rsidRPr="007F6881">
              <w:rPr>
                <w:b/>
                <w:szCs w:val="24"/>
              </w:rPr>
              <w:t>-</w:t>
            </w:r>
          </w:p>
        </w:tc>
      </w:tr>
      <w:tr w:rsidR="00B50104" w14:paraId="3A5150CC" w14:textId="77777777" w:rsidTr="007F6881">
        <w:trPr>
          <w:trHeight w:val="300"/>
        </w:trPr>
        <w:tc>
          <w:tcPr>
            <w:tcW w:w="714" w:type="pct"/>
            <w:tcBorders>
              <w:top w:val="single" w:sz="4" w:space="0" w:color="auto"/>
              <w:left w:val="single" w:sz="6" w:space="0" w:color="CCCCCC"/>
              <w:bottom w:val="single" w:sz="4" w:space="0" w:color="auto"/>
              <w:right w:val="single" w:sz="4" w:space="0" w:color="auto"/>
            </w:tcBorders>
            <w:tcMar>
              <w:top w:w="0" w:type="dxa"/>
              <w:left w:w="40" w:type="dxa"/>
              <w:bottom w:w="0" w:type="dxa"/>
              <w:right w:w="40" w:type="dxa"/>
            </w:tcMar>
            <w:vAlign w:val="bottom"/>
          </w:tcPr>
          <w:p w14:paraId="58FF5E25" w14:textId="77777777" w:rsidR="00B50104" w:rsidRPr="007F6881" w:rsidRDefault="00B50104">
            <w:pPr>
              <w:widowControl w:val="0"/>
              <w:rPr>
                <w:szCs w:val="24"/>
              </w:rPr>
            </w:pPr>
          </w:p>
        </w:tc>
        <w:tc>
          <w:tcPr>
            <w:tcW w:w="4286" w:type="pct"/>
            <w:gridSpan w:val="6"/>
            <w:tcBorders>
              <w:top w:val="single" w:sz="4" w:space="0" w:color="auto"/>
              <w:left w:val="single" w:sz="4" w:space="0" w:color="auto"/>
              <w:bottom w:val="single" w:sz="4" w:space="0" w:color="auto"/>
              <w:right w:val="single" w:sz="6" w:space="0" w:color="CCCCCC"/>
            </w:tcBorders>
            <w:tcMar>
              <w:top w:w="0" w:type="dxa"/>
              <w:left w:w="40" w:type="dxa"/>
              <w:bottom w:w="0" w:type="dxa"/>
              <w:right w:w="40" w:type="dxa"/>
            </w:tcMar>
            <w:vAlign w:val="bottom"/>
            <w:hideMark/>
          </w:tcPr>
          <w:p w14:paraId="57CBA3A2" w14:textId="77777777" w:rsidR="00B50104" w:rsidRPr="007F6881" w:rsidRDefault="00B50104">
            <w:pPr>
              <w:widowControl w:val="0"/>
              <w:jc w:val="center"/>
              <w:rPr>
                <w:i/>
                <w:szCs w:val="24"/>
              </w:rPr>
            </w:pPr>
            <w:r w:rsidRPr="007F6881">
              <w:rPr>
                <w:i/>
                <w:szCs w:val="24"/>
              </w:rPr>
              <w:t>Full Professor</w:t>
            </w:r>
          </w:p>
        </w:tc>
      </w:tr>
      <w:tr w:rsidR="00B50104" w14:paraId="43E3811F" w14:textId="77777777" w:rsidTr="007F6881">
        <w:trPr>
          <w:trHeight w:val="300"/>
        </w:trPr>
        <w:tc>
          <w:tcPr>
            <w:tcW w:w="714" w:type="pct"/>
            <w:tcBorders>
              <w:top w:val="single" w:sz="4" w:space="0" w:color="auto"/>
              <w:left w:val="single" w:sz="6" w:space="0" w:color="CCCCCC"/>
              <w:bottom w:val="single" w:sz="6" w:space="0" w:color="CCCCCC"/>
              <w:right w:val="single" w:sz="4" w:space="0" w:color="auto"/>
            </w:tcBorders>
            <w:tcMar>
              <w:top w:w="0" w:type="dxa"/>
              <w:left w:w="40" w:type="dxa"/>
              <w:bottom w:w="0" w:type="dxa"/>
              <w:right w:w="40" w:type="dxa"/>
            </w:tcMar>
            <w:vAlign w:val="bottom"/>
            <w:hideMark/>
          </w:tcPr>
          <w:p w14:paraId="5C957EDF" w14:textId="77777777" w:rsidR="00B50104" w:rsidRPr="007F6881" w:rsidRDefault="00B50104">
            <w:pPr>
              <w:widowControl w:val="0"/>
              <w:rPr>
                <w:szCs w:val="24"/>
              </w:rPr>
            </w:pPr>
            <w:r w:rsidRPr="007F6881">
              <w:rPr>
                <w:szCs w:val="24"/>
              </w:rPr>
              <w:t>overall</w:t>
            </w:r>
          </w:p>
        </w:tc>
        <w:tc>
          <w:tcPr>
            <w:tcW w:w="714" w:type="pct"/>
            <w:tcBorders>
              <w:top w:val="single" w:sz="4" w:space="0" w:color="auto"/>
              <w:left w:val="single" w:sz="4" w:space="0" w:color="auto"/>
              <w:bottom w:val="single" w:sz="6" w:space="0" w:color="CCCCCC"/>
              <w:right w:val="single" w:sz="6" w:space="0" w:color="CCCCCC"/>
            </w:tcBorders>
            <w:tcMar>
              <w:top w:w="0" w:type="dxa"/>
              <w:left w:w="40" w:type="dxa"/>
              <w:bottom w:w="0" w:type="dxa"/>
              <w:right w:w="40" w:type="dxa"/>
            </w:tcMar>
            <w:vAlign w:val="bottom"/>
            <w:hideMark/>
          </w:tcPr>
          <w:p w14:paraId="6E3105E7" w14:textId="77777777" w:rsidR="00B50104" w:rsidRPr="007F6881" w:rsidRDefault="00B50104">
            <w:pPr>
              <w:widowControl w:val="0"/>
              <w:jc w:val="right"/>
              <w:rPr>
                <w:szCs w:val="24"/>
              </w:rPr>
            </w:pPr>
            <w:r w:rsidRPr="007F6881">
              <w:rPr>
                <w:szCs w:val="24"/>
              </w:rPr>
              <w:t>0.19%</w:t>
            </w:r>
          </w:p>
        </w:tc>
        <w:tc>
          <w:tcPr>
            <w:tcW w:w="714" w:type="pct"/>
            <w:tcBorders>
              <w:top w:val="single" w:sz="4" w:space="0" w:color="auto"/>
              <w:left w:val="single" w:sz="6" w:space="0" w:color="CCCCCC"/>
              <w:bottom w:val="single" w:sz="6" w:space="0" w:color="CCCCCC"/>
              <w:right w:val="single" w:sz="4" w:space="0" w:color="auto"/>
            </w:tcBorders>
            <w:tcMar>
              <w:top w:w="0" w:type="dxa"/>
              <w:left w:w="40" w:type="dxa"/>
              <w:bottom w:w="0" w:type="dxa"/>
              <w:right w:w="40" w:type="dxa"/>
            </w:tcMar>
            <w:vAlign w:val="bottom"/>
            <w:hideMark/>
          </w:tcPr>
          <w:p w14:paraId="69BC6767" w14:textId="77777777" w:rsidR="00B50104" w:rsidRPr="007F6881" w:rsidRDefault="00B50104">
            <w:pPr>
              <w:widowControl w:val="0"/>
              <w:jc w:val="right"/>
              <w:rPr>
                <w:szCs w:val="24"/>
              </w:rPr>
            </w:pPr>
            <w:r w:rsidRPr="007F6881">
              <w:rPr>
                <w:szCs w:val="24"/>
              </w:rPr>
              <w:t>40.73%</w:t>
            </w:r>
          </w:p>
        </w:tc>
        <w:tc>
          <w:tcPr>
            <w:tcW w:w="714" w:type="pct"/>
            <w:tcBorders>
              <w:top w:val="single" w:sz="4" w:space="0" w:color="auto"/>
              <w:left w:val="single" w:sz="4" w:space="0" w:color="auto"/>
              <w:bottom w:val="single" w:sz="6" w:space="0" w:color="CCCCCC"/>
              <w:right w:val="single" w:sz="6" w:space="0" w:color="CCCCCC"/>
            </w:tcBorders>
            <w:tcMar>
              <w:top w:w="0" w:type="dxa"/>
              <w:left w:w="40" w:type="dxa"/>
              <w:bottom w:w="0" w:type="dxa"/>
              <w:right w:w="40" w:type="dxa"/>
            </w:tcMar>
            <w:vAlign w:val="bottom"/>
            <w:hideMark/>
          </w:tcPr>
          <w:p w14:paraId="7BD7B740" w14:textId="77777777" w:rsidR="00B50104" w:rsidRPr="007F6881" w:rsidRDefault="00B50104">
            <w:pPr>
              <w:widowControl w:val="0"/>
              <w:jc w:val="right"/>
              <w:rPr>
                <w:szCs w:val="24"/>
              </w:rPr>
            </w:pPr>
            <w:r w:rsidRPr="007F6881">
              <w:rPr>
                <w:szCs w:val="24"/>
              </w:rPr>
              <w:t>0.19%</w:t>
            </w:r>
          </w:p>
        </w:tc>
        <w:tc>
          <w:tcPr>
            <w:tcW w:w="714" w:type="pct"/>
            <w:tcBorders>
              <w:top w:val="single" w:sz="4" w:space="0" w:color="auto"/>
              <w:left w:val="single" w:sz="6" w:space="0" w:color="CCCCCC"/>
              <w:bottom w:val="single" w:sz="6" w:space="0" w:color="CCCCCC"/>
              <w:right w:val="single" w:sz="4" w:space="0" w:color="auto"/>
            </w:tcBorders>
            <w:tcMar>
              <w:top w:w="0" w:type="dxa"/>
              <w:left w:w="40" w:type="dxa"/>
              <w:bottom w:w="0" w:type="dxa"/>
              <w:right w:w="40" w:type="dxa"/>
            </w:tcMar>
            <w:vAlign w:val="bottom"/>
            <w:hideMark/>
          </w:tcPr>
          <w:p w14:paraId="1D9E147A" w14:textId="77777777" w:rsidR="00B50104" w:rsidRPr="007F6881" w:rsidRDefault="00B50104">
            <w:pPr>
              <w:widowControl w:val="0"/>
              <w:jc w:val="right"/>
              <w:rPr>
                <w:szCs w:val="24"/>
              </w:rPr>
            </w:pPr>
            <w:r w:rsidRPr="007F6881">
              <w:rPr>
                <w:szCs w:val="24"/>
              </w:rPr>
              <w:t>40.93%</w:t>
            </w:r>
          </w:p>
        </w:tc>
        <w:tc>
          <w:tcPr>
            <w:tcW w:w="714" w:type="pct"/>
            <w:tcBorders>
              <w:top w:val="single" w:sz="4" w:space="0" w:color="auto"/>
              <w:left w:val="single" w:sz="4" w:space="0" w:color="auto"/>
              <w:bottom w:val="single" w:sz="6" w:space="0" w:color="CCCCCC"/>
              <w:right w:val="single" w:sz="6" w:space="0" w:color="CCCCCC"/>
            </w:tcBorders>
            <w:tcMar>
              <w:top w:w="0" w:type="dxa"/>
              <w:left w:w="40" w:type="dxa"/>
              <w:bottom w:w="0" w:type="dxa"/>
              <w:right w:w="40" w:type="dxa"/>
            </w:tcMar>
            <w:vAlign w:val="bottom"/>
            <w:hideMark/>
          </w:tcPr>
          <w:p w14:paraId="54845A78" w14:textId="77777777" w:rsidR="00B50104" w:rsidRPr="007F6881" w:rsidRDefault="00B50104">
            <w:pPr>
              <w:widowControl w:val="0"/>
              <w:jc w:val="right"/>
              <w:rPr>
                <w:szCs w:val="24"/>
              </w:rPr>
            </w:pPr>
            <w:r w:rsidRPr="007F6881">
              <w:rPr>
                <w:szCs w:val="24"/>
              </w:rPr>
              <w:t>0.39%</w:t>
            </w:r>
          </w:p>
        </w:tc>
        <w:tc>
          <w:tcPr>
            <w:tcW w:w="714" w:type="pct"/>
            <w:tcBorders>
              <w:top w:val="single" w:sz="4" w:space="0" w:color="auto"/>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48F98BD" w14:textId="77777777" w:rsidR="00B50104" w:rsidRPr="007F6881" w:rsidRDefault="00B50104">
            <w:pPr>
              <w:widowControl w:val="0"/>
              <w:jc w:val="right"/>
              <w:rPr>
                <w:szCs w:val="24"/>
              </w:rPr>
            </w:pPr>
            <w:r w:rsidRPr="007F6881">
              <w:rPr>
                <w:szCs w:val="24"/>
              </w:rPr>
              <w:t>31.66%</w:t>
            </w:r>
          </w:p>
        </w:tc>
      </w:tr>
      <w:tr w:rsidR="00B50104" w14:paraId="19A02D07" w14:textId="77777777" w:rsidTr="007F6881">
        <w:trPr>
          <w:trHeight w:val="300"/>
        </w:trPr>
        <w:tc>
          <w:tcPr>
            <w:tcW w:w="714" w:type="pct"/>
            <w:tcBorders>
              <w:top w:val="single" w:sz="6" w:space="0" w:color="CCCCCC"/>
              <w:left w:val="single" w:sz="6" w:space="0" w:color="CCCCCC"/>
              <w:bottom w:val="single" w:sz="6" w:space="0" w:color="CCCCCC"/>
              <w:right w:val="single" w:sz="4" w:space="0" w:color="auto"/>
            </w:tcBorders>
            <w:tcMar>
              <w:top w:w="0" w:type="dxa"/>
              <w:left w:w="40" w:type="dxa"/>
              <w:bottom w:w="0" w:type="dxa"/>
              <w:right w:w="40" w:type="dxa"/>
            </w:tcMar>
            <w:vAlign w:val="bottom"/>
            <w:hideMark/>
          </w:tcPr>
          <w:p w14:paraId="09DD62D9" w14:textId="77777777" w:rsidR="00B50104" w:rsidRPr="007F6881" w:rsidRDefault="00B50104">
            <w:pPr>
              <w:widowControl w:val="0"/>
              <w:rPr>
                <w:szCs w:val="24"/>
              </w:rPr>
            </w:pPr>
            <w:r w:rsidRPr="007F6881">
              <w:rPr>
                <w:szCs w:val="24"/>
              </w:rPr>
              <w:t>journals</w:t>
            </w:r>
          </w:p>
        </w:tc>
        <w:tc>
          <w:tcPr>
            <w:tcW w:w="714" w:type="pct"/>
            <w:tcBorders>
              <w:top w:val="single" w:sz="6" w:space="0" w:color="CCCCCC"/>
              <w:left w:val="single" w:sz="4" w:space="0" w:color="auto"/>
              <w:bottom w:val="single" w:sz="6" w:space="0" w:color="CCCCCC"/>
              <w:right w:val="single" w:sz="6" w:space="0" w:color="CCCCCC"/>
            </w:tcBorders>
            <w:tcMar>
              <w:top w:w="0" w:type="dxa"/>
              <w:left w:w="40" w:type="dxa"/>
              <w:bottom w:w="0" w:type="dxa"/>
              <w:right w:w="40" w:type="dxa"/>
            </w:tcMar>
            <w:vAlign w:val="bottom"/>
            <w:hideMark/>
          </w:tcPr>
          <w:p w14:paraId="0D25D77B" w14:textId="77777777" w:rsidR="00B50104" w:rsidRPr="007F6881" w:rsidRDefault="00B50104">
            <w:pPr>
              <w:widowControl w:val="0"/>
              <w:jc w:val="right"/>
              <w:rPr>
                <w:szCs w:val="24"/>
              </w:rPr>
            </w:pPr>
            <w:r w:rsidRPr="007F6881">
              <w:rPr>
                <w:szCs w:val="24"/>
              </w:rPr>
              <w:t>1.54%</w:t>
            </w:r>
          </w:p>
        </w:tc>
        <w:tc>
          <w:tcPr>
            <w:tcW w:w="714" w:type="pct"/>
            <w:tcBorders>
              <w:top w:val="single" w:sz="6" w:space="0" w:color="CCCCCC"/>
              <w:left w:val="single" w:sz="6" w:space="0" w:color="CCCCCC"/>
              <w:bottom w:val="single" w:sz="6" w:space="0" w:color="CCCCCC"/>
              <w:right w:val="single" w:sz="4" w:space="0" w:color="auto"/>
            </w:tcBorders>
            <w:tcMar>
              <w:top w:w="0" w:type="dxa"/>
              <w:left w:w="40" w:type="dxa"/>
              <w:bottom w:w="0" w:type="dxa"/>
              <w:right w:w="40" w:type="dxa"/>
            </w:tcMar>
            <w:vAlign w:val="bottom"/>
            <w:hideMark/>
          </w:tcPr>
          <w:p w14:paraId="7FC84972" w14:textId="77777777" w:rsidR="00B50104" w:rsidRPr="007F6881" w:rsidRDefault="00B50104">
            <w:pPr>
              <w:widowControl w:val="0"/>
              <w:jc w:val="right"/>
              <w:rPr>
                <w:szCs w:val="24"/>
              </w:rPr>
            </w:pPr>
            <w:r w:rsidRPr="007F6881">
              <w:rPr>
                <w:szCs w:val="24"/>
              </w:rPr>
              <w:t>8.69%</w:t>
            </w:r>
          </w:p>
        </w:tc>
        <w:tc>
          <w:tcPr>
            <w:tcW w:w="714" w:type="pct"/>
            <w:tcBorders>
              <w:top w:val="single" w:sz="6" w:space="0" w:color="CCCCCC"/>
              <w:left w:val="single" w:sz="4" w:space="0" w:color="auto"/>
              <w:bottom w:val="single" w:sz="6" w:space="0" w:color="CCCCCC"/>
              <w:right w:val="single" w:sz="6" w:space="0" w:color="CCCCCC"/>
            </w:tcBorders>
            <w:tcMar>
              <w:top w:w="0" w:type="dxa"/>
              <w:left w:w="40" w:type="dxa"/>
              <w:bottom w:w="0" w:type="dxa"/>
              <w:right w:w="40" w:type="dxa"/>
            </w:tcMar>
            <w:vAlign w:val="bottom"/>
            <w:hideMark/>
          </w:tcPr>
          <w:p w14:paraId="41B68A5B" w14:textId="77777777" w:rsidR="00B50104" w:rsidRPr="007F6881" w:rsidRDefault="00B50104">
            <w:pPr>
              <w:widowControl w:val="0"/>
              <w:jc w:val="right"/>
              <w:rPr>
                <w:szCs w:val="24"/>
              </w:rPr>
            </w:pPr>
            <w:r w:rsidRPr="007F6881">
              <w:rPr>
                <w:szCs w:val="24"/>
              </w:rPr>
              <w:t>1.54%</w:t>
            </w:r>
          </w:p>
        </w:tc>
        <w:tc>
          <w:tcPr>
            <w:tcW w:w="714" w:type="pct"/>
            <w:tcBorders>
              <w:top w:val="single" w:sz="6" w:space="0" w:color="CCCCCC"/>
              <w:left w:val="single" w:sz="6" w:space="0" w:color="CCCCCC"/>
              <w:bottom w:val="single" w:sz="6" w:space="0" w:color="CCCCCC"/>
              <w:right w:val="single" w:sz="4" w:space="0" w:color="auto"/>
            </w:tcBorders>
            <w:tcMar>
              <w:top w:w="0" w:type="dxa"/>
              <w:left w:w="40" w:type="dxa"/>
              <w:bottom w:w="0" w:type="dxa"/>
              <w:right w:w="40" w:type="dxa"/>
            </w:tcMar>
            <w:vAlign w:val="bottom"/>
            <w:hideMark/>
          </w:tcPr>
          <w:p w14:paraId="12E6AD49" w14:textId="77777777" w:rsidR="00B50104" w:rsidRPr="007F6881" w:rsidRDefault="00B50104">
            <w:pPr>
              <w:widowControl w:val="0"/>
              <w:jc w:val="right"/>
              <w:rPr>
                <w:szCs w:val="24"/>
              </w:rPr>
            </w:pPr>
            <w:r w:rsidRPr="007F6881">
              <w:rPr>
                <w:szCs w:val="24"/>
              </w:rPr>
              <w:t>8.88%</w:t>
            </w:r>
          </w:p>
        </w:tc>
        <w:tc>
          <w:tcPr>
            <w:tcW w:w="714" w:type="pct"/>
            <w:tcBorders>
              <w:top w:val="single" w:sz="6" w:space="0" w:color="CCCCCC"/>
              <w:left w:val="single" w:sz="4" w:space="0" w:color="auto"/>
              <w:bottom w:val="single" w:sz="6" w:space="0" w:color="CCCCCC"/>
              <w:right w:val="single" w:sz="6" w:space="0" w:color="CCCCCC"/>
            </w:tcBorders>
            <w:tcMar>
              <w:top w:w="0" w:type="dxa"/>
              <w:left w:w="40" w:type="dxa"/>
              <w:bottom w:w="0" w:type="dxa"/>
              <w:right w:w="40" w:type="dxa"/>
            </w:tcMar>
            <w:vAlign w:val="bottom"/>
            <w:hideMark/>
          </w:tcPr>
          <w:p w14:paraId="36929666" w14:textId="77777777" w:rsidR="00B50104" w:rsidRPr="007F6881" w:rsidRDefault="00B50104">
            <w:pPr>
              <w:widowControl w:val="0"/>
              <w:jc w:val="right"/>
              <w:rPr>
                <w:szCs w:val="24"/>
              </w:rPr>
            </w:pPr>
            <w:r w:rsidRPr="007F6881">
              <w:rPr>
                <w:szCs w:val="24"/>
              </w:rPr>
              <w:t>2.32%</w:t>
            </w:r>
          </w:p>
        </w:tc>
        <w:tc>
          <w:tcPr>
            <w:tcW w:w="714"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0A08878" w14:textId="77777777" w:rsidR="00B50104" w:rsidRPr="007F6881" w:rsidRDefault="00B50104">
            <w:pPr>
              <w:widowControl w:val="0"/>
              <w:jc w:val="right"/>
              <w:rPr>
                <w:szCs w:val="24"/>
              </w:rPr>
            </w:pPr>
            <w:r w:rsidRPr="007F6881">
              <w:rPr>
                <w:szCs w:val="24"/>
              </w:rPr>
              <w:t>3.86%</w:t>
            </w:r>
          </w:p>
        </w:tc>
      </w:tr>
      <w:tr w:rsidR="00B50104" w14:paraId="3B6650E1" w14:textId="77777777" w:rsidTr="007F6881">
        <w:trPr>
          <w:trHeight w:val="300"/>
        </w:trPr>
        <w:tc>
          <w:tcPr>
            <w:tcW w:w="714" w:type="pct"/>
            <w:tcBorders>
              <w:top w:val="single" w:sz="6" w:space="0" w:color="CCCCCC"/>
              <w:left w:val="single" w:sz="6" w:space="0" w:color="CCCCCC"/>
              <w:bottom w:val="single" w:sz="6" w:space="0" w:color="CCCCCC"/>
              <w:right w:val="single" w:sz="4" w:space="0" w:color="auto"/>
            </w:tcBorders>
            <w:tcMar>
              <w:top w:w="0" w:type="dxa"/>
              <w:left w:w="40" w:type="dxa"/>
              <w:bottom w:w="0" w:type="dxa"/>
              <w:right w:w="40" w:type="dxa"/>
            </w:tcMar>
            <w:vAlign w:val="bottom"/>
            <w:hideMark/>
          </w:tcPr>
          <w:p w14:paraId="30EC1952" w14:textId="77777777" w:rsidR="00B50104" w:rsidRPr="007F6881" w:rsidRDefault="00B50104">
            <w:pPr>
              <w:widowControl w:val="0"/>
              <w:rPr>
                <w:szCs w:val="24"/>
              </w:rPr>
            </w:pPr>
            <w:r w:rsidRPr="007F6881">
              <w:rPr>
                <w:szCs w:val="24"/>
              </w:rPr>
              <w:t>citations</w:t>
            </w:r>
          </w:p>
        </w:tc>
        <w:tc>
          <w:tcPr>
            <w:tcW w:w="714" w:type="pct"/>
            <w:tcBorders>
              <w:top w:val="single" w:sz="6" w:space="0" w:color="CCCCCC"/>
              <w:left w:val="single" w:sz="4" w:space="0" w:color="auto"/>
              <w:bottom w:val="single" w:sz="6" w:space="0" w:color="CCCCCC"/>
              <w:right w:val="single" w:sz="6" w:space="0" w:color="CCCCCC"/>
            </w:tcBorders>
            <w:tcMar>
              <w:top w:w="0" w:type="dxa"/>
              <w:left w:w="40" w:type="dxa"/>
              <w:bottom w:w="0" w:type="dxa"/>
              <w:right w:w="40" w:type="dxa"/>
            </w:tcMar>
            <w:vAlign w:val="bottom"/>
            <w:hideMark/>
          </w:tcPr>
          <w:p w14:paraId="6C9425F8" w14:textId="77777777" w:rsidR="00B50104" w:rsidRPr="007F6881" w:rsidRDefault="00B50104">
            <w:pPr>
              <w:widowControl w:val="0"/>
              <w:jc w:val="right"/>
              <w:rPr>
                <w:szCs w:val="24"/>
              </w:rPr>
            </w:pPr>
            <w:r w:rsidRPr="007F6881">
              <w:rPr>
                <w:szCs w:val="24"/>
              </w:rPr>
              <w:t>0.00%</w:t>
            </w:r>
          </w:p>
        </w:tc>
        <w:tc>
          <w:tcPr>
            <w:tcW w:w="714" w:type="pct"/>
            <w:tcBorders>
              <w:top w:val="single" w:sz="6" w:space="0" w:color="CCCCCC"/>
              <w:left w:val="single" w:sz="6" w:space="0" w:color="CCCCCC"/>
              <w:bottom w:val="single" w:sz="6" w:space="0" w:color="CCCCCC"/>
              <w:right w:val="single" w:sz="4" w:space="0" w:color="auto"/>
            </w:tcBorders>
            <w:tcMar>
              <w:top w:w="0" w:type="dxa"/>
              <w:left w:w="40" w:type="dxa"/>
              <w:bottom w:w="0" w:type="dxa"/>
              <w:right w:w="40" w:type="dxa"/>
            </w:tcMar>
            <w:vAlign w:val="bottom"/>
            <w:hideMark/>
          </w:tcPr>
          <w:p w14:paraId="0A818A5E" w14:textId="77777777" w:rsidR="00B50104" w:rsidRPr="007F6881" w:rsidRDefault="00B50104">
            <w:pPr>
              <w:widowControl w:val="0"/>
              <w:jc w:val="right"/>
              <w:rPr>
                <w:szCs w:val="24"/>
              </w:rPr>
            </w:pPr>
            <w:r w:rsidRPr="007F6881">
              <w:rPr>
                <w:szCs w:val="24"/>
              </w:rPr>
              <w:t>49.23%</w:t>
            </w:r>
          </w:p>
        </w:tc>
        <w:tc>
          <w:tcPr>
            <w:tcW w:w="714" w:type="pct"/>
            <w:tcBorders>
              <w:top w:val="single" w:sz="6" w:space="0" w:color="CCCCCC"/>
              <w:left w:val="single" w:sz="4" w:space="0" w:color="auto"/>
              <w:bottom w:val="single" w:sz="6" w:space="0" w:color="CCCCCC"/>
              <w:right w:val="single" w:sz="6" w:space="0" w:color="CCCCCC"/>
            </w:tcBorders>
            <w:tcMar>
              <w:top w:w="0" w:type="dxa"/>
              <w:left w:w="40" w:type="dxa"/>
              <w:bottom w:w="0" w:type="dxa"/>
              <w:right w:w="40" w:type="dxa"/>
            </w:tcMar>
            <w:vAlign w:val="bottom"/>
            <w:hideMark/>
          </w:tcPr>
          <w:p w14:paraId="26A5E196" w14:textId="77777777" w:rsidR="00B50104" w:rsidRPr="007F6881" w:rsidRDefault="00B50104">
            <w:pPr>
              <w:widowControl w:val="0"/>
              <w:jc w:val="right"/>
              <w:rPr>
                <w:szCs w:val="24"/>
              </w:rPr>
            </w:pPr>
            <w:r w:rsidRPr="007F6881">
              <w:rPr>
                <w:szCs w:val="24"/>
              </w:rPr>
              <w:t>0.00%</w:t>
            </w:r>
          </w:p>
        </w:tc>
        <w:tc>
          <w:tcPr>
            <w:tcW w:w="714" w:type="pct"/>
            <w:tcBorders>
              <w:top w:val="single" w:sz="6" w:space="0" w:color="CCCCCC"/>
              <w:left w:val="single" w:sz="6" w:space="0" w:color="CCCCCC"/>
              <w:bottom w:val="single" w:sz="6" w:space="0" w:color="CCCCCC"/>
              <w:right w:val="single" w:sz="4" w:space="0" w:color="auto"/>
            </w:tcBorders>
            <w:tcMar>
              <w:top w:w="0" w:type="dxa"/>
              <w:left w:w="40" w:type="dxa"/>
              <w:bottom w:w="0" w:type="dxa"/>
              <w:right w:w="40" w:type="dxa"/>
            </w:tcMar>
            <w:vAlign w:val="bottom"/>
            <w:hideMark/>
          </w:tcPr>
          <w:p w14:paraId="44CBFC20" w14:textId="77777777" w:rsidR="00B50104" w:rsidRPr="007F6881" w:rsidRDefault="00B50104">
            <w:pPr>
              <w:widowControl w:val="0"/>
              <w:jc w:val="right"/>
              <w:rPr>
                <w:szCs w:val="24"/>
              </w:rPr>
            </w:pPr>
            <w:r w:rsidRPr="007F6881">
              <w:rPr>
                <w:szCs w:val="24"/>
              </w:rPr>
              <w:t>49.42%</w:t>
            </w:r>
          </w:p>
        </w:tc>
        <w:tc>
          <w:tcPr>
            <w:tcW w:w="714" w:type="pct"/>
            <w:tcBorders>
              <w:top w:val="single" w:sz="6" w:space="0" w:color="CCCCCC"/>
              <w:left w:val="single" w:sz="4" w:space="0" w:color="auto"/>
              <w:bottom w:val="single" w:sz="6" w:space="0" w:color="CCCCCC"/>
              <w:right w:val="single" w:sz="6" w:space="0" w:color="CCCCCC"/>
            </w:tcBorders>
            <w:tcMar>
              <w:top w:w="0" w:type="dxa"/>
              <w:left w:w="40" w:type="dxa"/>
              <w:bottom w:w="0" w:type="dxa"/>
              <w:right w:w="40" w:type="dxa"/>
            </w:tcMar>
            <w:vAlign w:val="bottom"/>
            <w:hideMark/>
          </w:tcPr>
          <w:p w14:paraId="60944026" w14:textId="77777777" w:rsidR="00B50104" w:rsidRPr="007F6881" w:rsidRDefault="00B50104">
            <w:pPr>
              <w:widowControl w:val="0"/>
              <w:jc w:val="right"/>
              <w:rPr>
                <w:szCs w:val="24"/>
              </w:rPr>
            </w:pPr>
            <w:r w:rsidRPr="007F6881">
              <w:rPr>
                <w:szCs w:val="24"/>
              </w:rPr>
              <w:t>0.39%</w:t>
            </w:r>
          </w:p>
        </w:tc>
        <w:tc>
          <w:tcPr>
            <w:tcW w:w="714"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26DDA8E" w14:textId="77777777" w:rsidR="00B50104" w:rsidRPr="007F6881" w:rsidRDefault="00B50104">
            <w:pPr>
              <w:widowControl w:val="0"/>
              <w:jc w:val="right"/>
              <w:rPr>
                <w:szCs w:val="24"/>
              </w:rPr>
            </w:pPr>
            <w:r w:rsidRPr="007F6881">
              <w:rPr>
                <w:szCs w:val="24"/>
              </w:rPr>
              <w:t>41.12%</w:t>
            </w:r>
          </w:p>
        </w:tc>
      </w:tr>
      <w:tr w:rsidR="00B50104" w14:paraId="1757AF00" w14:textId="77777777" w:rsidTr="007F6881">
        <w:trPr>
          <w:trHeight w:val="300"/>
        </w:trPr>
        <w:tc>
          <w:tcPr>
            <w:tcW w:w="714" w:type="pct"/>
            <w:tcBorders>
              <w:top w:val="single" w:sz="6" w:space="0" w:color="CCCCCC"/>
              <w:left w:val="single" w:sz="6" w:space="0" w:color="CCCCCC"/>
              <w:bottom w:val="single" w:sz="4" w:space="0" w:color="auto"/>
              <w:right w:val="single" w:sz="4" w:space="0" w:color="auto"/>
            </w:tcBorders>
            <w:tcMar>
              <w:top w:w="0" w:type="dxa"/>
              <w:left w:w="40" w:type="dxa"/>
              <w:bottom w:w="0" w:type="dxa"/>
              <w:right w:w="40" w:type="dxa"/>
            </w:tcMar>
            <w:vAlign w:val="bottom"/>
            <w:hideMark/>
          </w:tcPr>
          <w:p w14:paraId="5F3992AA" w14:textId="77777777" w:rsidR="00B50104" w:rsidRPr="007F6881" w:rsidRDefault="00B50104">
            <w:pPr>
              <w:widowControl w:val="0"/>
              <w:rPr>
                <w:szCs w:val="24"/>
              </w:rPr>
            </w:pPr>
            <w:r w:rsidRPr="007F6881">
              <w:rPr>
                <w:szCs w:val="24"/>
              </w:rPr>
              <w:t>h-index</w:t>
            </w:r>
          </w:p>
        </w:tc>
        <w:tc>
          <w:tcPr>
            <w:tcW w:w="714" w:type="pct"/>
            <w:tcBorders>
              <w:top w:val="single" w:sz="6" w:space="0" w:color="CCCCCC"/>
              <w:left w:val="single" w:sz="4" w:space="0" w:color="auto"/>
              <w:bottom w:val="single" w:sz="4" w:space="0" w:color="auto"/>
              <w:right w:val="single" w:sz="6" w:space="0" w:color="CCCCCC"/>
            </w:tcBorders>
            <w:tcMar>
              <w:top w:w="0" w:type="dxa"/>
              <w:left w:w="40" w:type="dxa"/>
              <w:bottom w:w="0" w:type="dxa"/>
              <w:right w:w="40" w:type="dxa"/>
            </w:tcMar>
            <w:vAlign w:val="bottom"/>
            <w:hideMark/>
          </w:tcPr>
          <w:p w14:paraId="3EBC762C" w14:textId="77777777" w:rsidR="00B50104" w:rsidRPr="007F6881" w:rsidRDefault="00B50104">
            <w:pPr>
              <w:widowControl w:val="0"/>
              <w:jc w:val="right"/>
              <w:rPr>
                <w:szCs w:val="24"/>
              </w:rPr>
            </w:pPr>
            <w:r w:rsidRPr="007F6881">
              <w:rPr>
                <w:szCs w:val="24"/>
              </w:rPr>
              <w:t>0.19%</w:t>
            </w:r>
          </w:p>
        </w:tc>
        <w:tc>
          <w:tcPr>
            <w:tcW w:w="714" w:type="pct"/>
            <w:tcBorders>
              <w:top w:val="single" w:sz="6" w:space="0" w:color="CCCCCC"/>
              <w:left w:val="single" w:sz="6" w:space="0" w:color="CCCCCC"/>
              <w:bottom w:val="single" w:sz="4" w:space="0" w:color="auto"/>
              <w:right w:val="single" w:sz="4" w:space="0" w:color="auto"/>
            </w:tcBorders>
            <w:tcMar>
              <w:top w:w="0" w:type="dxa"/>
              <w:left w:w="40" w:type="dxa"/>
              <w:bottom w:w="0" w:type="dxa"/>
              <w:right w:w="40" w:type="dxa"/>
            </w:tcMar>
            <w:vAlign w:val="bottom"/>
            <w:hideMark/>
          </w:tcPr>
          <w:p w14:paraId="5F0E5DD5" w14:textId="77777777" w:rsidR="00B50104" w:rsidRPr="007F6881" w:rsidRDefault="00B50104">
            <w:pPr>
              <w:widowControl w:val="0"/>
              <w:jc w:val="right"/>
              <w:rPr>
                <w:szCs w:val="24"/>
              </w:rPr>
            </w:pPr>
            <w:r w:rsidRPr="007F6881">
              <w:rPr>
                <w:szCs w:val="24"/>
              </w:rPr>
              <w:t>40.15%</w:t>
            </w:r>
          </w:p>
        </w:tc>
        <w:tc>
          <w:tcPr>
            <w:tcW w:w="714" w:type="pct"/>
            <w:tcBorders>
              <w:top w:val="single" w:sz="6" w:space="0" w:color="CCCCCC"/>
              <w:left w:val="single" w:sz="4" w:space="0" w:color="auto"/>
              <w:bottom w:val="single" w:sz="4" w:space="0" w:color="auto"/>
              <w:right w:val="single" w:sz="6" w:space="0" w:color="CCCCCC"/>
            </w:tcBorders>
            <w:tcMar>
              <w:top w:w="0" w:type="dxa"/>
              <w:left w:w="40" w:type="dxa"/>
              <w:bottom w:w="0" w:type="dxa"/>
              <w:right w:w="40" w:type="dxa"/>
            </w:tcMar>
            <w:vAlign w:val="bottom"/>
            <w:hideMark/>
          </w:tcPr>
          <w:p w14:paraId="4532AB24" w14:textId="77777777" w:rsidR="00B50104" w:rsidRPr="007F6881" w:rsidRDefault="00B50104">
            <w:pPr>
              <w:widowControl w:val="0"/>
              <w:jc w:val="right"/>
              <w:rPr>
                <w:szCs w:val="24"/>
              </w:rPr>
            </w:pPr>
            <w:r w:rsidRPr="007F6881">
              <w:rPr>
                <w:szCs w:val="24"/>
              </w:rPr>
              <w:t>0.19%</w:t>
            </w:r>
          </w:p>
        </w:tc>
        <w:tc>
          <w:tcPr>
            <w:tcW w:w="714" w:type="pct"/>
            <w:tcBorders>
              <w:top w:val="single" w:sz="6" w:space="0" w:color="CCCCCC"/>
              <w:left w:val="single" w:sz="6" w:space="0" w:color="CCCCCC"/>
              <w:bottom w:val="single" w:sz="4" w:space="0" w:color="auto"/>
              <w:right w:val="single" w:sz="4" w:space="0" w:color="auto"/>
            </w:tcBorders>
            <w:tcMar>
              <w:top w:w="0" w:type="dxa"/>
              <w:left w:w="40" w:type="dxa"/>
              <w:bottom w:w="0" w:type="dxa"/>
              <w:right w:w="40" w:type="dxa"/>
            </w:tcMar>
            <w:vAlign w:val="bottom"/>
            <w:hideMark/>
          </w:tcPr>
          <w:p w14:paraId="43DC5A19" w14:textId="77777777" w:rsidR="00B50104" w:rsidRPr="007F6881" w:rsidRDefault="00B50104">
            <w:pPr>
              <w:widowControl w:val="0"/>
              <w:jc w:val="right"/>
              <w:rPr>
                <w:szCs w:val="24"/>
              </w:rPr>
            </w:pPr>
            <w:r w:rsidRPr="007F6881">
              <w:rPr>
                <w:szCs w:val="24"/>
              </w:rPr>
              <w:t>40.35%</w:t>
            </w:r>
          </w:p>
        </w:tc>
        <w:tc>
          <w:tcPr>
            <w:tcW w:w="714" w:type="pct"/>
            <w:tcBorders>
              <w:top w:val="single" w:sz="6" w:space="0" w:color="CCCCCC"/>
              <w:left w:val="single" w:sz="4" w:space="0" w:color="auto"/>
              <w:bottom w:val="single" w:sz="4" w:space="0" w:color="auto"/>
              <w:right w:val="single" w:sz="6" w:space="0" w:color="CCCCCC"/>
            </w:tcBorders>
            <w:tcMar>
              <w:top w:w="0" w:type="dxa"/>
              <w:left w:w="40" w:type="dxa"/>
              <w:bottom w:w="0" w:type="dxa"/>
              <w:right w:w="40" w:type="dxa"/>
            </w:tcMar>
            <w:vAlign w:val="bottom"/>
            <w:hideMark/>
          </w:tcPr>
          <w:p w14:paraId="777938A3" w14:textId="77777777" w:rsidR="00B50104" w:rsidRPr="007F6881" w:rsidRDefault="00B50104">
            <w:pPr>
              <w:widowControl w:val="0"/>
              <w:jc w:val="right"/>
              <w:rPr>
                <w:szCs w:val="24"/>
              </w:rPr>
            </w:pPr>
            <w:r w:rsidRPr="007F6881">
              <w:rPr>
                <w:szCs w:val="24"/>
              </w:rPr>
              <w:t>0.19%</w:t>
            </w:r>
          </w:p>
        </w:tc>
        <w:tc>
          <w:tcPr>
            <w:tcW w:w="714" w:type="pct"/>
            <w:tcBorders>
              <w:top w:val="single" w:sz="6" w:space="0" w:color="CCCCCC"/>
              <w:left w:val="single" w:sz="6" w:space="0" w:color="CCCCCC"/>
              <w:bottom w:val="single" w:sz="4" w:space="0" w:color="auto"/>
              <w:right w:val="single" w:sz="6" w:space="0" w:color="CCCCCC"/>
            </w:tcBorders>
            <w:tcMar>
              <w:top w:w="0" w:type="dxa"/>
              <w:left w:w="40" w:type="dxa"/>
              <w:bottom w:w="0" w:type="dxa"/>
              <w:right w:w="40" w:type="dxa"/>
            </w:tcMar>
            <w:vAlign w:val="bottom"/>
            <w:hideMark/>
          </w:tcPr>
          <w:p w14:paraId="007EB0F7" w14:textId="77777777" w:rsidR="00B50104" w:rsidRPr="007F6881" w:rsidRDefault="00B50104">
            <w:pPr>
              <w:widowControl w:val="0"/>
              <w:jc w:val="right"/>
              <w:rPr>
                <w:szCs w:val="24"/>
              </w:rPr>
            </w:pPr>
            <w:r w:rsidRPr="007F6881">
              <w:rPr>
                <w:szCs w:val="24"/>
              </w:rPr>
              <w:t>32.05%</w:t>
            </w:r>
          </w:p>
        </w:tc>
      </w:tr>
      <w:tr w:rsidR="00B50104" w14:paraId="6AEDB8DF" w14:textId="77777777" w:rsidTr="007F6881">
        <w:trPr>
          <w:trHeight w:val="300"/>
        </w:trPr>
        <w:tc>
          <w:tcPr>
            <w:tcW w:w="714" w:type="pct"/>
            <w:tcBorders>
              <w:top w:val="single" w:sz="4" w:space="0" w:color="auto"/>
              <w:left w:val="single" w:sz="6" w:space="0" w:color="CCCCCC"/>
              <w:bottom w:val="single" w:sz="4" w:space="0" w:color="auto"/>
              <w:right w:val="single" w:sz="4" w:space="0" w:color="auto"/>
            </w:tcBorders>
            <w:tcMar>
              <w:top w:w="0" w:type="dxa"/>
              <w:left w:w="40" w:type="dxa"/>
              <w:bottom w:w="0" w:type="dxa"/>
              <w:right w:w="40" w:type="dxa"/>
            </w:tcMar>
            <w:vAlign w:val="bottom"/>
          </w:tcPr>
          <w:p w14:paraId="19E1607B" w14:textId="77777777" w:rsidR="00B50104" w:rsidRPr="007F6881" w:rsidRDefault="00B50104">
            <w:pPr>
              <w:widowControl w:val="0"/>
              <w:rPr>
                <w:szCs w:val="24"/>
              </w:rPr>
            </w:pPr>
          </w:p>
        </w:tc>
        <w:tc>
          <w:tcPr>
            <w:tcW w:w="4286" w:type="pct"/>
            <w:gridSpan w:val="6"/>
            <w:tcBorders>
              <w:top w:val="single" w:sz="4" w:space="0" w:color="auto"/>
              <w:left w:val="single" w:sz="4" w:space="0" w:color="auto"/>
              <w:bottom w:val="single" w:sz="4" w:space="0" w:color="auto"/>
              <w:right w:val="single" w:sz="6" w:space="0" w:color="CCCCCC"/>
            </w:tcBorders>
            <w:tcMar>
              <w:top w:w="0" w:type="dxa"/>
              <w:left w:w="40" w:type="dxa"/>
              <w:bottom w:w="0" w:type="dxa"/>
              <w:right w:w="40" w:type="dxa"/>
            </w:tcMar>
            <w:vAlign w:val="bottom"/>
            <w:hideMark/>
          </w:tcPr>
          <w:p w14:paraId="763F069D" w14:textId="77777777" w:rsidR="00B50104" w:rsidRPr="007F6881" w:rsidRDefault="00B50104">
            <w:pPr>
              <w:widowControl w:val="0"/>
              <w:jc w:val="center"/>
              <w:rPr>
                <w:i/>
                <w:szCs w:val="24"/>
              </w:rPr>
            </w:pPr>
            <w:r w:rsidRPr="007F6881">
              <w:rPr>
                <w:i/>
                <w:szCs w:val="24"/>
              </w:rPr>
              <w:t>Associate Professor</w:t>
            </w:r>
          </w:p>
        </w:tc>
      </w:tr>
      <w:tr w:rsidR="00B50104" w14:paraId="137311B2" w14:textId="77777777" w:rsidTr="007F6881">
        <w:trPr>
          <w:trHeight w:val="300"/>
        </w:trPr>
        <w:tc>
          <w:tcPr>
            <w:tcW w:w="714" w:type="pct"/>
            <w:tcBorders>
              <w:top w:val="single" w:sz="4" w:space="0" w:color="auto"/>
              <w:left w:val="single" w:sz="6" w:space="0" w:color="CCCCCC"/>
              <w:bottom w:val="single" w:sz="6" w:space="0" w:color="CCCCCC"/>
              <w:right w:val="single" w:sz="4" w:space="0" w:color="auto"/>
            </w:tcBorders>
            <w:tcMar>
              <w:top w:w="0" w:type="dxa"/>
              <w:left w:w="40" w:type="dxa"/>
              <w:bottom w:w="0" w:type="dxa"/>
              <w:right w:w="40" w:type="dxa"/>
            </w:tcMar>
            <w:vAlign w:val="bottom"/>
            <w:hideMark/>
          </w:tcPr>
          <w:p w14:paraId="3CDA2099" w14:textId="77777777" w:rsidR="00B50104" w:rsidRPr="007F6881" w:rsidRDefault="00B50104">
            <w:pPr>
              <w:widowControl w:val="0"/>
              <w:rPr>
                <w:szCs w:val="24"/>
              </w:rPr>
            </w:pPr>
            <w:r w:rsidRPr="007F6881">
              <w:rPr>
                <w:szCs w:val="24"/>
              </w:rPr>
              <w:t>overall</w:t>
            </w:r>
          </w:p>
        </w:tc>
        <w:tc>
          <w:tcPr>
            <w:tcW w:w="714" w:type="pct"/>
            <w:tcBorders>
              <w:top w:val="single" w:sz="4" w:space="0" w:color="auto"/>
              <w:left w:val="single" w:sz="4" w:space="0" w:color="auto"/>
              <w:bottom w:val="single" w:sz="6" w:space="0" w:color="CCCCCC"/>
              <w:right w:val="single" w:sz="6" w:space="0" w:color="CCCCCC"/>
            </w:tcBorders>
            <w:tcMar>
              <w:top w:w="0" w:type="dxa"/>
              <w:left w:w="40" w:type="dxa"/>
              <w:bottom w:w="0" w:type="dxa"/>
              <w:right w:w="40" w:type="dxa"/>
            </w:tcMar>
            <w:vAlign w:val="bottom"/>
            <w:hideMark/>
          </w:tcPr>
          <w:p w14:paraId="1721627B" w14:textId="77777777" w:rsidR="00B50104" w:rsidRPr="007F6881" w:rsidRDefault="00B50104">
            <w:pPr>
              <w:widowControl w:val="0"/>
              <w:jc w:val="right"/>
              <w:rPr>
                <w:szCs w:val="24"/>
              </w:rPr>
            </w:pPr>
            <w:r w:rsidRPr="007F6881">
              <w:rPr>
                <w:szCs w:val="24"/>
              </w:rPr>
              <w:t>0.13%</w:t>
            </w:r>
          </w:p>
        </w:tc>
        <w:tc>
          <w:tcPr>
            <w:tcW w:w="714" w:type="pct"/>
            <w:tcBorders>
              <w:top w:val="single" w:sz="4" w:space="0" w:color="auto"/>
              <w:left w:val="single" w:sz="6" w:space="0" w:color="CCCCCC"/>
              <w:bottom w:val="single" w:sz="6" w:space="0" w:color="CCCCCC"/>
              <w:right w:val="single" w:sz="4" w:space="0" w:color="auto"/>
            </w:tcBorders>
            <w:tcMar>
              <w:top w:w="0" w:type="dxa"/>
              <w:left w:w="40" w:type="dxa"/>
              <w:bottom w:w="0" w:type="dxa"/>
              <w:right w:w="40" w:type="dxa"/>
            </w:tcMar>
            <w:vAlign w:val="bottom"/>
            <w:hideMark/>
          </w:tcPr>
          <w:p w14:paraId="76CBB470" w14:textId="77777777" w:rsidR="00B50104" w:rsidRPr="007F6881" w:rsidRDefault="00B50104">
            <w:pPr>
              <w:widowControl w:val="0"/>
              <w:jc w:val="right"/>
              <w:rPr>
                <w:szCs w:val="24"/>
              </w:rPr>
            </w:pPr>
            <w:r w:rsidRPr="007F6881">
              <w:rPr>
                <w:szCs w:val="24"/>
              </w:rPr>
              <w:t>42.27%</w:t>
            </w:r>
          </w:p>
        </w:tc>
        <w:tc>
          <w:tcPr>
            <w:tcW w:w="714" w:type="pct"/>
            <w:tcBorders>
              <w:top w:val="single" w:sz="4" w:space="0" w:color="auto"/>
              <w:left w:val="single" w:sz="4" w:space="0" w:color="auto"/>
              <w:bottom w:val="single" w:sz="6" w:space="0" w:color="CCCCCC"/>
              <w:right w:val="single" w:sz="6" w:space="0" w:color="CCCCCC"/>
            </w:tcBorders>
            <w:tcMar>
              <w:top w:w="0" w:type="dxa"/>
              <w:left w:w="40" w:type="dxa"/>
              <w:bottom w:w="0" w:type="dxa"/>
              <w:right w:w="40" w:type="dxa"/>
            </w:tcMar>
            <w:vAlign w:val="bottom"/>
            <w:hideMark/>
          </w:tcPr>
          <w:p w14:paraId="7FD62FE2" w14:textId="77777777" w:rsidR="00B50104" w:rsidRPr="007F6881" w:rsidRDefault="00B50104">
            <w:pPr>
              <w:widowControl w:val="0"/>
              <w:jc w:val="right"/>
              <w:rPr>
                <w:szCs w:val="24"/>
              </w:rPr>
            </w:pPr>
            <w:r w:rsidRPr="007F6881">
              <w:rPr>
                <w:szCs w:val="24"/>
              </w:rPr>
              <w:t>0.13%</w:t>
            </w:r>
          </w:p>
        </w:tc>
        <w:tc>
          <w:tcPr>
            <w:tcW w:w="714" w:type="pct"/>
            <w:tcBorders>
              <w:top w:val="single" w:sz="4" w:space="0" w:color="auto"/>
              <w:left w:val="single" w:sz="6" w:space="0" w:color="CCCCCC"/>
              <w:bottom w:val="single" w:sz="6" w:space="0" w:color="CCCCCC"/>
              <w:right w:val="single" w:sz="4" w:space="0" w:color="auto"/>
            </w:tcBorders>
            <w:tcMar>
              <w:top w:w="0" w:type="dxa"/>
              <w:left w:w="40" w:type="dxa"/>
              <w:bottom w:w="0" w:type="dxa"/>
              <w:right w:w="40" w:type="dxa"/>
            </w:tcMar>
            <w:vAlign w:val="bottom"/>
            <w:hideMark/>
          </w:tcPr>
          <w:p w14:paraId="56F7F367" w14:textId="77777777" w:rsidR="00B50104" w:rsidRPr="007F6881" w:rsidRDefault="00B50104">
            <w:pPr>
              <w:widowControl w:val="0"/>
              <w:jc w:val="right"/>
              <w:rPr>
                <w:szCs w:val="24"/>
              </w:rPr>
            </w:pPr>
            <w:r w:rsidRPr="007F6881">
              <w:rPr>
                <w:szCs w:val="24"/>
              </w:rPr>
              <w:t>43.06%</w:t>
            </w:r>
          </w:p>
        </w:tc>
        <w:tc>
          <w:tcPr>
            <w:tcW w:w="714" w:type="pct"/>
            <w:tcBorders>
              <w:top w:val="single" w:sz="4" w:space="0" w:color="auto"/>
              <w:left w:val="single" w:sz="4" w:space="0" w:color="auto"/>
              <w:bottom w:val="single" w:sz="6" w:space="0" w:color="CCCCCC"/>
              <w:right w:val="single" w:sz="6" w:space="0" w:color="CCCCCC"/>
            </w:tcBorders>
            <w:tcMar>
              <w:top w:w="0" w:type="dxa"/>
              <w:left w:w="40" w:type="dxa"/>
              <w:bottom w:w="0" w:type="dxa"/>
              <w:right w:w="40" w:type="dxa"/>
            </w:tcMar>
            <w:vAlign w:val="bottom"/>
            <w:hideMark/>
          </w:tcPr>
          <w:p w14:paraId="01418B77" w14:textId="77777777" w:rsidR="00B50104" w:rsidRPr="007F6881" w:rsidRDefault="00B50104">
            <w:pPr>
              <w:widowControl w:val="0"/>
              <w:jc w:val="right"/>
              <w:rPr>
                <w:szCs w:val="24"/>
              </w:rPr>
            </w:pPr>
            <w:r w:rsidRPr="007F6881">
              <w:rPr>
                <w:szCs w:val="24"/>
              </w:rPr>
              <w:t>0.13%</w:t>
            </w:r>
          </w:p>
        </w:tc>
        <w:tc>
          <w:tcPr>
            <w:tcW w:w="714" w:type="pct"/>
            <w:tcBorders>
              <w:top w:val="single" w:sz="4" w:space="0" w:color="auto"/>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A900DED" w14:textId="77777777" w:rsidR="00B50104" w:rsidRPr="007F6881" w:rsidRDefault="00B50104">
            <w:pPr>
              <w:widowControl w:val="0"/>
              <w:jc w:val="right"/>
              <w:rPr>
                <w:szCs w:val="24"/>
              </w:rPr>
            </w:pPr>
            <w:r w:rsidRPr="007F6881">
              <w:rPr>
                <w:szCs w:val="24"/>
              </w:rPr>
              <w:t>28.93%</w:t>
            </w:r>
          </w:p>
        </w:tc>
      </w:tr>
      <w:tr w:rsidR="00B50104" w14:paraId="012E34C1" w14:textId="77777777" w:rsidTr="007F6881">
        <w:trPr>
          <w:trHeight w:val="300"/>
        </w:trPr>
        <w:tc>
          <w:tcPr>
            <w:tcW w:w="714" w:type="pct"/>
            <w:tcBorders>
              <w:top w:val="single" w:sz="6" w:space="0" w:color="CCCCCC"/>
              <w:left w:val="single" w:sz="6" w:space="0" w:color="CCCCCC"/>
              <w:bottom w:val="single" w:sz="6" w:space="0" w:color="CCCCCC"/>
              <w:right w:val="single" w:sz="4" w:space="0" w:color="auto"/>
            </w:tcBorders>
            <w:tcMar>
              <w:top w:w="0" w:type="dxa"/>
              <w:left w:w="40" w:type="dxa"/>
              <w:bottom w:w="0" w:type="dxa"/>
              <w:right w:w="40" w:type="dxa"/>
            </w:tcMar>
            <w:vAlign w:val="bottom"/>
            <w:hideMark/>
          </w:tcPr>
          <w:p w14:paraId="407A9B60" w14:textId="77777777" w:rsidR="00B50104" w:rsidRPr="007F6881" w:rsidRDefault="00B50104">
            <w:pPr>
              <w:widowControl w:val="0"/>
              <w:rPr>
                <w:szCs w:val="24"/>
              </w:rPr>
            </w:pPr>
            <w:r w:rsidRPr="007F6881">
              <w:rPr>
                <w:szCs w:val="24"/>
              </w:rPr>
              <w:t>journals</w:t>
            </w:r>
          </w:p>
        </w:tc>
        <w:tc>
          <w:tcPr>
            <w:tcW w:w="714" w:type="pct"/>
            <w:tcBorders>
              <w:top w:val="single" w:sz="6" w:space="0" w:color="CCCCCC"/>
              <w:left w:val="single" w:sz="4" w:space="0" w:color="auto"/>
              <w:bottom w:val="single" w:sz="6" w:space="0" w:color="CCCCCC"/>
              <w:right w:val="single" w:sz="6" w:space="0" w:color="CCCCCC"/>
            </w:tcBorders>
            <w:tcMar>
              <w:top w:w="0" w:type="dxa"/>
              <w:left w:w="40" w:type="dxa"/>
              <w:bottom w:w="0" w:type="dxa"/>
              <w:right w:w="40" w:type="dxa"/>
            </w:tcMar>
            <w:vAlign w:val="bottom"/>
            <w:hideMark/>
          </w:tcPr>
          <w:p w14:paraId="3AA7972E" w14:textId="77777777" w:rsidR="00B50104" w:rsidRPr="007F6881" w:rsidRDefault="00B50104">
            <w:pPr>
              <w:widowControl w:val="0"/>
              <w:jc w:val="right"/>
              <w:rPr>
                <w:szCs w:val="24"/>
              </w:rPr>
            </w:pPr>
            <w:r w:rsidRPr="007F6881">
              <w:rPr>
                <w:szCs w:val="24"/>
              </w:rPr>
              <w:t>2.77%</w:t>
            </w:r>
          </w:p>
        </w:tc>
        <w:tc>
          <w:tcPr>
            <w:tcW w:w="714" w:type="pct"/>
            <w:tcBorders>
              <w:top w:val="single" w:sz="6" w:space="0" w:color="CCCCCC"/>
              <w:left w:val="single" w:sz="6" w:space="0" w:color="CCCCCC"/>
              <w:bottom w:val="single" w:sz="6" w:space="0" w:color="CCCCCC"/>
              <w:right w:val="single" w:sz="4" w:space="0" w:color="auto"/>
            </w:tcBorders>
            <w:tcMar>
              <w:top w:w="0" w:type="dxa"/>
              <w:left w:w="40" w:type="dxa"/>
              <w:bottom w:w="0" w:type="dxa"/>
              <w:right w:w="40" w:type="dxa"/>
            </w:tcMar>
            <w:vAlign w:val="bottom"/>
            <w:hideMark/>
          </w:tcPr>
          <w:p w14:paraId="4A5F895D" w14:textId="77777777" w:rsidR="00B50104" w:rsidRPr="007F6881" w:rsidRDefault="00B50104">
            <w:pPr>
              <w:widowControl w:val="0"/>
              <w:jc w:val="right"/>
              <w:rPr>
                <w:szCs w:val="24"/>
              </w:rPr>
            </w:pPr>
            <w:r w:rsidRPr="007F6881">
              <w:rPr>
                <w:szCs w:val="24"/>
              </w:rPr>
              <w:t>16.64%</w:t>
            </w:r>
          </w:p>
        </w:tc>
        <w:tc>
          <w:tcPr>
            <w:tcW w:w="714" w:type="pct"/>
            <w:tcBorders>
              <w:top w:val="single" w:sz="6" w:space="0" w:color="CCCCCC"/>
              <w:left w:val="single" w:sz="4" w:space="0" w:color="auto"/>
              <w:bottom w:val="single" w:sz="6" w:space="0" w:color="CCCCCC"/>
              <w:right w:val="single" w:sz="6" w:space="0" w:color="CCCCCC"/>
            </w:tcBorders>
            <w:tcMar>
              <w:top w:w="0" w:type="dxa"/>
              <w:left w:w="40" w:type="dxa"/>
              <w:bottom w:w="0" w:type="dxa"/>
              <w:right w:w="40" w:type="dxa"/>
            </w:tcMar>
            <w:vAlign w:val="bottom"/>
            <w:hideMark/>
          </w:tcPr>
          <w:p w14:paraId="4E25A3D4" w14:textId="77777777" w:rsidR="00B50104" w:rsidRPr="007F6881" w:rsidRDefault="00B50104">
            <w:pPr>
              <w:widowControl w:val="0"/>
              <w:jc w:val="right"/>
              <w:rPr>
                <w:szCs w:val="24"/>
              </w:rPr>
            </w:pPr>
            <w:r w:rsidRPr="007F6881">
              <w:rPr>
                <w:szCs w:val="24"/>
              </w:rPr>
              <w:t>2.77%</w:t>
            </w:r>
          </w:p>
        </w:tc>
        <w:tc>
          <w:tcPr>
            <w:tcW w:w="714" w:type="pct"/>
            <w:tcBorders>
              <w:top w:val="single" w:sz="6" w:space="0" w:color="CCCCCC"/>
              <w:left w:val="single" w:sz="6" w:space="0" w:color="CCCCCC"/>
              <w:bottom w:val="single" w:sz="6" w:space="0" w:color="CCCCCC"/>
              <w:right w:val="single" w:sz="4" w:space="0" w:color="auto"/>
            </w:tcBorders>
            <w:tcMar>
              <w:top w:w="0" w:type="dxa"/>
              <w:left w:w="40" w:type="dxa"/>
              <w:bottom w:w="0" w:type="dxa"/>
              <w:right w:w="40" w:type="dxa"/>
            </w:tcMar>
            <w:vAlign w:val="bottom"/>
            <w:hideMark/>
          </w:tcPr>
          <w:p w14:paraId="150ADD33" w14:textId="77777777" w:rsidR="00B50104" w:rsidRPr="007F6881" w:rsidRDefault="00B50104">
            <w:pPr>
              <w:widowControl w:val="0"/>
              <w:jc w:val="right"/>
              <w:rPr>
                <w:szCs w:val="24"/>
              </w:rPr>
            </w:pPr>
            <w:r w:rsidRPr="007F6881">
              <w:rPr>
                <w:szCs w:val="24"/>
              </w:rPr>
              <w:t>17.44%</w:t>
            </w:r>
          </w:p>
        </w:tc>
        <w:tc>
          <w:tcPr>
            <w:tcW w:w="714" w:type="pct"/>
            <w:tcBorders>
              <w:top w:val="single" w:sz="6" w:space="0" w:color="CCCCCC"/>
              <w:left w:val="single" w:sz="4" w:space="0" w:color="auto"/>
              <w:bottom w:val="single" w:sz="6" w:space="0" w:color="CCCCCC"/>
              <w:right w:val="single" w:sz="6" w:space="0" w:color="CCCCCC"/>
            </w:tcBorders>
            <w:tcMar>
              <w:top w:w="0" w:type="dxa"/>
              <w:left w:w="40" w:type="dxa"/>
              <w:bottom w:w="0" w:type="dxa"/>
              <w:right w:w="40" w:type="dxa"/>
            </w:tcMar>
            <w:vAlign w:val="bottom"/>
            <w:hideMark/>
          </w:tcPr>
          <w:p w14:paraId="5CD4B78E" w14:textId="77777777" w:rsidR="00B50104" w:rsidRPr="007F6881" w:rsidRDefault="00B50104">
            <w:pPr>
              <w:widowControl w:val="0"/>
              <w:jc w:val="right"/>
              <w:rPr>
                <w:szCs w:val="24"/>
              </w:rPr>
            </w:pPr>
            <w:r w:rsidRPr="007F6881">
              <w:rPr>
                <w:szCs w:val="24"/>
              </w:rPr>
              <w:t>3.96%</w:t>
            </w:r>
          </w:p>
        </w:tc>
        <w:tc>
          <w:tcPr>
            <w:tcW w:w="714"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6792AE1B" w14:textId="77777777" w:rsidR="00B50104" w:rsidRPr="007F6881" w:rsidRDefault="00B50104">
            <w:pPr>
              <w:widowControl w:val="0"/>
              <w:jc w:val="right"/>
              <w:rPr>
                <w:szCs w:val="24"/>
              </w:rPr>
            </w:pPr>
            <w:r w:rsidRPr="007F6881">
              <w:rPr>
                <w:szCs w:val="24"/>
              </w:rPr>
              <w:t>5.68%</w:t>
            </w:r>
          </w:p>
        </w:tc>
      </w:tr>
      <w:tr w:rsidR="00B50104" w14:paraId="70C2EAC7" w14:textId="77777777" w:rsidTr="007F6881">
        <w:trPr>
          <w:trHeight w:val="300"/>
        </w:trPr>
        <w:tc>
          <w:tcPr>
            <w:tcW w:w="714" w:type="pct"/>
            <w:tcBorders>
              <w:top w:val="single" w:sz="6" w:space="0" w:color="CCCCCC"/>
              <w:left w:val="single" w:sz="6" w:space="0" w:color="CCCCCC"/>
              <w:bottom w:val="single" w:sz="6" w:space="0" w:color="CCCCCC"/>
              <w:right w:val="single" w:sz="4" w:space="0" w:color="auto"/>
            </w:tcBorders>
            <w:tcMar>
              <w:top w:w="0" w:type="dxa"/>
              <w:left w:w="40" w:type="dxa"/>
              <w:bottom w:w="0" w:type="dxa"/>
              <w:right w:w="40" w:type="dxa"/>
            </w:tcMar>
            <w:vAlign w:val="bottom"/>
            <w:hideMark/>
          </w:tcPr>
          <w:p w14:paraId="64AA75A7" w14:textId="77777777" w:rsidR="00B50104" w:rsidRPr="007F6881" w:rsidRDefault="00B50104">
            <w:pPr>
              <w:widowControl w:val="0"/>
              <w:rPr>
                <w:szCs w:val="24"/>
              </w:rPr>
            </w:pPr>
            <w:r w:rsidRPr="007F6881">
              <w:rPr>
                <w:szCs w:val="24"/>
              </w:rPr>
              <w:t>citations</w:t>
            </w:r>
          </w:p>
        </w:tc>
        <w:tc>
          <w:tcPr>
            <w:tcW w:w="714" w:type="pct"/>
            <w:tcBorders>
              <w:top w:val="single" w:sz="6" w:space="0" w:color="CCCCCC"/>
              <w:left w:val="single" w:sz="4" w:space="0" w:color="auto"/>
              <w:bottom w:val="single" w:sz="6" w:space="0" w:color="CCCCCC"/>
              <w:right w:val="single" w:sz="6" w:space="0" w:color="CCCCCC"/>
            </w:tcBorders>
            <w:tcMar>
              <w:top w:w="0" w:type="dxa"/>
              <w:left w:w="40" w:type="dxa"/>
              <w:bottom w:w="0" w:type="dxa"/>
              <w:right w:w="40" w:type="dxa"/>
            </w:tcMar>
            <w:vAlign w:val="bottom"/>
            <w:hideMark/>
          </w:tcPr>
          <w:p w14:paraId="7A706194" w14:textId="77777777" w:rsidR="00B50104" w:rsidRPr="007F6881" w:rsidRDefault="00B50104">
            <w:pPr>
              <w:widowControl w:val="0"/>
              <w:jc w:val="right"/>
              <w:rPr>
                <w:szCs w:val="24"/>
              </w:rPr>
            </w:pPr>
            <w:r w:rsidRPr="007F6881">
              <w:rPr>
                <w:szCs w:val="24"/>
              </w:rPr>
              <w:t>0.26%</w:t>
            </w:r>
          </w:p>
        </w:tc>
        <w:tc>
          <w:tcPr>
            <w:tcW w:w="714" w:type="pct"/>
            <w:tcBorders>
              <w:top w:val="single" w:sz="6" w:space="0" w:color="CCCCCC"/>
              <w:left w:val="single" w:sz="6" w:space="0" w:color="CCCCCC"/>
              <w:bottom w:val="single" w:sz="6" w:space="0" w:color="CCCCCC"/>
              <w:right w:val="single" w:sz="4" w:space="0" w:color="auto"/>
            </w:tcBorders>
            <w:tcMar>
              <w:top w:w="0" w:type="dxa"/>
              <w:left w:w="40" w:type="dxa"/>
              <w:bottom w:w="0" w:type="dxa"/>
              <w:right w:w="40" w:type="dxa"/>
            </w:tcMar>
            <w:vAlign w:val="bottom"/>
            <w:hideMark/>
          </w:tcPr>
          <w:p w14:paraId="445C753C" w14:textId="77777777" w:rsidR="00B50104" w:rsidRPr="007F6881" w:rsidRDefault="00B50104">
            <w:pPr>
              <w:widowControl w:val="0"/>
              <w:jc w:val="right"/>
              <w:rPr>
                <w:szCs w:val="24"/>
              </w:rPr>
            </w:pPr>
            <w:r w:rsidRPr="007F6881">
              <w:rPr>
                <w:szCs w:val="24"/>
              </w:rPr>
              <w:t>50.59%</w:t>
            </w:r>
          </w:p>
        </w:tc>
        <w:tc>
          <w:tcPr>
            <w:tcW w:w="714" w:type="pct"/>
            <w:tcBorders>
              <w:top w:val="single" w:sz="6" w:space="0" w:color="CCCCCC"/>
              <w:left w:val="single" w:sz="4" w:space="0" w:color="auto"/>
              <w:bottom w:val="single" w:sz="6" w:space="0" w:color="CCCCCC"/>
              <w:right w:val="single" w:sz="6" w:space="0" w:color="CCCCCC"/>
            </w:tcBorders>
            <w:tcMar>
              <w:top w:w="0" w:type="dxa"/>
              <w:left w:w="40" w:type="dxa"/>
              <w:bottom w:w="0" w:type="dxa"/>
              <w:right w:w="40" w:type="dxa"/>
            </w:tcMar>
            <w:vAlign w:val="bottom"/>
            <w:hideMark/>
          </w:tcPr>
          <w:p w14:paraId="2A0A4C0D" w14:textId="77777777" w:rsidR="00B50104" w:rsidRPr="007F6881" w:rsidRDefault="00B50104">
            <w:pPr>
              <w:widowControl w:val="0"/>
              <w:jc w:val="right"/>
              <w:rPr>
                <w:szCs w:val="24"/>
              </w:rPr>
            </w:pPr>
            <w:r w:rsidRPr="007F6881">
              <w:rPr>
                <w:szCs w:val="24"/>
              </w:rPr>
              <w:t>0.13%</w:t>
            </w:r>
          </w:p>
        </w:tc>
        <w:tc>
          <w:tcPr>
            <w:tcW w:w="714" w:type="pct"/>
            <w:tcBorders>
              <w:top w:val="single" w:sz="6" w:space="0" w:color="CCCCCC"/>
              <w:left w:val="single" w:sz="6" w:space="0" w:color="CCCCCC"/>
              <w:bottom w:val="single" w:sz="6" w:space="0" w:color="CCCCCC"/>
              <w:right w:val="single" w:sz="4" w:space="0" w:color="auto"/>
            </w:tcBorders>
            <w:tcMar>
              <w:top w:w="0" w:type="dxa"/>
              <w:left w:w="40" w:type="dxa"/>
              <w:bottom w:w="0" w:type="dxa"/>
              <w:right w:w="40" w:type="dxa"/>
            </w:tcMar>
            <w:vAlign w:val="bottom"/>
            <w:hideMark/>
          </w:tcPr>
          <w:p w14:paraId="68144C9C" w14:textId="77777777" w:rsidR="00B50104" w:rsidRPr="007F6881" w:rsidRDefault="00B50104">
            <w:pPr>
              <w:widowControl w:val="0"/>
              <w:jc w:val="right"/>
              <w:rPr>
                <w:szCs w:val="24"/>
              </w:rPr>
            </w:pPr>
            <w:r w:rsidRPr="007F6881">
              <w:rPr>
                <w:szCs w:val="24"/>
              </w:rPr>
              <w:t>51.12%</w:t>
            </w:r>
          </w:p>
        </w:tc>
        <w:tc>
          <w:tcPr>
            <w:tcW w:w="714" w:type="pct"/>
            <w:tcBorders>
              <w:top w:val="single" w:sz="6" w:space="0" w:color="CCCCCC"/>
              <w:left w:val="single" w:sz="4" w:space="0" w:color="auto"/>
              <w:bottom w:val="single" w:sz="6" w:space="0" w:color="CCCCCC"/>
              <w:right w:val="single" w:sz="6" w:space="0" w:color="CCCCCC"/>
            </w:tcBorders>
            <w:tcMar>
              <w:top w:w="0" w:type="dxa"/>
              <w:left w:w="40" w:type="dxa"/>
              <w:bottom w:w="0" w:type="dxa"/>
              <w:right w:w="40" w:type="dxa"/>
            </w:tcMar>
            <w:vAlign w:val="bottom"/>
            <w:hideMark/>
          </w:tcPr>
          <w:p w14:paraId="6DCBFE38" w14:textId="77777777" w:rsidR="00B50104" w:rsidRPr="007F6881" w:rsidRDefault="00B50104">
            <w:pPr>
              <w:widowControl w:val="0"/>
              <w:jc w:val="right"/>
              <w:rPr>
                <w:szCs w:val="24"/>
              </w:rPr>
            </w:pPr>
            <w:r w:rsidRPr="007F6881">
              <w:rPr>
                <w:szCs w:val="24"/>
              </w:rPr>
              <w:t>0.53%</w:t>
            </w:r>
          </w:p>
        </w:tc>
        <w:tc>
          <w:tcPr>
            <w:tcW w:w="714"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5E4ACB8" w14:textId="77777777" w:rsidR="00B50104" w:rsidRPr="007F6881" w:rsidRDefault="00B50104">
            <w:pPr>
              <w:widowControl w:val="0"/>
              <w:jc w:val="right"/>
              <w:rPr>
                <w:szCs w:val="24"/>
              </w:rPr>
            </w:pPr>
            <w:r w:rsidRPr="007F6881">
              <w:rPr>
                <w:szCs w:val="24"/>
              </w:rPr>
              <w:t>39.23%</w:t>
            </w:r>
          </w:p>
        </w:tc>
      </w:tr>
      <w:tr w:rsidR="00B50104" w14:paraId="793D1C96" w14:textId="77777777" w:rsidTr="007F6881">
        <w:trPr>
          <w:trHeight w:val="300"/>
        </w:trPr>
        <w:tc>
          <w:tcPr>
            <w:tcW w:w="714" w:type="pct"/>
            <w:tcBorders>
              <w:top w:val="single" w:sz="6" w:space="0" w:color="CCCCCC"/>
              <w:left w:val="single" w:sz="6" w:space="0" w:color="CCCCCC"/>
              <w:bottom w:val="single" w:sz="4" w:space="0" w:color="auto"/>
              <w:right w:val="single" w:sz="4" w:space="0" w:color="auto"/>
            </w:tcBorders>
            <w:tcMar>
              <w:top w:w="0" w:type="dxa"/>
              <w:left w:w="40" w:type="dxa"/>
              <w:bottom w:w="0" w:type="dxa"/>
              <w:right w:w="40" w:type="dxa"/>
            </w:tcMar>
            <w:vAlign w:val="bottom"/>
            <w:hideMark/>
          </w:tcPr>
          <w:p w14:paraId="00B5CFA1" w14:textId="77777777" w:rsidR="00B50104" w:rsidRPr="007F6881" w:rsidRDefault="00B50104">
            <w:pPr>
              <w:widowControl w:val="0"/>
              <w:rPr>
                <w:szCs w:val="24"/>
              </w:rPr>
            </w:pPr>
            <w:r w:rsidRPr="007F6881">
              <w:rPr>
                <w:szCs w:val="24"/>
              </w:rPr>
              <w:t>h-index</w:t>
            </w:r>
          </w:p>
        </w:tc>
        <w:tc>
          <w:tcPr>
            <w:tcW w:w="714" w:type="pct"/>
            <w:tcBorders>
              <w:top w:val="single" w:sz="6" w:space="0" w:color="CCCCCC"/>
              <w:left w:val="single" w:sz="4" w:space="0" w:color="auto"/>
              <w:bottom w:val="single" w:sz="4" w:space="0" w:color="auto"/>
              <w:right w:val="single" w:sz="6" w:space="0" w:color="CCCCCC"/>
            </w:tcBorders>
            <w:tcMar>
              <w:top w:w="0" w:type="dxa"/>
              <w:left w:w="40" w:type="dxa"/>
              <w:bottom w:w="0" w:type="dxa"/>
              <w:right w:w="40" w:type="dxa"/>
            </w:tcMar>
            <w:vAlign w:val="bottom"/>
            <w:hideMark/>
          </w:tcPr>
          <w:p w14:paraId="59EB065D" w14:textId="77777777" w:rsidR="00B50104" w:rsidRPr="007F6881" w:rsidRDefault="00B50104">
            <w:pPr>
              <w:widowControl w:val="0"/>
              <w:jc w:val="right"/>
              <w:rPr>
                <w:szCs w:val="24"/>
              </w:rPr>
            </w:pPr>
            <w:r w:rsidRPr="007F6881">
              <w:rPr>
                <w:szCs w:val="24"/>
              </w:rPr>
              <w:t>0.66%</w:t>
            </w:r>
          </w:p>
        </w:tc>
        <w:tc>
          <w:tcPr>
            <w:tcW w:w="714" w:type="pct"/>
            <w:tcBorders>
              <w:top w:val="single" w:sz="6" w:space="0" w:color="CCCCCC"/>
              <w:left w:val="single" w:sz="6" w:space="0" w:color="CCCCCC"/>
              <w:bottom w:val="single" w:sz="4" w:space="0" w:color="auto"/>
              <w:right w:val="single" w:sz="4" w:space="0" w:color="auto"/>
            </w:tcBorders>
            <w:tcMar>
              <w:top w:w="0" w:type="dxa"/>
              <w:left w:w="40" w:type="dxa"/>
              <w:bottom w:w="0" w:type="dxa"/>
              <w:right w:w="40" w:type="dxa"/>
            </w:tcMar>
            <w:vAlign w:val="bottom"/>
            <w:hideMark/>
          </w:tcPr>
          <w:p w14:paraId="28600471" w14:textId="77777777" w:rsidR="00B50104" w:rsidRPr="007F6881" w:rsidRDefault="00B50104">
            <w:pPr>
              <w:widowControl w:val="0"/>
              <w:jc w:val="right"/>
              <w:rPr>
                <w:szCs w:val="24"/>
              </w:rPr>
            </w:pPr>
            <w:r w:rsidRPr="007F6881">
              <w:rPr>
                <w:szCs w:val="24"/>
              </w:rPr>
              <w:t>36.99%</w:t>
            </w:r>
          </w:p>
        </w:tc>
        <w:tc>
          <w:tcPr>
            <w:tcW w:w="714" w:type="pct"/>
            <w:tcBorders>
              <w:top w:val="single" w:sz="6" w:space="0" w:color="CCCCCC"/>
              <w:left w:val="single" w:sz="4" w:space="0" w:color="auto"/>
              <w:bottom w:val="single" w:sz="4" w:space="0" w:color="auto"/>
              <w:right w:val="single" w:sz="6" w:space="0" w:color="CCCCCC"/>
            </w:tcBorders>
            <w:tcMar>
              <w:top w:w="0" w:type="dxa"/>
              <w:left w:w="40" w:type="dxa"/>
              <w:bottom w:w="0" w:type="dxa"/>
              <w:right w:w="40" w:type="dxa"/>
            </w:tcMar>
            <w:vAlign w:val="bottom"/>
            <w:hideMark/>
          </w:tcPr>
          <w:p w14:paraId="06971C26" w14:textId="77777777" w:rsidR="00B50104" w:rsidRPr="007F6881" w:rsidRDefault="00B50104">
            <w:pPr>
              <w:widowControl w:val="0"/>
              <w:jc w:val="right"/>
              <w:rPr>
                <w:szCs w:val="24"/>
              </w:rPr>
            </w:pPr>
            <w:r w:rsidRPr="007F6881">
              <w:rPr>
                <w:szCs w:val="24"/>
              </w:rPr>
              <w:t>0.66%</w:t>
            </w:r>
          </w:p>
        </w:tc>
        <w:tc>
          <w:tcPr>
            <w:tcW w:w="714" w:type="pct"/>
            <w:tcBorders>
              <w:top w:val="single" w:sz="6" w:space="0" w:color="CCCCCC"/>
              <w:left w:val="single" w:sz="6" w:space="0" w:color="CCCCCC"/>
              <w:bottom w:val="single" w:sz="4" w:space="0" w:color="auto"/>
              <w:right w:val="single" w:sz="4" w:space="0" w:color="auto"/>
            </w:tcBorders>
            <w:tcMar>
              <w:top w:w="0" w:type="dxa"/>
              <w:left w:w="40" w:type="dxa"/>
              <w:bottom w:w="0" w:type="dxa"/>
              <w:right w:w="40" w:type="dxa"/>
            </w:tcMar>
            <w:vAlign w:val="bottom"/>
            <w:hideMark/>
          </w:tcPr>
          <w:p w14:paraId="6E1FA103" w14:textId="77777777" w:rsidR="00B50104" w:rsidRPr="007F6881" w:rsidRDefault="00B50104">
            <w:pPr>
              <w:widowControl w:val="0"/>
              <w:jc w:val="right"/>
              <w:rPr>
                <w:szCs w:val="24"/>
              </w:rPr>
            </w:pPr>
            <w:r w:rsidRPr="007F6881">
              <w:rPr>
                <w:szCs w:val="24"/>
              </w:rPr>
              <w:t>37.78%</w:t>
            </w:r>
          </w:p>
        </w:tc>
        <w:tc>
          <w:tcPr>
            <w:tcW w:w="714" w:type="pct"/>
            <w:tcBorders>
              <w:top w:val="single" w:sz="6" w:space="0" w:color="CCCCCC"/>
              <w:left w:val="single" w:sz="4" w:space="0" w:color="auto"/>
              <w:bottom w:val="single" w:sz="4" w:space="0" w:color="auto"/>
              <w:right w:val="single" w:sz="6" w:space="0" w:color="CCCCCC"/>
            </w:tcBorders>
            <w:tcMar>
              <w:top w:w="0" w:type="dxa"/>
              <w:left w:w="40" w:type="dxa"/>
              <w:bottom w:w="0" w:type="dxa"/>
              <w:right w:w="40" w:type="dxa"/>
            </w:tcMar>
            <w:vAlign w:val="bottom"/>
            <w:hideMark/>
          </w:tcPr>
          <w:p w14:paraId="4E70EDAB" w14:textId="77777777" w:rsidR="00B50104" w:rsidRPr="007F6881" w:rsidRDefault="00B50104">
            <w:pPr>
              <w:widowControl w:val="0"/>
              <w:jc w:val="right"/>
              <w:rPr>
                <w:szCs w:val="24"/>
              </w:rPr>
            </w:pPr>
            <w:r w:rsidRPr="007F6881">
              <w:rPr>
                <w:szCs w:val="24"/>
              </w:rPr>
              <w:t>1.06%</w:t>
            </w:r>
          </w:p>
        </w:tc>
        <w:tc>
          <w:tcPr>
            <w:tcW w:w="714" w:type="pct"/>
            <w:tcBorders>
              <w:top w:val="single" w:sz="6" w:space="0" w:color="CCCCCC"/>
              <w:left w:val="single" w:sz="6" w:space="0" w:color="CCCCCC"/>
              <w:bottom w:val="single" w:sz="4" w:space="0" w:color="auto"/>
              <w:right w:val="single" w:sz="6" w:space="0" w:color="CCCCCC"/>
            </w:tcBorders>
            <w:tcMar>
              <w:top w:w="0" w:type="dxa"/>
              <w:left w:w="40" w:type="dxa"/>
              <w:bottom w:w="0" w:type="dxa"/>
              <w:right w:w="40" w:type="dxa"/>
            </w:tcMar>
            <w:vAlign w:val="bottom"/>
            <w:hideMark/>
          </w:tcPr>
          <w:p w14:paraId="5D5AA371" w14:textId="77777777" w:rsidR="00B50104" w:rsidRPr="007F6881" w:rsidRDefault="00B50104">
            <w:pPr>
              <w:widowControl w:val="0"/>
              <w:jc w:val="right"/>
              <w:rPr>
                <w:szCs w:val="24"/>
              </w:rPr>
            </w:pPr>
            <w:r w:rsidRPr="007F6881">
              <w:rPr>
                <w:szCs w:val="24"/>
              </w:rPr>
              <w:t>24.97%</w:t>
            </w:r>
          </w:p>
        </w:tc>
      </w:tr>
    </w:tbl>
    <w:p w14:paraId="387E8DF8" w14:textId="77777777" w:rsidR="00B50104" w:rsidRDefault="00B50104" w:rsidP="00B50104">
      <w:pPr>
        <w:rPr>
          <w:rFonts w:ascii="Arial" w:hAnsi="Arial" w:cs="Arial"/>
          <w:sz w:val="22"/>
          <w:lang w:val="en"/>
        </w:rPr>
      </w:pPr>
    </w:p>
    <w:p w14:paraId="64633895" w14:textId="0940ABBE" w:rsidR="00B50104" w:rsidRPr="0097158D" w:rsidRDefault="00B50104" w:rsidP="006E6E92">
      <w:r>
        <w:t xml:space="preserve">In a very limited set of cases the open data produced a growth in the performance, with a slightly more evident increment for the indicator A. In general the impact of adopting open data would then be very limited with a few exceptions. </w:t>
      </w:r>
    </w:p>
    <w:p w14:paraId="4D7E940E" w14:textId="2EFDE404" w:rsidR="00B50104" w:rsidRDefault="0097158D" w:rsidP="00B50104">
      <w:pPr>
        <w:pStyle w:val="Titolo1"/>
        <w:rPr>
          <w:rFonts w:eastAsia="Arial"/>
        </w:rPr>
      </w:pPr>
      <w:r>
        <w:rPr>
          <w:rFonts w:eastAsia="Arial"/>
        </w:rPr>
        <w:t>Discussion and c</w:t>
      </w:r>
      <w:r w:rsidR="00B50104">
        <w:rPr>
          <w:rFonts w:eastAsia="Arial"/>
        </w:rPr>
        <w:t>onclusions</w:t>
      </w:r>
    </w:p>
    <w:p w14:paraId="0C02B475" w14:textId="63A9CB9A" w:rsidR="00B50104" w:rsidRDefault="00B50104" w:rsidP="00B50104">
      <w:pPr>
        <w:rPr>
          <w:rFonts w:eastAsia="Arial"/>
        </w:rPr>
      </w:pPr>
      <w:r>
        <w:t xml:space="preserve">The results of our experiment are in line with what we expected with some interesting unexpected </w:t>
      </w:r>
      <w:r w:rsidR="00657860">
        <w:t>behaviour</w:t>
      </w:r>
      <w:r>
        <w:t xml:space="preserve">. First of all, it is evident that </w:t>
      </w:r>
      <w:r>
        <w:rPr>
          <w:b/>
        </w:rPr>
        <w:t>open citation data are not yet complete to substitute the closed data</w:t>
      </w:r>
      <w:r>
        <w:t xml:space="preserve"> used by ANVUR within the ASN in Computer Science. This answer our research question RQ1. It was foreseen considering that several publishers have not released their citation data as open and there is still a gap between the two sets and </w:t>
      </w:r>
      <w:r>
        <w:rPr>
          <w:b/>
        </w:rPr>
        <w:t>some effort is still needed to convince publishers to release their data</w:t>
      </w:r>
      <w:r>
        <w:t>. On the other hand, the overall agreement of around 60% is a positive result that make</w:t>
      </w:r>
      <w:r w:rsidR="00657860">
        <w:t>s</w:t>
      </w:r>
      <w:r>
        <w:t xml:space="preserve"> us optimistic about the possibility of performing some reliable evaluation on these data as well. </w:t>
      </w:r>
    </w:p>
    <w:p w14:paraId="5ED19809" w14:textId="77777777" w:rsidR="00B50104" w:rsidRDefault="00B50104" w:rsidP="00B50104">
      <w:r>
        <w:t xml:space="preserve">The high agreement on the indicator A (journal articles) allowed us to answer the research question RQ2. The classification of the publications is extremely good in open data and we speculate that the fact that the agreement is not full is due to the lack of data instead of their inaccuracy. The </w:t>
      </w:r>
      <w:r>
        <w:rPr>
          <w:b/>
        </w:rPr>
        <w:t>accuracy of open and closed data on the classification of the publication venues (in particular “journals” vs. “non-journals”) is comparable</w:t>
      </w:r>
      <w:r>
        <w:t xml:space="preserve">, and counting journals of publication by type can be done reliably. </w:t>
      </w:r>
    </w:p>
    <w:p w14:paraId="29C27F91" w14:textId="77777777" w:rsidR="00B50104" w:rsidRDefault="00B50104" w:rsidP="00B50104">
      <w:r>
        <w:t xml:space="preserve">While the indicator </w:t>
      </w:r>
      <w:proofErr w:type="gramStart"/>
      <w:r>
        <w:t>A</w:t>
      </w:r>
      <w:proofErr w:type="gramEnd"/>
      <w:r>
        <w:t xml:space="preserve"> proved to be stable we witnessed a remarkable improvement of the agreement in the CU scenario compared to the CDBLP or CCV ones. The overall agreement, for instance, goes from to 56% to 70%, and from 63% to 70% on the h-index. We speculate that is a consequence of the nature and the coverage of the two datasets, in relation of the scientific production of the candidates. The DBLP source in fact is very accurate for pure computer scientists since almost all their publications are listed there. On the other hand, DBLP misses articles in close domains, such as bioinformatics and physics. There were candidates that applied for the </w:t>
      </w:r>
      <w:proofErr w:type="spellStart"/>
      <w:r>
        <w:t>habilitation</w:t>
      </w:r>
      <w:proofErr w:type="spellEnd"/>
      <w:r>
        <w:t xml:space="preserve"> in Computer Science even if they are experts in </w:t>
      </w:r>
      <w:r>
        <w:lastRenderedPageBreak/>
        <w:t xml:space="preserve">these domains. We are not interested here in the overlap between the two domains, neither on the evolution of the research topics, studied for instance in Osborne et al. (2013) and </w:t>
      </w:r>
      <w:proofErr w:type="spellStart"/>
      <w:r>
        <w:t>Salatino</w:t>
      </w:r>
      <w:proofErr w:type="spellEnd"/>
      <w:r>
        <w:t xml:space="preserve"> et al. (2017), but we noticed that some candidates were penalized by the mono-disciplinary approach of the CDBLP scenario. The CCV condition, on the other hand, produced slightly better results for multidisciplinary experts, with some penalisation for pure computer scientists. The union of these two inevitably had a positive impact on the agreement, that </w:t>
      </w:r>
      <w:proofErr w:type="gramStart"/>
      <w:r>
        <w:t>raised</w:t>
      </w:r>
      <w:proofErr w:type="gramEnd"/>
      <w:r>
        <w:t xml:space="preserve"> up to 70%. Our conclusion is that </w:t>
      </w:r>
      <w:r>
        <w:rPr>
          <w:b/>
        </w:rPr>
        <w:t>combining different sources of open data is a fundamental step to better evaluate candidates</w:t>
      </w:r>
      <w:r>
        <w:t xml:space="preserve">. </w:t>
      </w:r>
    </w:p>
    <w:p w14:paraId="49D43312" w14:textId="083D3FF4" w:rsidR="00661308" w:rsidRDefault="00661308" w:rsidP="00B50104">
      <w:r>
        <w:rPr>
          <w:noProof/>
          <w:lang w:val="it-IT" w:eastAsia="it-IT"/>
        </w:rPr>
        <w:drawing>
          <wp:anchor distT="114300" distB="114300" distL="114300" distR="114300" simplePos="0" relativeHeight="251662336" behindDoc="0" locked="0" layoutInCell="1" allowOverlap="1" wp14:anchorId="3A85D919" wp14:editId="0BF9C668">
            <wp:simplePos x="0" y="0"/>
            <wp:positionH relativeFrom="column">
              <wp:posOffset>228600</wp:posOffset>
            </wp:positionH>
            <wp:positionV relativeFrom="paragraph">
              <wp:posOffset>1226820</wp:posOffset>
            </wp:positionV>
            <wp:extent cx="5257800" cy="3246755"/>
            <wp:effectExtent l="25400" t="25400" r="25400" b="29845"/>
            <wp:wrapTopAndBottom/>
            <wp:docPr id="1" name="Picture 2"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Cha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3246755"/>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B50104">
        <w:t xml:space="preserve">A further conclusion that we have drawn from our data is that there are no substantial differences between the simulation on Full and Associate Professors. The overall distribution of percentages and relation between indicators is basically the same, even if specific data are different. Contrarily to other aspects of the ASN in which different </w:t>
      </w:r>
      <w:r w:rsidR="0070275E">
        <w:t>behaviours</w:t>
      </w:r>
      <w:r w:rsidR="00B50104">
        <w:t xml:space="preserve"> of candidates were pointed out (Marini, 2017) our experiment showed that an evaluation based on </w:t>
      </w:r>
      <w:r w:rsidR="00B50104">
        <w:rPr>
          <w:b/>
        </w:rPr>
        <w:t>open data works in the same way for either Full or Associate Professors assessment</w:t>
      </w:r>
      <w:r w:rsidR="00B50104">
        <w:t xml:space="preserve">. </w:t>
      </w:r>
    </w:p>
    <w:p w14:paraId="6CB80EA8" w14:textId="7A1787AA" w:rsidR="00661308" w:rsidRDefault="00661308" w:rsidP="00661308">
      <w:pPr>
        <w:pStyle w:val="007-Caption"/>
      </w:pPr>
      <w:proofErr w:type="gramStart"/>
      <w:r w:rsidRPr="00C34418">
        <w:t xml:space="preserve">Figure </w:t>
      </w:r>
      <w:proofErr w:type="gramEnd"/>
      <w:r w:rsidRPr="00C34418">
        <w:rPr>
          <w:i/>
        </w:rPr>
        <w:fldChar w:fldCharType="begin"/>
      </w:r>
      <w:r w:rsidRPr="00C34418">
        <w:instrText xml:space="preserve"> SEQ Figure \* ARABIC </w:instrText>
      </w:r>
      <w:r w:rsidRPr="00C34418">
        <w:rPr>
          <w:i/>
        </w:rPr>
        <w:fldChar w:fldCharType="separate"/>
      </w:r>
      <w:r w:rsidR="00657860">
        <w:rPr>
          <w:noProof/>
        </w:rPr>
        <w:t>1</w:t>
      </w:r>
      <w:r w:rsidRPr="00C34418">
        <w:rPr>
          <w:i/>
        </w:rPr>
        <w:fldChar w:fldCharType="end"/>
      </w:r>
      <w:proofErr w:type="gramStart"/>
      <w:r w:rsidRPr="00C34418">
        <w:t>.</w:t>
      </w:r>
      <w:proofErr w:type="gramEnd"/>
      <w:r w:rsidRPr="00C34418">
        <w:t xml:space="preserve"> The variation of the agreement between our simulation and the official ASN, when lowering the thresholds. The X axis indicates the ratio between the new simulated thresholds and the official ones; the Y axis indicates the amount of candidates on which</w:t>
      </w:r>
      <w:r>
        <w:rPr>
          <w:i/>
        </w:rPr>
        <w:t xml:space="preserve"> there is </w:t>
      </w:r>
      <w:r w:rsidRPr="00661308">
        <w:t>agreement. Data are shown for candidates as Associate Professor under the DBLP condition.</w:t>
      </w:r>
    </w:p>
    <w:p w14:paraId="6C172A0E" w14:textId="77777777" w:rsidR="00661308" w:rsidRDefault="00661308" w:rsidP="00B50104"/>
    <w:p w14:paraId="720E0D73" w14:textId="35AB9063" w:rsidR="008D2AD6" w:rsidRDefault="00B50104" w:rsidP="00B50104">
      <w:r>
        <w:t>One objection that could be raised on our work is that we used the ASN official thresholds even on open data, that we already knew were less. We are aware that this is not optimal but we had no undisputable algorithm to re-calculate thresholds on our dataset in a consistent way with the ASN procedure, since details about that were not yet published by ANVUR. As discussed earlier, in fact, the ASN thresholds were computed automatically in 2012 and made available by law in the following sessions without further details.</w:t>
      </w:r>
    </w:p>
    <w:p w14:paraId="271CBA81" w14:textId="664216C2" w:rsidR="00B50104" w:rsidRDefault="00B50104" w:rsidP="00B50104">
      <w:r>
        <w:t xml:space="preserve">To study thresholds, we artificially tuned them for open data and looked at how the agreement on the candidates, overall and for each indicator, changed when changing these values. Note that we only manipulated our simulated thresholds leaving untouched the official ones. The variation is plotted in </w:t>
      </w:r>
      <w:r w:rsidR="00E3435D">
        <w:t>Figure 1</w:t>
      </w:r>
      <w:r>
        <w:t xml:space="preserve"> for the candidates as Associate Professors in the CDBLP </w:t>
      </w:r>
      <w:r>
        <w:lastRenderedPageBreak/>
        <w:t>condition. For the sake of brevity we only show this scenario but there are no significant differences with the other ones.</w:t>
      </w:r>
    </w:p>
    <w:p w14:paraId="3C4DA026" w14:textId="4948DA96" w:rsidR="00E3435D" w:rsidRDefault="00E3435D" w:rsidP="00B50104">
      <w:r>
        <w:t xml:space="preserve">The </w:t>
      </w:r>
      <w:proofErr w:type="gramStart"/>
      <w:r>
        <w:t>X axis</w:t>
      </w:r>
      <w:proofErr w:type="gramEnd"/>
      <w:r>
        <w:t xml:space="preserve"> indicates the ratio between the new simulated thresholds and the official ones; the Y axis indicates the amount of candidates on which there is agreement; the three lines show the </w:t>
      </w:r>
      <w:r w:rsidR="0070275E">
        <w:t>behaviour</w:t>
      </w:r>
      <w:r>
        <w:t xml:space="preserve"> of the three indicators. Thus, the value labelled as 100% on the X axis correspond to the official ASN thresholds; the position 60% correspond to the values 3 (indicator A), 71 (indicator B) and 4 (indicator C) calculated in percentage to the original values 5 (indicator A), 118 (indicator B) and 6 (indicator C).</w:t>
      </w:r>
    </w:p>
    <w:p w14:paraId="3AE93024" w14:textId="77777777" w:rsidR="00E3435D" w:rsidRDefault="00E3435D" w:rsidP="00E3435D">
      <w:r>
        <w:t>It is interesting to notice that the indicator A is very stable. This is in line with previous results since there was already high agreement on this indicator and thus the effect of lowering the threshold is limited. Note also that a lower threshold might also reduce the agreement since a candidate might exceed the threshold in the simulated ASN but not on the official one. This is the reason why the indicator goes slightly down.</w:t>
      </w:r>
    </w:p>
    <w:p w14:paraId="0C3D0CB1" w14:textId="77777777" w:rsidR="008D2AD6" w:rsidRDefault="00E3435D" w:rsidP="008D2AD6">
      <w:r>
        <w:t>It is also evident a growth of the agreement when reducing the other two thresholds by 20-30%. This mitigates the limited availability of open data since candidates are given the possibility to exceed thresholds anyway. Note that the agreement never goes up to 100% since lower thresholds might change the performance of some candidates; this also depends on the fact that here we are considering each indicator separately while the agreement is computed on two of them.</w:t>
      </w:r>
      <w:r w:rsidR="00B50104">
        <w:t xml:space="preserve"> </w:t>
      </w:r>
    </w:p>
    <w:p w14:paraId="46CE02C9" w14:textId="1D1C91A8" w:rsidR="00B50104" w:rsidRDefault="00B50104" w:rsidP="008D2AD6">
      <w:r>
        <w:t xml:space="preserve">In the near future we plan to also study the interaction between these indicators and to put in place optimization techniques to investigate thresholds for open data. Such an analysis in fact is limited since all thresholds are lowered proportionally, while our work highlighted clear differences between indicators caused by the differences between the data sources. </w:t>
      </w:r>
    </w:p>
    <w:p w14:paraId="684DC24B" w14:textId="61B151D9" w:rsidR="00B50104" w:rsidRPr="0070275E" w:rsidRDefault="00B50104" w:rsidP="00B50104">
      <w:pPr>
        <w:rPr>
          <w:lang w:val="it-IT"/>
        </w:rPr>
      </w:pPr>
      <w:r>
        <w:t>Another activity that we plan for the future is to extend our analysis research to other domains and to dig into the potentialities and limitations of other open repositories, with particularly attention to the field of medicine and open access journals</w:t>
      </w:r>
      <w:r w:rsidR="0070275E">
        <w:t xml:space="preserve"> (such as PMC Open Access Subset, </w:t>
      </w:r>
      <w:hyperlink r:id="rId22" w:history="1">
        <w:r w:rsidR="0070275E" w:rsidRPr="0070275E">
          <w:rPr>
            <w:rStyle w:val="Collegamentoipertestuale"/>
            <w:lang w:val="it-IT"/>
          </w:rPr>
          <w:t>https://www.ncbi.nlm.nih.gov/pmc/tools/openftlist/</w:t>
        </w:r>
      </w:hyperlink>
      <w:r w:rsidR="0070275E">
        <w:t xml:space="preserve">). It will also be interesting to </w:t>
      </w:r>
      <w:r w:rsidR="009B0070">
        <w:t>see the results of</w:t>
      </w:r>
      <w:r w:rsidR="0070275E">
        <w:t xml:space="preserve"> </w:t>
      </w:r>
      <w:r w:rsidR="009B0070">
        <w:t xml:space="preserve">a </w:t>
      </w:r>
      <w:r w:rsidR="0070275E">
        <w:t xml:space="preserve">similar analysis on Google Scholar data, which </w:t>
      </w:r>
      <w:r w:rsidR="009B0070">
        <w:t>expose</w:t>
      </w:r>
      <w:r w:rsidR="0070275E">
        <w:t xml:space="preserve"> much more resources for each scholar </w:t>
      </w:r>
      <w:r w:rsidR="00657860">
        <w:t xml:space="preserve">(of different type and authoritativeness) </w:t>
      </w:r>
      <w:bookmarkStart w:id="8" w:name="_GoBack"/>
      <w:bookmarkEnd w:id="8"/>
      <w:r w:rsidR="0070275E">
        <w:t xml:space="preserve">and </w:t>
      </w:r>
      <w:r w:rsidR="009B0070">
        <w:t>thus</w:t>
      </w:r>
      <w:r w:rsidR="0070275E">
        <w:t xml:space="preserve"> require some pre-processing and filtering.</w:t>
      </w:r>
    </w:p>
    <w:p w14:paraId="0A2398F5" w14:textId="396E1774" w:rsidR="00B50104" w:rsidRDefault="00654FA4" w:rsidP="00B50104">
      <w:pPr>
        <w:pStyle w:val="Titolo1"/>
        <w:rPr>
          <w:rFonts w:eastAsia="Arial"/>
          <w:sz w:val="40"/>
          <w:szCs w:val="40"/>
          <w:lang w:val="en"/>
        </w:rPr>
      </w:pPr>
      <w:r>
        <w:rPr>
          <w:rFonts w:eastAsia="Arial"/>
        </w:rPr>
        <w:t>References</w:t>
      </w:r>
    </w:p>
    <w:p w14:paraId="5F4D98A1" w14:textId="77777777" w:rsidR="00895921" w:rsidRPr="00895921" w:rsidRDefault="00895921" w:rsidP="00895921">
      <w:pPr>
        <w:spacing w:line="276" w:lineRule="auto"/>
        <w:ind w:left="284" w:hanging="284"/>
        <w:rPr>
          <w:sz w:val="22"/>
        </w:rPr>
      </w:pPr>
      <w:r w:rsidRPr="00895921">
        <w:rPr>
          <w:sz w:val="22"/>
          <w:lang w:val="it-IT"/>
        </w:rPr>
        <w:t xml:space="preserve">Abramo, G., D’Angelo, C. A., and </w:t>
      </w:r>
      <w:proofErr w:type="spellStart"/>
      <w:r w:rsidRPr="00895921">
        <w:rPr>
          <w:sz w:val="22"/>
          <w:lang w:val="it-IT"/>
        </w:rPr>
        <w:t>Caprasecca</w:t>
      </w:r>
      <w:proofErr w:type="spellEnd"/>
      <w:r w:rsidRPr="00895921">
        <w:rPr>
          <w:sz w:val="22"/>
          <w:lang w:val="it-IT"/>
        </w:rPr>
        <w:t xml:space="preserve">, A. (2009). </w:t>
      </w:r>
      <w:r w:rsidRPr="00895921">
        <w:rPr>
          <w:sz w:val="22"/>
        </w:rPr>
        <w:t xml:space="preserve">Allocative efficiency in public research funding: Can </w:t>
      </w:r>
      <w:proofErr w:type="spellStart"/>
      <w:r w:rsidRPr="00895921">
        <w:rPr>
          <w:sz w:val="22"/>
        </w:rPr>
        <w:t>bibliometrics</w:t>
      </w:r>
      <w:proofErr w:type="spellEnd"/>
      <w:r w:rsidRPr="00895921">
        <w:rPr>
          <w:sz w:val="22"/>
        </w:rPr>
        <w:t xml:space="preserve"> help? </w:t>
      </w:r>
      <w:r w:rsidRPr="001D4D67">
        <w:rPr>
          <w:i/>
          <w:sz w:val="22"/>
        </w:rPr>
        <w:t>Research Policy, 38</w:t>
      </w:r>
      <w:r w:rsidRPr="00895921">
        <w:rPr>
          <w:sz w:val="22"/>
        </w:rPr>
        <w:t>(1):206–215. DOI:10.1016/j.respol.2008.11.001.</w:t>
      </w:r>
    </w:p>
    <w:p w14:paraId="67B76446" w14:textId="77777777" w:rsidR="00895921" w:rsidRPr="00895921" w:rsidRDefault="00895921" w:rsidP="00895921">
      <w:pPr>
        <w:spacing w:line="276" w:lineRule="auto"/>
        <w:ind w:left="284" w:hanging="284"/>
        <w:rPr>
          <w:sz w:val="22"/>
        </w:rPr>
      </w:pPr>
      <w:proofErr w:type="spellStart"/>
      <w:r w:rsidRPr="00895921">
        <w:rPr>
          <w:sz w:val="22"/>
          <w:lang w:val="en-US"/>
        </w:rPr>
        <w:t>Abramo</w:t>
      </w:r>
      <w:proofErr w:type="spellEnd"/>
      <w:r w:rsidRPr="00895921">
        <w:rPr>
          <w:sz w:val="22"/>
          <w:lang w:val="en-US"/>
        </w:rPr>
        <w:t xml:space="preserve">, G., &amp; D’Angelo, C. A. (2015). </w:t>
      </w:r>
      <w:r w:rsidRPr="00895921">
        <w:rPr>
          <w:sz w:val="22"/>
        </w:rPr>
        <w:t xml:space="preserve">An assessment of the first “scientific </w:t>
      </w:r>
      <w:proofErr w:type="spellStart"/>
      <w:r w:rsidRPr="00895921">
        <w:rPr>
          <w:sz w:val="22"/>
        </w:rPr>
        <w:t>habilitation</w:t>
      </w:r>
      <w:proofErr w:type="spellEnd"/>
      <w:r w:rsidRPr="00895921">
        <w:rPr>
          <w:sz w:val="22"/>
        </w:rPr>
        <w:t xml:space="preserve">” for university appointments in Italy. </w:t>
      </w:r>
      <w:proofErr w:type="spellStart"/>
      <w:r w:rsidRPr="001D4D67">
        <w:rPr>
          <w:i/>
          <w:sz w:val="22"/>
        </w:rPr>
        <w:t>Economia</w:t>
      </w:r>
      <w:proofErr w:type="spellEnd"/>
      <w:r w:rsidRPr="001D4D67">
        <w:rPr>
          <w:i/>
          <w:sz w:val="22"/>
        </w:rPr>
        <w:t xml:space="preserve"> </w:t>
      </w:r>
      <w:proofErr w:type="spellStart"/>
      <w:r w:rsidRPr="001D4D67">
        <w:rPr>
          <w:i/>
          <w:sz w:val="22"/>
        </w:rPr>
        <w:t>Politica</w:t>
      </w:r>
      <w:proofErr w:type="spellEnd"/>
      <w:r w:rsidRPr="001D4D67">
        <w:rPr>
          <w:i/>
          <w:sz w:val="22"/>
        </w:rPr>
        <w:t>, 32</w:t>
      </w:r>
      <w:r w:rsidRPr="00895921">
        <w:rPr>
          <w:sz w:val="22"/>
        </w:rPr>
        <w:t>(3), 329-357.</w:t>
      </w:r>
    </w:p>
    <w:p w14:paraId="7E196128" w14:textId="77777777" w:rsidR="00895921" w:rsidRPr="00895921" w:rsidRDefault="00895921" w:rsidP="00895921">
      <w:pPr>
        <w:spacing w:line="276" w:lineRule="auto"/>
        <w:ind w:left="284" w:hanging="284"/>
        <w:rPr>
          <w:sz w:val="22"/>
          <w:lang w:val="it-IT"/>
        </w:rPr>
      </w:pPr>
      <w:proofErr w:type="spellStart"/>
      <w:r w:rsidRPr="00895921">
        <w:rPr>
          <w:sz w:val="22"/>
        </w:rPr>
        <w:t>Aksnes</w:t>
      </w:r>
      <w:proofErr w:type="spellEnd"/>
      <w:r w:rsidRPr="00895921">
        <w:rPr>
          <w:sz w:val="22"/>
        </w:rPr>
        <w:t xml:space="preserve">, D. (2003). A macro study of self-citation. </w:t>
      </w:r>
      <w:proofErr w:type="spellStart"/>
      <w:r w:rsidRPr="00895921">
        <w:rPr>
          <w:sz w:val="22"/>
          <w:lang w:val="it-IT"/>
        </w:rPr>
        <w:t>Scientometrics</w:t>
      </w:r>
      <w:proofErr w:type="spellEnd"/>
      <w:r w:rsidRPr="00895921">
        <w:rPr>
          <w:sz w:val="22"/>
          <w:lang w:val="it-IT"/>
        </w:rPr>
        <w:t xml:space="preserve">, 56(2):235–246. </w:t>
      </w:r>
      <w:proofErr w:type="gramStart"/>
      <w:r w:rsidRPr="00895921">
        <w:rPr>
          <w:sz w:val="22"/>
          <w:lang w:val="it-IT"/>
        </w:rPr>
        <w:t>DOI:10.1023/A:102191922.</w:t>
      </w:r>
      <w:proofErr w:type="gramEnd"/>
    </w:p>
    <w:p w14:paraId="3C3C77BF" w14:textId="77777777" w:rsidR="00895921" w:rsidRPr="00895921" w:rsidRDefault="00895921" w:rsidP="00895921">
      <w:pPr>
        <w:spacing w:line="276" w:lineRule="auto"/>
        <w:ind w:left="284" w:hanging="284"/>
        <w:rPr>
          <w:sz w:val="22"/>
        </w:rPr>
      </w:pPr>
      <w:proofErr w:type="spellStart"/>
      <w:r w:rsidRPr="00895921">
        <w:rPr>
          <w:sz w:val="22"/>
        </w:rPr>
        <w:t>Bornmann</w:t>
      </w:r>
      <w:proofErr w:type="spellEnd"/>
      <w:r w:rsidRPr="00895921">
        <w:rPr>
          <w:sz w:val="22"/>
        </w:rPr>
        <w:t xml:space="preserve">, L. and Daniel, H.-D. (2006). Selecting scientific excellence through committee peer review-A citation analysis of publications previously published to approval or rejection of post-doctoral research fellowship applicants. </w:t>
      </w:r>
      <w:proofErr w:type="spellStart"/>
      <w:r w:rsidRPr="001D4D67">
        <w:rPr>
          <w:i/>
          <w:sz w:val="22"/>
        </w:rPr>
        <w:t>Scientometrics</w:t>
      </w:r>
      <w:proofErr w:type="spellEnd"/>
      <w:r w:rsidRPr="001D4D67">
        <w:rPr>
          <w:i/>
          <w:sz w:val="22"/>
        </w:rPr>
        <w:t>, 68</w:t>
      </w:r>
      <w:r w:rsidRPr="00895921">
        <w:rPr>
          <w:sz w:val="22"/>
        </w:rPr>
        <w:t>(3):427–440. DOI</w:t>
      </w:r>
      <w:proofErr w:type="gramStart"/>
      <w:r w:rsidRPr="00895921">
        <w:rPr>
          <w:sz w:val="22"/>
        </w:rPr>
        <w:t>:10.1007</w:t>
      </w:r>
      <w:proofErr w:type="gramEnd"/>
      <w:r w:rsidRPr="00895921">
        <w:rPr>
          <w:sz w:val="22"/>
        </w:rPr>
        <w:t>/s11192-006-0121-1.</w:t>
      </w:r>
    </w:p>
    <w:p w14:paraId="76CABE1D" w14:textId="77777777" w:rsidR="00895921" w:rsidRPr="00895921" w:rsidRDefault="00895921" w:rsidP="00895921">
      <w:pPr>
        <w:spacing w:line="276" w:lineRule="auto"/>
        <w:ind w:left="284" w:hanging="284"/>
        <w:rPr>
          <w:sz w:val="22"/>
        </w:rPr>
      </w:pPr>
      <w:proofErr w:type="spellStart"/>
      <w:r w:rsidRPr="00895921">
        <w:rPr>
          <w:sz w:val="22"/>
        </w:rPr>
        <w:t>Bornmann</w:t>
      </w:r>
      <w:proofErr w:type="spellEnd"/>
      <w:r w:rsidRPr="00895921">
        <w:rPr>
          <w:sz w:val="22"/>
        </w:rPr>
        <w:t xml:space="preserve">, L., </w:t>
      </w:r>
      <w:proofErr w:type="spellStart"/>
      <w:r w:rsidRPr="00895921">
        <w:rPr>
          <w:sz w:val="22"/>
        </w:rPr>
        <w:t>Wallon</w:t>
      </w:r>
      <w:proofErr w:type="spellEnd"/>
      <w:r w:rsidRPr="00895921">
        <w:rPr>
          <w:sz w:val="22"/>
        </w:rPr>
        <w:t xml:space="preserve">, G., and </w:t>
      </w:r>
      <w:proofErr w:type="spellStart"/>
      <w:r w:rsidRPr="00895921">
        <w:rPr>
          <w:sz w:val="22"/>
        </w:rPr>
        <w:t>Ledin</w:t>
      </w:r>
      <w:proofErr w:type="spellEnd"/>
      <w:r w:rsidRPr="00895921">
        <w:rPr>
          <w:sz w:val="22"/>
        </w:rPr>
        <w:t xml:space="preserve">, A. (2008). Does the committee peer review select the best applicants for funding? An investigation of the selection process for two European molecular biology organization programmes. </w:t>
      </w:r>
      <w:proofErr w:type="spellStart"/>
      <w:r w:rsidRPr="001D4D67">
        <w:rPr>
          <w:i/>
          <w:sz w:val="22"/>
        </w:rPr>
        <w:t>PLoS</w:t>
      </w:r>
      <w:proofErr w:type="spellEnd"/>
      <w:r w:rsidRPr="001D4D67">
        <w:rPr>
          <w:i/>
          <w:sz w:val="22"/>
        </w:rPr>
        <w:t xml:space="preserve"> One, 3</w:t>
      </w:r>
      <w:r w:rsidRPr="00895921">
        <w:rPr>
          <w:sz w:val="22"/>
        </w:rPr>
        <w:t>(10):e3480. DOI:10.1371/journal.pone.0003480.</w:t>
      </w:r>
    </w:p>
    <w:p w14:paraId="2B08E4B0" w14:textId="01081C38" w:rsidR="00895921" w:rsidRDefault="00895921" w:rsidP="00895921">
      <w:pPr>
        <w:spacing w:line="276" w:lineRule="auto"/>
        <w:ind w:left="284" w:hanging="284"/>
        <w:rPr>
          <w:sz w:val="22"/>
          <w:lang w:val="it-IT"/>
        </w:rPr>
      </w:pPr>
      <w:proofErr w:type="spellStart"/>
      <w:r w:rsidRPr="00895921">
        <w:rPr>
          <w:sz w:val="22"/>
        </w:rPr>
        <w:t>Bornmann</w:t>
      </w:r>
      <w:proofErr w:type="spellEnd"/>
      <w:r w:rsidRPr="00895921">
        <w:rPr>
          <w:sz w:val="22"/>
        </w:rPr>
        <w:t xml:space="preserve">, L. and </w:t>
      </w:r>
      <w:proofErr w:type="spellStart"/>
      <w:r w:rsidRPr="00895921">
        <w:rPr>
          <w:sz w:val="22"/>
        </w:rPr>
        <w:t>Haunschild</w:t>
      </w:r>
      <w:proofErr w:type="spellEnd"/>
      <w:r w:rsidRPr="00895921">
        <w:rPr>
          <w:sz w:val="22"/>
        </w:rPr>
        <w:t xml:space="preserve">, R. (2018). Do </w:t>
      </w:r>
      <w:proofErr w:type="spellStart"/>
      <w:r w:rsidRPr="00895921">
        <w:rPr>
          <w:sz w:val="22"/>
        </w:rPr>
        <w:t>altmetrics</w:t>
      </w:r>
      <w:proofErr w:type="spellEnd"/>
      <w:r w:rsidRPr="00895921">
        <w:rPr>
          <w:sz w:val="22"/>
        </w:rPr>
        <w:t xml:space="preserve"> correlate with the quality of papers? A large-scale empirical study based on F1000</w:t>
      </w:r>
      <w:r w:rsidR="00415378">
        <w:rPr>
          <w:sz w:val="22"/>
        </w:rPr>
        <w:t xml:space="preserve"> </w:t>
      </w:r>
      <w:r w:rsidRPr="00895921">
        <w:rPr>
          <w:sz w:val="22"/>
        </w:rPr>
        <w:t xml:space="preserve">Prime data. </w:t>
      </w:r>
      <w:proofErr w:type="spellStart"/>
      <w:r w:rsidR="00411255">
        <w:rPr>
          <w:i/>
          <w:sz w:val="22"/>
        </w:rPr>
        <w:t>PLoS</w:t>
      </w:r>
      <w:proofErr w:type="spellEnd"/>
      <w:r w:rsidR="00411255">
        <w:rPr>
          <w:i/>
          <w:sz w:val="22"/>
        </w:rPr>
        <w:t xml:space="preserve"> O</w:t>
      </w:r>
      <w:r w:rsidRPr="00415378">
        <w:rPr>
          <w:i/>
          <w:sz w:val="22"/>
        </w:rPr>
        <w:t>ne, 13</w:t>
      </w:r>
      <w:r w:rsidRPr="00895921">
        <w:rPr>
          <w:sz w:val="22"/>
        </w:rPr>
        <w:t xml:space="preserve">(5):e0197133. </w:t>
      </w:r>
      <w:r w:rsidRPr="00895921">
        <w:rPr>
          <w:sz w:val="22"/>
          <w:lang w:val="it-IT"/>
        </w:rPr>
        <w:t>DOI:10.1371/</w:t>
      </w:r>
      <w:proofErr w:type="gramStart"/>
      <w:r w:rsidRPr="00895921">
        <w:rPr>
          <w:sz w:val="22"/>
          <w:lang w:val="it-IT"/>
        </w:rPr>
        <w:t>journal.pone</w:t>
      </w:r>
      <w:proofErr w:type="gramEnd"/>
      <w:r w:rsidRPr="00895921">
        <w:rPr>
          <w:sz w:val="22"/>
          <w:lang w:val="it-IT"/>
        </w:rPr>
        <w:t>.0197133.</w:t>
      </w:r>
    </w:p>
    <w:p w14:paraId="4AD712B9" w14:textId="1409C8C4" w:rsidR="004F304C" w:rsidRDefault="004F304C" w:rsidP="00895921">
      <w:pPr>
        <w:spacing w:line="276" w:lineRule="auto"/>
        <w:ind w:left="284" w:hanging="284"/>
        <w:rPr>
          <w:sz w:val="22"/>
          <w:lang w:val="it-IT"/>
        </w:rPr>
      </w:pPr>
      <w:r w:rsidRPr="004F304C">
        <w:rPr>
          <w:sz w:val="22"/>
          <w:lang w:val="it-IT"/>
        </w:rPr>
        <w:lastRenderedPageBreak/>
        <w:t xml:space="preserve">Di Iorio, A., Giannella, R., Poggi, F., Peroni, S., &amp; Vitali, F. (2015). </w:t>
      </w:r>
      <w:r w:rsidRPr="004F304C">
        <w:rPr>
          <w:sz w:val="22"/>
          <w:lang w:val="en-US"/>
        </w:rPr>
        <w:t xml:space="preserve">Exploring scholarly papers through citations. In </w:t>
      </w:r>
      <w:r w:rsidRPr="00DA45D1">
        <w:rPr>
          <w:i/>
          <w:sz w:val="22"/>
          <w:lang w:val="en-US"/>
        </w:rPr>
        <w:t>Proceedings of the 2015 ACM Symposium on Document Engineering</w:t>
      </w:r>
      <w:r w:rsidRPr="004F304C">
        <w:rPr>
          <w:sz w:val="22"/>
          <w:lang w:val="en-US"/>
        </w:rPr>
        <w:t xml:space="preserve"> (pp. 107-116). </w:t>
      </w:r>
      <w:r w:rsidRPr="004F304C">
        <w:rPr>
          <w:sz w:val="22"/>
          <w:lang w:val="it-IT"/>
        </w:rPr>
        <w:t>ACM.</w:t>
      </w:r>
      <w:r w:rsidR="00DA45D1">
        <w:rPr>
          <w:sz w:val="22"/>
          <w:lang w:val="it-IT"/>
        </w:rPr>
        <w:t xml:space="preserve"> DOI: </w:t>
      </w:r>
      <w:r w:rsidR="00DA45D1" w:rsidRPr="00DA45D1">
        <w:rPr>
          <w:sz w:val="22"/>
          <w:lang w:val="it-IT"/>
        </w:rPr>
        <w:t>10.1145/2682571.2797065</w:t>
      </w:r>
      <w:r w:rsidR="00DA45D1">
        <w:rPr>
          <w:sz w:val="22"/>
          <w:lang w:val="it-IT"/>
        </w:rPr>
        <w:t>.</w:t>
      </w:r>
    </w:p>
    <w:p w14:paraId="2775A1F8" w14:textId="14144526" w:rsidR="00DA45D1" w:rsidRPr="00895921" w:rsidRDefault="00DA45D1" w:rsidP="00895921">
      <w:pPr>
        <w:spacing w:line="276" w:lineRule="auto"/>
        <w:ind w:left="284" w:hanging="284"/>
        <w:rPr>
          <w:sz w:val="22"/>
          <w:lang w:val="it-IT"/>
        </w:rPr>
      </w:pPr>
      <w:r w:rsidRPr="00DA45D1">
        <w:rPr>
          <w:sz w:val="22"/>
          <w:lang w:val="it-IT"/>
        </w:rPr>
        <w:t xml:space="preserve">Di Iorio, A., </w:t>
      </w:r>
      <w:proofErr w:type="spellStart"/>
      <w:r w:rsidRPr="00DA45D1">
        <w:rPr>
          <w:sz w:val="22"/>
          <w:lang w:val="it-IT"/>
        </w:rPr>
        <w:t>Nuzzolese</w:t>
      </w:r>
      <w:proofErr w:type="spellEnd"/>
      <w:r w:rsidRPr="00DA45D1">
        <w:rPr>
          <w:sz w:val="22"/>
          <w:lang w:val="it-IT"/>
        </w:rPr>
        <w:t xml:space="preserve">, A. G., Peroni, S., Poggi, F., Vitali, F., &amp; </w:t>
      </w:r>
      <w:proofErr w:type="spellStart"/>
      <w:r w:rsidRPr="00DA45D1">
        <w:rPr>
          <w:sz w:val="22"/>
          <w:lang w:val="it-IT"/>
        </w:rPr>
        <w:t>Ciancarini</w:t>
      </w:r>
      <w:proofErr w:type="spellEnd"/>
      <w:r w:rsidRPr="00DA45D1">
        <w:rPr>
          <w:sz w:val="22"/>
          <w:lang w:val="it-IT"/>
        </w:rPr>
        <w:t xml:space="preserve">, P. (2017). </w:t>
      </w:r>
      <w:proofErr w:type="spellStart"/>
      <w:r w:rsidRPr="00DA45D1">
        <w:rPr>
          <w:sz w:val="22"/>
          <w:lang w:val="en-US"/>
        </w:rPr>
        <w:t>Analysing</w:t>
      </w:r>
      <w:proofErr w:type="spellEnd"/>
      <w:r w:rsidRPr="00DA45D1">
        <w:rPr>
          <w:sz w:val="22"/>
          <w:lang w:val="en-US"/>
        </w:rPr>
        <w:t xml:space="preserve"> and Discovering Semantic Relations in Scholarly Data. In </w:t>
      </w:r>
      <w:r w:rsidRPr="00DA45D1">
        <w:rPr>
          <w:i/>
          <w:sz w:val="22"/>
          <w:lang w:val="en-US"/>
        </w:rPr>
        <w:t>Italian Research Conference on Digital Libraries</w:t>
      </w:r>
      <w:r w:rsidRPr="00DA45D1">
        <w:rPr>
          <w:sz w:val="22"/>
          <w:lang w:val="en-US"/>
        </w:rPr>
        <w:t xml:space="preserve"> (pp. 3-19). </w:t>
      </w:r>
      <w:proofErr w:type="spellStart"/>
      <w:r w:rsidRPr="00DA45D1">
        <w:rPr>
          <w:sz w:val="22"/>
          <w:lang w:val="it-IT"/>
        </w:rPr>
        <w:t>Springer</w:t>
      </w:r>
      <w:proofErr w:type="spellEnd"/>
      <w:r w:rsidRPr="00DA45D1">
        <w:rPr>
          <w:sz w:val="22"/>
          <w:lang w:val="it-IT"/>
        </w:rPr>
        <w:t>, Cham.</w:t>
      </w:r>
      <w:r>
        <w:rPr>
          <w:sz w:val="22"/>
          <w:lang w:val="it-IT"/>
        </w:rPr>
        <w:t xml:space="preserve"> DOI: </w:t>
      </w:r>
      <w:r w:rsidRPr="00DA45D1">
        <w:rPr>
          <w:sz w:val="22"/>
          <w:lang w:val="it-IT"/>
        </w:rPr>
        <w:t>10.1007/978-3-319-68130-6_1</w:t>
      </w:r>
      <w:r>
        <w:rPr>
          <w:sz w:val="22"/>
          <w:lang w:val="it-IT"/>
        </w:rPr>
        <w:t>.</w:t>
      </w:r>
    </w:p>
    <w:p w14:paraId="40354837" w14:textId="77777777" w:rsidR="00895921" w:rsidRPr="00895921" w:rsidRDefault="00895921" w:rsidP="00895921">
      <w:pPr>
        <w:spacing w:line="276" w:lineRule="auto"/>
        <w:ind w:left="284" w:hanging="284"/>
        <w:rPr>
          <w:sz w:val="22"/>
        </w:rPr>
      </w:pPr>
      <w:r w:rsidRPr="00895921">
        <w:rPr>
          <w:sz w:val="22"/>
          <w:lang w:val="it-IT"/>
        </w:rPr>
        <w:t xml:space="preserve">Di Iorio, A., Peroni, S., Poggi, F. (2019). </w:t>
      </w:r>
      <w:r w:rsidRPr="00895921">
        <w:rPr>
          <w:sz w:val="22"/>
        </w:rPr>
        <w:t xml:space="preserve">ASN 2016 evaluation with open data. Version 1. </w:t>
      </w:r>
      <w:proofErr w:type="spellStart"/>
      <w:r w:rsidRPr="00895921">
        <w:rPr>
          <w:sz w:val="22"/>
        </w:rPr>
        <w:t>Zenodo</w:t>
      </w:r>
      <w:proofErr w:type="spellEnd"/>
      <w:r w:rsidRPr="00895921">
        <w:rPr>
          <w:sz w:val="22"/>
        </w:rPr>
        <w:t>. DOI: 10.5281/zenodo.2559481</w:t>
      </w:r>
    </w:p>
    <w:p w14:paraId="2B227DCF" w14:textId="77777777" w:rsidR="00895921" w:rsidRPr="00895921" w:rsidRDefault="00895921" w:rsidP="00895921">
      <w:pPr>
        <w:spacing w:line="276" w:lineRule="auto"/>
        <w:ind w:left="284" w:hanging="284"/>
        <w:rPr>
          <w:sz w:val="22"/>
        </w:rPr>
      </w:pPr>
      <w:proofErr w:type="spellStart"/>
      <w:r w:rsidRPr="00895921">
        <w:rPr>
          <w:sz w:val="22"/>
          <w:lang w:val="en-US"/>
        </w:rPr>
        <w:t>Franceschet</w:t>
      </w:r>
      <w:proofErr w:type="spellEnd"/>
      <w:r w:rsidRPr="00895921">
        <w:rPr>
          <w:sz w:val="22"/>
          <w:lang w:val="en-US"/>
        </w:rPr>
        <w:t xml:space="preserve">, M. and </w:t>
      </w:r>
      <w:proofErr w:type="spellStart"/>
      <w:r w:rsidRPr="00895921">
        <w:rPr>
          <w:sz w:val="22"/>
          <w:lang w:val="en-US"/>
        </w:rPr>
        <w:t>Costantini</w:t>
      </w:r>
      <w:proofErr w:type="spellEnd"/>
      <w:r w:rsidRPr="00895921">
        <w:rPr>
          <w:sz w:val="22"/>
          <w:lang w:val="en-US"/>
        </w:rPr>
        <w:t xml:space="preserve">, A. (2011). </w:t>
      </w:r>
      <w:r w:rsidRPr="00895921">
        <w:rPr>
          <w:sz w:val="22"/>
        </w:rPr>
        <w:t xml:space="preserve">The first Italian research assessment exercise: A bibliometric perspective. </w:t>
      </w:r>
      <w:r w:rsidRPr="00415378">
        <w:rPr>
          <w:i/>
          <w:sz w:val="22"/>
        </w:rPr>
        <w:t xml:space="preserve">Journal of </w:t>
      </w:r>
      <w:proofErr w:type="spellStart"/>
      <w:r w:rsidRPr="00415378">
        <w:rPr>
          <w:i/>
          <w:sz w:val="22"/>
        </w:rPr>
        <w:t>informetrics</w:t>
      </w:r>
      <w:proofErr w:type="spellEnd"/>
      <w:r w:rsidRPr="00415378">
        <w:rPr>
          <w:i/>
          <w:sz w:val="22"/>
        </w:rPr>
        <w:t>, 5</w:t>
      </w:r>
      <w:r w:rsidRPr="00895921">
        <w:rPr>
          <w:sz w:val="22"/>
        </w:rPr>
        <w:t>(2):275–291. DOI:10.1016/j.joi.2010.12.002.</w:t>
      </w:r>
    </w:p>
    <w:p w14:paraId="574DA208" w14:textId="34319A63" w:rsidR="00033D31" w:rsidRPr="00895921" w:rsidRDefault="00033D31" w:rsidP="00033D31">
      <w:pPr>
        <w:spacing w:line="276" w:lineRule="auto"/>
        <w:ind w:left="284" w:hanging="284"/>
        <w:rPr>
          <w:sz w:val="22"/>
        </w:rPr>
      </w:pPr>
      <w:proofErr w:type="spellStart"/>
      <w:r w:rsidRPr="00895921">
        <w:rPr>
          <w:sz w:val="22"/>
          <w:lang w:val="it-IT"/>
        </w:rPr>
        <w:t>Heibi</w:t>
      </w:r>
      <w:proofErr w:type="spellEnd"/>
      <w:r w:rsidRPr="00895921">
        <w:rPr>
          <w:sz w:val="22"/>
          <w:lang w:val="it-IT"/>
        </w:rPr>
        <w:t xml:space="preserve">, I., Peroni, S. &amp; </w:t>
      </w:r>
      <w:proofErr w:type="spellStart"/>
      <w:r w:rsidRPr="00895921">
        <w:rPr>
          <w:sz w:val="22"/>
          <w:lang w:val="it-IT"/>
        </w:rPr>
        <w:t>Shotton</w:t>
      </w:r>
      <w:proofErr w:type="spellEnd"/>
      <w:r w:rsidRPr="00895921">
        <w:rPr>
          <w:sz w:val="22"/>
          <w:lang w:val="it-IT"/>
        </w:rPr>
        <w:t xml:space="preserve">, D. (2019). </w:t>
      </w:r>
      <w:proofErr w:type="gramStart"/>
      <w:r w:rsidRPr="00895921">
        <w:rPr>
          <w:sz w:val="22"/>
        </w:rPr>
        <w:t>Crowdsourcing open citations with CROCI – An analysis of the current status of open citations, and a proposal.</w:t>
      </w:r>
      <w:proofErr w:type="gramEnd"/>
      <w:r w:rsidRPr="00895921">
        <w:rPr>
          <w:sz w:val="22"/>
        </w:rPr>
        <w:t xml:space="preserve"> Submitted for publication at the </w:t>
      </w:r>
      <w:r w:rsidRPr="00411255">
        <w:rPr>
          <w:i/>
          <w:sz w:val="22"/>
        </w:rPr>
        <w:t xml:space="preserve">17th International Conference on </w:t>
      </w:r>
      <w:proofErr w:type="spellStart"/>
      <w:r w:rsidRPr="00411255">
        <w:rPr>
          <w:i/>
          <w:sz w:val="22"/>
        </w:rPr>
        <w:t>Scientometrics</w:t>
      </w:r>
      <w:proofErr w:type="spellEnd"/>
      <w:r w:rsidRPr="00411255">
        <w:rPr>
          <w:i/>
          <w:sz w:val="22"/>
        </w:rPr>
        <w:t xml:space="preserve"> and </w:t>
      </w:r>
      <w:proofErr w:type="spellStart"/>
      <w:r w:rsidRPr="00411255">
        <w:rPr>
          <w:i/>
          <w:sz w:val="22"/>
        </w:rPr>
        <w:t>Bibliometrics</w:t>
      </w:r>
      <w:proofErr w:type="spellEnd"/>
      <w:r w:rsidRPr="00411255">
        <w:rPr>
          <w:i/>
          <w:sz w:val="22"/>
        </w:rPr>
        <w:t xml:space="preserve"> (ISSI 2019).</w:t>
      </w:r>
      <w:r w:rsidRPr="00895921">
        <w:rPr>
          <w:sz w:val="22"/>
        </w:rPr>
        <w:t xml:space="preserve"> Preprint available at </w:t>
      </w:r>
      <w:hyperlink r:id="rId23" w:history="1">
        <w:r w:rsidR="0043570D" w:rsidRPr="00DC34D4">
          <w:rPr>
            <w:rStyle w:val="Collegamentoipertestuale"/>
            <w:sz w:val="22"/>
          </w:rPr>
          <w:t>https://opencitations.wordpress.com/2019/02/07/crowdsourcing-open-citations-with-croci/</w:t>
        </w:r>
      </w:hyperlink>
      <w:r w:rsidR="0043570D">
        <w:rPr>
          <w:sz w:val="22"/>
        </w:rPr>
        <w:t xml:space="preserve"> </w:t>
      </w:r>
      <w:r w:rsidRPr="00895921">
        <w:rPr>
          <w:sz w:val="22"/>
        </w:rPr>
        <w:t>(last visited 7 February 2019)</w:t>
      </w:r>
    </w:p>
    <w:p w14:paraId="3EB9C925" w14:textId="77777777" w:rsidR="00033D31" w:rsidRPr="00415378" w:rsidRDefault="00033D31" w:rsidP="00033D31">
      <w:pPr>
        <w:spacing w:line="276" w:lineRule="auto"/>
        <w:ind w:left="284" w:hanging="284"/>
        <w:rPr>
          <w:sz w:val="22"/>
          <w:lang w:val="en-US"/>
        </w:rPr>
      </w:pPr>
      <w:r w:rsidRPr="00033D31">
        <w:rPr>
          <w:sz w:val="22"/>
          <w:lang w:val="en-US"/>
        </w:rPr>
        <w:t xml:space="preserve">Law </w:t>
      </w:r>
      <w:proofErr w:type="spellStart"/>
      <w:r w:rsidRPr="00033D31">
        <w:rPr>
          <w:sz w:val="22"/>
          <w:lang w:val="en-US"/>
        </w:rPr>
        <w:t>dec.</w:t>
      </w:r>
      <w:proofErr w:type="spellEnd"/>
      <w:r w:rsidRPr="00033D31">
        <w:rPr>
          <w:sz w:val="22"/>
          <w:lang w:val="en-US"/>
        </w:rPr>
        <w:t xml:space="preserve"> 30, n. 240 (2011). </w:t>
      </w:r>
      <w:r w:rsidRPr="00033D31">
        <w:rPr>
          <w:sz w:val="22"/>
        </w:rPr>
        <w:t>Rules concerning the organization of the universities, academic employees and recruitment procedures, empowering the government to foster the quality and efficiency of the university system (</w:t>
      </w:r>
      <w:proofErr w:type="spellStart"/>
      <w:r w:rsidRPr="00033D31">
        <w:rPr>
          <w:sz w:val="22"/>
        </w:rPr>
        <w:t>Norme</w:t>
      </w:r>
      <w:proofErr w:type="spellEnd"/>
      <w:r w:rsidRPr="00033D31">
        <w:rPr>
          <w:sz w:val="22"/>
        </w:rPr>
        <w:t xml:space="preserve"> in </w:t>
      </w:r>
      <w:proofErr w:type="spellStart"/>
      <w:r w:rsidRPr="00033D31">
        <w:rPr>
          <w:sz w:val="22"/>
        </w:rPr>
        <w:t>materia</w:t>
      </w:r>
      <w:proofErr w:type="spellEnd"/>
      <w:r w:rsidRPr="00033D31">
        <w:rPr>
          <w:sz w:val="22"/>
        </w:rPr>
        <w:t xml:space="preserve"> di </w:t>
      </w:r>
      <w:proofErr w:type="spellStart"/>
      <w:r w:rsidRPr="00033D31">
        <w:rPr>
          <w:sz w:val="22"/>
        </w:rPr>
        <w:t>organizzazione</w:t>
      </w:r>
      <w:proofErr w:type="spellEnd"/>
      <w:r w:rsidRPr="00033D31">
        <w:rPr>
          <w:sz w:val="22"/>
        </w:rPr>
        <w:t xml:space="preserve"> </w:t>
      </w:r>
      <w:proofErr w:type="spellStart"/>
      <w:r w:rsidRPr="00033D31">
        <w:rPr>
          <w:sz w:val="22"/>
        </w:rPr>
        <w:t>delle</w:t>
      </w:r>
      <w:proofErr w:type="spellEnd"/>
      <w:r w:rsidRPr="00033D31">
        <w:rPr>
          <w:sz w:val="22"/>
        </w:rPr>
        <w:t xml:space="preserve"> </w:t>
      </w:r>
      <w:proofErr w:type="spellStart"/>
      <w:r w:rsidRPr="00033D31">
        <w:rPr>
          <w:sz w:val="22"/>
        </w:rPr>
        <w:t>università</w:t>
      </w:r>
      <w:proofErr w:type="spellEnd"/>
      <w:r w:rsidRPr="00033D31">
        <w:rPr>
          <w:sz w:val="22"/>
        </w:rPr>
        <w:t xml:space="preserve">, di </w:t>
      </w:r>
      <w:proofErr w:type="spellStart"/>
      <w:r w:rsidRPr="00033D31">
        <w:rPr>
          <w:sz w:val="22"/>
        </w:rPr>
        <w:t>personale</w:t>
      </w:r>
      <w:proofErr w:type="spellEnd"/>
      <w:r w:rsidRPr="00033D31">
        <w:rPr>
          <w:sz w:val="22"/>
        </w:rPr>
        <w:t xml:space="preserve"> </w:t>
      </w:r>
      <w:proofErr w:type="spellStart"/>
      <w:r w:rsidRPr="00033D31">
        <w:rPr>
          <w:sz w:val="22"/>
        </w:rPr>
        <w:t>accademico</w:t>
      </w:r>
      <w:proofErr w:type="spellEnd"/>
      <w:r w:rsidRPr="00033D31">
        <w:rPr>
          <w:sz w:val="22"/>
        </w:rPr>
        <w:t xml:space="preserve"> e </w:t>
      </w:r>
      <w:proofErr w:type="spellStart"/>
      <w:r w:rsidRPr="00033D31">
        <w:rPr>
          <w:sz w:val="22"/>
        </w:rPr>
        <w:t>reclutamento</w:t>
      </w:r>
      <w:proofErr w:type="spellEnd"/>
      <w:r w:rsidRPr="00033D31">
        <w:rPr>
          <w:sz w:val="22"/>
        </w:rPr>
        <w:t xml:space="preserve">, </w:t>
      </w:r>
      <w:proofErr w:type="spellStart"/>
      <w:r w:rsidRPr="00033D31">
        <w:rPr>
          <w:sz w:val="22"/>
        </w:rPr>
        <w:t>nonche</w:t>
      </w:r>
      <w:proofErr w:type="spellEnd"/>
      <w:r w:rsidRPr="00033D31">
        <w:rPr>
          <w:sz w:val="22"/>
        </w:rPr>
        <w:t xml:space="preserve">’ </w:t>
      </w:r>
      <w:proofErr w:type="spellStart"/>
      <w:r w:rsidRPr="00033D31">
        <w:rPr>
          <w:sz w:val="22"/>
        </w:rPr>
        <w:t>delega</w:t>
      </w:r>
      <w:proofErr w:type="spellEnd"/>
      <w:r w:rsidRPr="00033D31">
        <w:rPr>
          <w:sz w:val="22"/>
        </w:rPr>
        <w:t xml:space="preserve"> al </w:t>
      </w:r>
      <w:proofErr w:type="spellStart"/>
      <w:r w:rsidRPr="00033D31">
        <w:rPr>
          <w:sz w:val="22"/>
        </w:rPr>
        <w:t>Governo</w:t>
      </w:r>
      <w:proofErr w:type="spellEnd"/>
      <w:r w:rsidRPr="00033D31">
        <w:rPr>
          <w:sz w:val="22"/>
        </w:rPr>
        <w:t xml:space="preserve"> per </w:t>
      </w:r>
      <w:proofErr w:type="spellStart"/>
      <w:r w:rsidRPr="00033D31">
        <w:rPr>
          <w:sz w:val="22"/>
        </w:rPr>
        <w:t>incentivare</w:t>
      </w:r>
      <w:proofErr w:type="spellEnd"/>
      <w:r w:rsidRPr="00033D31">
        <w:rPr>
          <w:sz w:val="22"/>
        </w:rPr>
        <w:t xml:space="preserve"> la </w:t>
      </w:r>
      <w:proofErr w:type="spellStart"/>
      <w:r w:rsidRPr="00033D31">
        <w:rPr>
          <w:sz w:val="22"/>
        </w:rPr>
        <w:t>qualità</w:t>
      </w:r>
      <w:proofErr w:type="spellEnd"/>
      <w:r w:rsidRPr="00033D31">
        <w:rPr>
          <w:sz w:val="22"/>
        </w:rPr>
        <w:t xml:space="preserve"> e </w:t>
      </w:r>
      <w:proofErr w:type="spellStart"/>
      <w:r w:rsidRPr="00033D31">
        <w:rPr>
          <w:sz w:val="22"/>
        </w:rPr>
        <w:t>l’efficienza</w:t>
      </w:r>
      <w:proofErr w:type="spellEnd"/>
      <w:r w:rsidRPr="00033D31">
        <w:rPr>
          <w:sz w:val="22"/>
        </w:rPr>
        <w:t xml:space="preserve"> del </w:t>
      </w:r>
      <w:proofErr w:type="spellStart"/>
      <w:r w:rsidRPr="00033D31">
        <w:rPr>
          <w:sz w:val="22"/>
        </w:rPr>
        <w:t>sistema</w:t>
      </w:r>
      <w:proofErr w:type="spellEnd"/>
      <w:r w:rsidRPr="00033D31">
        <w:rPr>
          <w:sz w:val="22"/>
        </w:rPr>
        <w:t xml:space="preserve"> </w:t>
      </w:r>
      <w:proofErr w:type="spellStart"/>
      <w:r w:rsidRPr="00033D31">
        <w:rPr>
          <w:sz w:val="22"/>
        </w:rPr>
        <w:t>universitario</w:t>
      </w:r>
      <w:proofErr w:type="spellEnd"/>
      <w:r w:rsidRPr="00033D31">
        <w:rPr>
          <w:sz w:val="22"/>
        </w:rPr>
        <w:t xml:space="preserve">), </w:t>
      </w:r>
      <w:proofErr w:type="spellStart"/>
      <w:r w:rsidRPr="00033D31">
        <w:rPr>
          <w:sz w:val="22"/>
        </w:rPr>
        <w:t>Gazzetta</w:t>
      </w:r>
      <w:proofErr w:type="spellEnd"/>
      <w:r w:rsidRPr="00033D31">
        <w:rPr>
          <w:sz w:val="22"/>
        </w:rPr>
        <w:t xml:space="preserve"> </w:t>
      </w:r>
      <w:proofErr w:type="spellStart"/>
      <w:r w:rsidRPr="00033D31">
        <w:rPr>
          <w:sz w:val="22"/>
        </w:rPr>
        <w:t>Ufficiale</w:t>
      </w:r>
      <w:proofErr w:type="spellEnd"/>
      <w:r w:rsidRPr="00033D31">
        <w:rPr>
          <w:sz w:val="22"/>
        </w:rPr>
        <w:t xml:space="preserve"> n. 10 del 14 </w:t>
      </w:r>
      <w:proofErr w:type="spellStart"/>
      <w:r w:rsidRPr="00033D31">
        <w:rPr>
          <w:sz w:val="22"/>
        </w:rPr>
        <w:t>gennaio</w:t>
      </w:r>
      <w:proofErr w:type="spellEnd"/>
      <w:r w:rsidRPr="00033D31">
        <w:rPr>
          <w:sz w:val="22"/>
        </w:rPr>
        <w:t xml:space="preserve"> 2011 - Suppl. </w:t>
      </w:r>
      <w:proofErr w:type="spellStart"/>
      <w:r w:rsidRPr="00895921">
        <w:rPr>
          <w:sz w:val="22"/>
        </w:rPr>
        <w:t>Ordinario</w:t>
      </w:r>
      <w:proofErr w:type="spellEnd"/>
      <w:r w:rsidRPr="00895921">
        <w:rPr>
          <w:sz w:val="22"/>
        </w:rPr>
        <w:t xml:space="preserve"> n. 11. </w:t>
      </w:r>
      <w:r w:rsidRPr="00033D31">
        <w:rPr>
          <w:sz w:val="22"/>
          <w:lang w:val="en-US"/>
        </w:rPr>
        <w:t xml:space="preserve">Available at </w:t>
      </w:r>
      <w:hyperlink r:id="rId24" w:history="1">
        <w:r w:rsidRPr="00033D31">
          <w:rPr>
            <w:rStyle w:val="Collegamentoipertestuale"/>
            <w:sz w:val="22"/>
            <w:lang w:val="en-US"/>
          </w:rPr>
          <w:t>http://www.gazzettaufficiale.it/eli/id/2011/01/14/011G0009/sg</w:t>
        </w:r>
      </w:hyperlink>
      <w:r w:rsidRPr="00033D31">
        <w:rPr>
          <w:sz w:val="22"/>
          <w:lang w:val="en-US"/>
        </w:rPr>
        <w:t xml:space="preserve">. </w:t>
      </w:r>
      <w:r w:rsidRPr="00415378">
        <w:rPr>
          <w:sz w:val="22"/>
          <w:lang w:val="en-US"/>
        </w:rPr>
        <w:t>(Accessed 6 June 2019).</w:t>
      </w:r>
    </w:p>
    <w:p w14:paraId="11CC09BD" w14:textId="708D12BD" w:rsidR="00033D31" w:rsidRPr="00895921" w:rsidRDefault="00415378" w:rsidP="00033D31">
      <w:pPr>
        <w:spacing w:line="276" w:lineRule="auto"/>
        <w:ind w:left="284" w:hanging="284"/>
        <w:rPr>
          <w:sz w:val="22"/>
        </w:rPr>
      </w:pPr>
      <w:r>
        <w:rPr>
          <w:sz w:val="22"/>
        </w:rPr>
        <w:t>Marini, G.</w:t>
      </w:r>
      <w:r w:rsidR="00033D31" w:rsidRPr="00895921">
        <w:rPr>
          <w:sz w:val="22"/>
        </w:rPr>
        <w:t xml:space="preserve"> </w:t>
      </w:r>
      <w:r>
        <w:rPr>
          <w:sz w:val="22"/>
        </w:rPr>
        <w:t>(</w:t>
      </w:r>
      <w:r w:rsidR="00033D31" w:rsidRPr="00895921">
        <w:rPr>
          <w:sz w:val="22"/>
        </w:rPr>
        <w:t>2017</w:t>
      </w:r>
      <w:r>
        <w:rPr>
          <w:sz w:val="22"/>
        </w:rPr>
        <w:t>)</w:t>
      </w:r>
      <w:r w:rsidR="00033D31" w:rsidRPr="00895921">
        <w:rPr>
          <w:sz w:val="22"/>
        </w:rPr>
        <w:t xml:space="preserve">. New promotion patterns in Italian universities: Less seniority and more productivity? </w:t>
      </w:r>
      <w:r w:rsidR="00033D31" w:rsidRPr="00415378">
        <w:rPr>
          <w:i/>
          <w:sz w:val="22"/>
        </w:rPr>
        <w:t>Data from ASN. Higher Education, 73</w:t>
      </w:r>
      <w:r w:rsidR="00033D31" w:rsidRPr="00895921">
        <w:rPr>
          <w:sz w:val="22"/>
        </w:rPr>
        <w:t>(2), pp.189-205.</w:t>
      </w:r>
    </w:p>
    <w:p w14:paraId="12AF9D17" w14:textId="77777777" w:rsidR="00B50104" w:rsidRPr="00895921" w:rsidRDefault="00B50104" w:rsidP="00895921">
      <w:pPr>
        <w:spacing w:line="276" w:lineRule="auto"/>
        <w:ind w:left="284" w:hanging="284"/>
        <w:rPr>
          <w:rFonts w:eastAsia="Arial"/>
          <w:sz w:val="22"/>
        </w:rPr>
      </w:pPr>
      <w:proofErr w:type="spellStart"/>
      <w:r w:rsidRPr="00895921">
        <w:rPr>
          <w:sz w:val="22"/>
        </w:rPr>
        <w:t>Marzolla</w:t>
      </w:r>
      <w:proofErr w:type="spellEnd"/>
      <w:r w:rsidRPr="00895921">
        <w:rPr>
          <w:sz w:val="22"/>
        </w:rPr>
        <w:t xml:space="preserve">, M. (2015).  Quantitative analysis of the Italian national scientific qualification. </w:t>
      </w:r>
      <w:r w:rsidRPr="00415378">
        <w:rPr>
          <w:i/>
          <w:sz w:val="22"/>
        </w:rPr>
        <w:t xml:space="preserve">Journal of </w:t>
      </w:r>
      <w:proofErr w:type="spellStart"/>
      <w:r w:rsidRPr="00415378">
        <w:rPr>
          <w:i/>
          <w:sz w:val="22"/>
        </w:rPr>
        <w:t>Informetrics</w:t>
      </w:r>
      <w:proofErr w:type="spellEnd"/>
      <w:r w:rsidRPr="00415378">
        <w:rPr>
          <w:i/>
          <w:sz w:val="22"/>
        </w:rPr>
        <w:t>, 9</w:t>
      </w:r>
      <w:r w:rsidRPr="00895921">
        <w:rPr>
          <w:sz w:val="22"/>
        </w:rPr>
        <w:t>(2):285–316. DOI:10.1016/j.joi.2015.02.006</w:t>
      </w:r>
    </w:p>
    <w:p w14:paraId="762A23AA" w14:textId="77777777" w:rsidR="00B50104" w:rsidRPr="00895921" w:rsidRDefault="00B50104" w:rsidP="00895921">
      <w:pPr>
        <w:spacing w:line="276" w:lineRule="auto"/>
        <w:ind w:left="284" w:hanging="284"/>
        <w:rPr>
          <w:sz w:val="22"/>
          <w:lang w:val="it-IT"/>
        </w:rPr>
      </w:pPr>
      <w:proofErr w:type="spellStart"/>
      <w:r w:rsidRPr="00895921">
        <w:rPr>
          <w:sz w:val="22"/>
        </w:rPr>
        <w:t>Marzolla</w:t>
      </w:r>
      <w:proofErr w:type="spellEnd"/>
      <w:r w:rsidRPr="00895921">
        <w:rPr>
          <w:sz w:val="22"/>
        </w:rPr>
        <w:t xml:space="preserve">, M. (2016). Assessing evaluation procedures for individual researchers: The case of the Italian National Scientific Qualification. </w:t>
      </w:r>
      <w:r w:rsidRPr="00415378">
        <w:rPr>
          <w:i/>
          <w:sz w:val="22"/>
          <w:lang w:val="it-IT"/>
        </w:rPr>
        <w:t xml:space="preserve">Journal of </w:t>
      </w:r>
      <w:proofErr w:type="spellStart"/>
      <w:r w:rsidRPr="00415378">
        <w:rPr>
          <w:i/>
          <w:sz w:val="22"/>
          <w:lang w:val="it-IT"/>
        </w:rPr>
        <w:t>Informetrics</w:t>
      </w:r>
      <w:proofErr w:type="spellEnd"/>
      <w:r w:rsidRPr="00415378">
        <w:rPr>
          <w:i/>
          <w:sz w:val="22"/>
          <w:lang w:val="it-IT"/>
        </w:rPr>
        <w:t>, 10</w:t>
      </w:r>
      <w:r w:rsidRPr="00895921">
        <w:rPr>
          <w:sz w:val="22"/>
          <w:lang w:val="it-IT"/>
        </w:rPr>
        <w:t>(2), 408-438. DOI: 10.1016/j.joi.2016.01.009</w:t>
      </w:r>
    </w:p>
    <w:p w14:paraId="2A22EB00" w14:textId="77777777" w:rsidR="00033D31" w:rsidRPr="00895921" w:rsidRDefault="00033D31" w:rsidP="00033D31">
      <w:pPr>
        <w:spacing w:line="276" w:lineRule="auto"/>
        <w:ind w:left="284" w:hanging="284"/>
        <w:rPr>
          <w:sz w:val="22"/>
        </w:rPr>
      </w:pPr>
      <w:proofErr w:type="spellStart"/>
      <w:r w:rsidRPr="00895921">
        <w:rPr>
          <w:sz w:val="22"/>
        </w:rPr>
        <w:t>Nederhof</w:t>
      </w:r>
      <w:proofErr w:type="spellEnd"/>
      <w:r w:rsidRPr="00895921">
        <w:rPr>
          <w:sz w:val="22"/>
        </w:rPr>
        <w:t xml:space="preserve">, A. J. and Van </w:t>
      </w:r>
      <w:proofErr w:type="spellStart"/>
      <w:r w:rsidRPr="00895921">
        <w:rPr>
          <w:sz w:val="22"/>
        </w:rPr>
        <w:t>Raan</w:t>
      </w:r>
      <w:proofErr w:type="spellEnd"/>
      <w:r w:rsidRPr="00895921">
        <w:rPr>
          <w:sz w:val="22"/>
        </w:rPr>
        <w:t xml:space="preserve">, A. F. (1987). Peer review and bibliometric indicators of scientific performance: a comparison of cum laude doctorates with ordinary doctorates in physics. </w:t>
      </w:r>
      <w:proofErr w:type="spellStart"/>
      <w:r w:rsidRPr="00415378">
        <w:rPr>
          <w:i/>
          <w:sz w:val="22"/>
        </w:rPr>
        <w:t>Scientometrics</w:t>
      </w:r>
      <w:proofErr w:type="spellEnd"/>
      <w:r w:rsidRPr="00415378">
        <w:rPr>
          <w:i/>
          <w:sz w:val="22"/>
        </w:rPr>
        <w:t>, 11</w:t>
      </w:r>
      <w:r w:rsidRPr="00895921">
        <w:rPr>
          <w:sz w:val="22"/>
        </w:rPr>
        <w:t>(5-6):333–350. DOI</w:t>
      </w:r>
      <w:proofErr w:type="gramStart"/>
      <w:r w:rsidRPr="00895921">
        <w:rPr>
          <w:sz w:val="22"/>
        </w:rPr>
        <w:t>:10.1007</w:t>
      </w:r>
      <w:proofErr w:type="gramEnd"/>
      <w:r w:rsidRPr="00895921">
        <w:rPr>
          <w:sz w:val="22"/>
        </w:rPr>
        <w:t>/BF02279353.</w:t>
      </w:r>
    </w:p>
    <w:p w14:paraId="189E34DF" w14:textId="77777777" w:rsidR="00033D31" w:rsidRPr="00895921" w:rsidRDefault="00033D31" w:rsidP="00033D31">
      <w:pPr>
        <w:spacing w:line="276" w:lineRule="auto"/>
        <w:ind w:left="284" w:hanging="284"/>
        <w:rPr>
          <w:sz w:val="22"/>
          <w:lang w:val="it-IT"/>
        </w:rPr>
      </w:pPr>
      <w:r w:rsidRPr="00895921">
        <w:rPr>
          <w:sz w:val="22"/>
        </w:rPr>
        <w:t xml:space="preserve">Norris, M. and Oppenheim, C. (2003). Citation counts and the Research Assessment Exercise V: Archaeology and the 2001 RAE. </w:t>
      </w:r>
      <w:r w:rsidRPr="00415378">
        <w:rPr>
          <w:i/>
          <w:sz w:val="22"/>
          <w:lang w:val="it-IT"/>
        </w:rPr>
        <w:t xml:space="preserve">Journal of </w:t>
      </w:r>
      <w:proofErr w:type="spellStart"/>
      <w:r w:rsidRPr="00415378">
        <w:rPr>
          <w:i/>
          <w:sz w:val="22"/>
          <w:lang w:val="it-IT"/>
        </w:rPr>
        <w:t>Documentation</w:t>
      </w:r>
      <w:proofErr w:type="spellEnd"/>
      <w:r w:rsidRPr="00415378">
        <w:rPr>
          <w:i/>
          <w:sz w:val="22"/>
          <w:lang w:val="it-IT"/>
        </w:rPr>
        <w:t>, 59</w:t>
      </w:r>
      <w:r w:rsidRPr="00895921">
        <w:rPr>
          <w:sz w:val="22"/>
          <w:lang w:val="it-IT"/>
        </w:rPr>
        <w:t>(6):709–730. DOI:10.1108/00220410310698734</w:t>
      </w:r>
    </w:p>
    <w:p w14:paraId="40DAFC7A" w14:textId="0F587160" w:rsidR="00033D31" w:rsidRPr="00415378" w:rsidRDefault="00033D31" w:rsidP="00033D31">
      <w:pPr>
        <w:spacing w:line="276" w:lineRule="auto"/>
        <w:ind w:left="284" w:hanging="284"/>
        <w:rPr>
          <w:sz w:val="22"/>
        </w:rPr>
      </w:pPr>
      <w:proofErr w:type="spellStart"/>
      <w:r w:rsidRPr="00895921">
        <w:rPr>
          <w:sz w:val="22"/>
          <w:lang w:val="it-IT"/>
        </w:rPr>
        <w:t>Nuzzolese</w:t>
      </w:r>
      <w:proofErr w:type="spellEnd"/>
      <w:r w:rsidRPr="00895921">
        <w:rPr>
          <w:sz w:val="22"/>
          <w:lang w:val="it-IT"/>
        </w:rPr>
        <w:t xml:space="preserve">, A. G., </w:t>
      </w:r>
      <w:proofErr w:type="spellStart"/>
      <w:r w:rsidRPr="00895921">
        <w:rPr>
          <w:sz w:val="22"/>
          <w:lang w:val="it-IT"/>
        </w:rPr>
        <w:t>Ciancarini</w:t>
      </w:r>
      <w:proofErr w:type="spellEnd"/>
      <w:r w:rsidRPr="00895921">
        <w:rPr>
          <w:sz w:val="22"/>
          <w:lang w:val="it-IT"/>
        </w:rPr>
        <w:t>, P., Gangemi, A., Peroni, S., Poggi, F.,</w:t>
      </w:r>
      <w:r w:rsidR="00415378">
        <w:rPr>
          <w:sz w:val="22"/>
          <w:lang w:val="it-IT"/>
        </w:rPr>
        <w:t xml:space="preserve"> &amp; </w:t>
      </w:r>
      <w:proofErr w:type="spellStart"/>
      <w:r w:rsidR="00415378">
        <w:rPr>
          <w:sz w:val="22"/>
          <w:lang w:val="it-IT"/>
        </w:rPr>
        <w:t>Presutti</w:t>
      </w:r>
      <w:proofErr w:type="spellEnd"/>
      <w:r w:rsidR="00415378">
        <w:rPr>
          <w:sz w:val="22"/>
          <w:lang w:val="it-IT"/>
        </w:rPr>
        <w:t>, V. (2019</w:t>
      </w:r>
      <w:r w:rsidRPr="00895921">
        <w:rPr>
          <w:sz w:val="22"/>
          <w:lang w:val="it-IT"/>
        </w:rPr>
        <w:t xml:space="preserve">). </w:t>
      </w:r>
      <w:r w:rsidRPr="00895921">
        <w:rPr>
          <w:sz w:val="22"/>
        </w:rPr>
        <w:t xml:space="preserve">Do </w:t>
      </w:r>
      <w:proofErr w:type="spellStart"/>
      <w:r w:rsidRPr="00895921">
        <w:rPr>
          <w:sz w:val="22"/>
        </w:rPr>
        <w:t>altmetrics</w:t>
      </w:r>
      <w:proofErr w:type="spellEnd"/>
      <w:r w:rsidRPr="00895921">
        <w:rPr>
          <w:sz w:val="22"/>
        </w:rPr>
        <w:t xml:space="preserve"> work for assessing </w:t>
      </w:r>
      <w:r w:rsidRPr="00415378">
        <w:rPr>
          <w:sz w:val="22"/>
        </w:rPr>
        <w:t>res</w:t>
      </w:r>
      <w:r w:rsidR="00415378" w:rsidRPr="00415378">
        <w:rPr>
          <w:sz w:val="22"/>
        </w:rPr>
        <w:t>earch quality</w:t>
      </w:r>
      <w:proofErr w:type="gramStart"/>
      <w:r w:rsidR="00415378" w:rsidRPr="00415378">
        <w:rPr>
          <w:sz w:val="22"/>
        </w:rPr>
        <w:t>?.</w:t>
      </w:r>
      <w:proofErr w:type="gramEnd"/>
      <w:r w:rsidR="00415378" w:rsidRPr="00415378">
        <w:rPr>
          <w:sz w:val="22"/>
        </w:rPr>
        <w:t xml:space="preserve"> </w:t>
      </w:r>
      <w:proofErr w:type="spellStart"/>
      <w:r w:rsidR="00415378" w:rsidRPr="00415378">
        <w:rPr>
          <w:i/>
          <w:sz w:val="22"/>
        </w:rPr>
        <w:t>Scientometrics</w:t>
      </w:r>
      <w:proofErr w:type="spellEnd"/>
      <w:r w:rsidR="00415378" w:rsidRPr="00415378">
        <w:rPr>
          <w:i/>
          <w:sz w:val="22"/>
        </w:rPr>
        <w:t xml:space="preserve">, </w:t>
      </w:r>
      <w:r w:rsidR="00415378" w:rsidRPr="00415378">
        <w:rPr>
          <w:i/>
          <w:iCs/>
          <w:sz w:val="22"/>
          <w:shd w:val="clear" w:color="auto" w:fill="FFFFFF"/>
        </w:rPr>
        <w:t>118</w:t>
      </w:r>
      <w:r w:rsidR="00415378" w:rsidRPr="00415378">
        <w:rPr>
          <w:sz w:val="22"/>
          <w:shd w:val="clear" w:color="auto" w:fill="FFFFFF"/>
        </w:rPr>
        <w:t>(2), 539-562</w:t>
      </w:r>
      <w:r w:rsidRPr="00415378">
        <w:rPr>
          <w:sz w:val="22"/>
        </w:rPr>
        <w:t xml:space="preserve">. </w:t>
      </w:r>
      <w:r w:rsidR="00415378" w:rsidRPr="00415378">
        <w:rPr>
          <w:sz w:val="22"/>
        </w:rPr>
        <w:t>DOI</w:t>
      </w:r>
      <w:proofErr w:type="gramStart"/>
      <w:r w:rsidR="00415378" w:rsidRPr="00415378">
        <w:rPr>
          <w:sz w:val="22"/>
        </w:rPr>
        <w:t>:</w:t>
      </w:r>
      <w:r w:rsidR="00415378" w:rsidRPr="00415378">
        <w:rPr>
          <w:spacing w:val="4"/>
          <w:sz w:val="22"/>
          <w:shd w:val="clear" w:color="auto" w:fill="FCFCFC"/>
        </w:rPr>
        <w:t>10.1007</w:t>
      </w:r>
      <w:proofErr w:type="gramEnd"/>
      <w:r w:rsidR="00415378" w:rsidRPr="00415378">
        <w:rPr>
          <w:spacing w:val="4"/>
          <w:sz w:val="22"/>
          <w:shd w:val="clear" w:color="auto" w:fill="FCFCFC"/>
        </w:rPr>
        <w:t>/s11192-018-2988-z</w:t>
      </w:r>
    </w:p>
    <w:p w14:paraId="74EAB405" w14:textId="77777777" w:rsidR="00033D31" w:rsidRPr="00895921" w:rsidRDefault="00033D31" w:rsidP="00033D31">
      <w:pPr>
        <w:spacing w:line="276" w:lineRule="auto"/>
        <w:ind w:left="284" w:hanging="284"/>
        <w:rPr>
          <w:sz w:val="22"/>
        </w:rPr>
      </w:pPr>
      <w:r w:rsidRPr="00895921">
        <w:rPr>
          <w:sz w:val="22"/>
          <w:lang w:val="it-IT"/>
        </w:rPr>
        <w:t xml:space="preserve">Osborne, Francesco, Enrico Motta, and Paul </w:t>
      </w:r>
      <w:proofErr w:type="spellStart"/>
      <w:r w:rsidRPr="00895921">
        <w:rPr>
          <w:sz w:val="22"/>
          <w:lang w:val="it-IT"/>
        </w:rPr>
        <w:t>Mulholland</w:t>
      </w:r>
      <w:proofErr w:type="spellEnd"/>
      <w:r w:rsidRPr="00895921">
        <w:rPr>
          <w:sz w:val="22"/>
          <w:lang w:val="it-IT"/>
        </w:rPr>
        <w:t xml:space="preserve">. </w:t>
      </w:r>
      <w:r w:rsidRPr="00895921">
        <w:rPr>
          <w:sz w:val="22"/>
        </w:rPr>
        <w:t xml:space="preserve">"Exploring scholarly data with </w:t>
      </w:r>
      <w:proofErr w:type="spellStart"/>
      <w:r w:rsidRPr="00895921">
        <w:rPr>
          <w:sz w:val="22"/>
        </w:rPr>
        <w:t>rexplore</w:t>
      </w:r>
      <w:proofErr w:type="spellEnd"/>
      <w:r w:rsidRPr="00895921">
        <w:rPr>
          <w:sz w:val="22"/>
        </w:rPr>
        <w:t xml:space="preserve">." In </w:t>
      </w:r>
      <w:r w:rsidRPr="00197362">
        <w:rPr>
          <w:i/>
          <w:sz w:val="22"/>
        </w:rPr>
        <w:t>International semantic web conference</w:t>
      </w:r>
      <w:r w:rsidRPr="00895921">
        <w:rPr>
          <w:sz w:val="22"/>
        </w:rPr>
        <w:t>, pp. 460-477. Springer, Berlin, Heidelberg, 2013.</w:t>
      </w:r>
    </w:p>
    <w:p w14:paraId="2CCC9915" w14:textId="77777777" w:rsidR="00033D31" w:rsidRPr="00033D31" w:rsidRDefault="00033D31" w:rsidP="00033D31">
      <w:pPr>
        <w:spacing w:line="276" w:lineRule="auto"/>
        <w:ind w:left="284" w:hanging="284"/>
        <w:rPr>
          <w:sz w:val="22"/>
          <w:lang w:val="it-IT"/>
        </w:rPr>
      </w:pPr>
      <w:proofErr w:type="spellStart"/>
      <w:r w:rsidRPr="00895921">
        <w:rPr>
          <w:sz w:val="22"/>
        </w:rPr>
        <w:t>OpenCitations</w:t>
      </w:r>
      <w:proofErr w:type="spellEnd"/>
      <w:r w:rsidRPr="00895921">
        <w:rPr>
          <w:sz w:val="22"/>
        </w:rPr>
        <w:t xml:space="preserve"> (2018). COCI CSV dataset of all the citation data. </w:t>
      </w:r>
      <w:r w:rsidRPr="00033D31">
        <w:rPr>
          <w:sz w:val="22"/>
          <w:lang w:val="it-IT"/>
        </w:rPr>
        <w:t xml:space="preserve">Version 3. </w:t>
      </w:r>
      <w:proofErr w:type="spellStart"/>
      <w:r w:rsidRPr="00033D31">
        <w:rPr>
          <w:sz w:val="22"/>
          <w:lang w:val="it-IT"/>
        </w:rPr>
        <w:t>Figshare</w:t>
      </w:r>
      <w:proofErr w:type="spellEnd"/>
      <w:r w:rsidRPr="00033D31">
        <w:rPr>
          <w:sz w:val="22"/>
          <w:lang w:val="it-IT"/>
        </w:rPr>
        <w:t>. DOI: 10.6084/m9.figshare.6741422.v3</w:t>
      </w:r>
    </w:p>
    <w:p w14:paraId="65BD6C77" w14:textId="77777777" w:rsidR="00033D31" w:rsidRPr="00895921" w:rsidRDefault="00033D31" w:rsidP="00033D31">
      <w:pPr>
        <w:spacing w:line="276" w:lineRule="auto"/>
        <w:ind w:left="284" w:hanging="284"/>
        <w:rPr>
          <w:sz w:val="22"/>
        </w:rPr>
      </w:pPr>
      <w:proofErr w:type="spellStart"/>
      <w:r w:rsidRPr="00895921">
        <w:rPr>
          <w:sz w:val="22"/>
        </w:rPr>
        <w:t>Peroni</w:t>
      </w:r>
      <w:proofErr w:type="spellEnd"/>
      <w:r w:rsidRPr="00895921">
        <w:rPr>
          <w:sz w:val="22"/>
        </w:rPr>
        <w:t xml:space="preserve">, S. &amp; </w:t>
      </w:r>
      <w:proofErr w:type="spellStart"/>
      <w:r w:rsidRPr="00895921">
        <w:rPr>
          <w:sz w:val="22"/>
        </w:rPr>
        <w:t>Shotton</w:t>
      </w:r>
      <w:proofErr w:type="spellEnd"/>
      <w:r w:rsidRPr="00895921">
        <w:rPr>
          <w:sz w:val="22"/>
        </w:rPr>
        <w:t xml:space="preserve">, D. (2018). Open Citation: Definition. Version 1. </w:t>
      </w:r>
      <w:proofErr w:type="spellStart"/>
      <w:r w:rsidRPr="00895921">
        <w:rPr>
          <w:sz w:val="22"/>
        </w:rPr>
        <w:t>Figshare</w:t>
      </w:r>
      <w:proofErr w:type="spellEnd"/>
      <w:r w:rsidRPr="00895921">
        <w:rPr>
          <w:sz w:val="22"/>
        </w:rPr>
        <w:t>. DOI: 10.6084/m9.figshare.6683855</w:t>
      </w:r>
    </w:p>
    <w:p w14:paraId="275A034B" w14:textId="3E8DBD9B" w:rsidR="001D4D67" w:rsidRPr="001D4D67" w:rsidRDefault="001D4D67" w:rsidP="001D4D67">
      <w:pPr>
        <w:spacing w:line="276" w:lineRule="auto"/>
        <w:ind w:left="284" w:hanging="284"/>
        <w:rPr>
          <w:sz w:val="22"/>
          <w:lang w:val="en-US"/>
        </w:rPr>
      </w:pPr>
      <w:r w:rsidRPr="001D4D67">
        <w:rPr>
          <w:sz w:val="22"/>
          <w:lang w:val="it-IT"/>
        </w:rPr>
        <w:t xml:space="preserve">Poggi F, </w:t>
      </w:r>
      <w:proofErr w:type="spellStart"/>
      <w:r w:rsidRPr="001D4D67">
        <w:rPr>
          <w:sz w:val="22"/>
          <w:lang w:val="it-IT"/>
        </w:rPr>
        <w:t>Ciancarini</w:t>
      </w:r>
      <w:proofErr w:type="spellEnd"/>
      <w:r w:rsidRPr="001D4D67">
        <w:rPr>
          <w:sz w:val="22"/>
          <w:lang w:val="it-IT"/>
        </w:rPr>
        <w:t xml:space="preserve"> P, Gangemi A, </w:t>
      </w:r>
      <w:proofErr w:type="spellStart"/>
      <w:r w:rsidRPr="001D4D67">
        <w:rPr>
          <w:sz w:val="22"/>
          <w:lang w:val="it-IT"/>
        </w:rPr>
        <w:t>Nuzzolese</w:t>
      </w:r>
      <w:proofErr w:type="spellEnd"/>
      <w:r w:rsidRPr="001D4D67">
        <w:rPr>
          <w:sz w:val="22"/>
          <w:lang w:val="it-IT"/>
        </w:rPr>
        <w:t xml:space="preserve"> AG, Peroni S, </w:t>
      </w:r>
      <w:proofErr w:type="spellStart"/>
      <w:r w:rsidRPr="001D4D67">
        <w:rPr>
          <w:sz w:val="22"/>
          <w:lang w:val="it-IT"/>
        </w:rPr>
        <w:t>Presutti</w:t>
      </w:r>
      <w:proofErr w:type="spellEnd"/>
      <w:r w:rsidRPr="001D4D67">
        <w:rPr>
          <w:sz w:val="22"/>
          <w:lang w:val="it-IT"/>
        </w:rPr>
        <w:t xml:space="preserve"> V. </w:t>
      </w:r>
      <w:r w:rsidR="00415378">
        <w:rPr>
          <w:sz w:val="22"/>
          <w:lang w:val="it-IT"/>
        </w:rPr>
        <w:t>(</w:t>
      </w:r>
      <w:r w:rsidRPr="001D4D67">
        <w:rPr>
          <w:sz w:val="22"/>
          <w:lang w:val="it-IT"/>
        </w:rPr>
        <w:t>2019</w:t>
      </w:r>
      <w:r w:rsidR="00415378">
        <w:rPr>
          <w:sz w:val="22"/>
          <w:lang w:val="it-IT"/>
        </w:rPr>
        <w:t>)</w:t>
      </w:r>
      <w:r w:rsidRPr="001D4D67">
        <w:rPr>
          <w:sz w:val="22"/>
          <w:lang w:val="it-IT"/>
        </w:rPr>
        <w:t xml:space="preserve">. </w:t>
      </w:r>
      <w:r w:rsidRPr="001D4D67">
        <w:rPr>
          <w:sz w:val="22"/>
        </w:rPr>
        <w:t>Predicting the results of evaluation</w:t>
      </w:r>
      <w:r>
        <w:rPr>
          <w:sz w:val="22"/>
        </w:rPr>
        <w:t xml:space="preserve"> </w:t>
      </w:r>
      <w:r w:rsidRPr="001D4D67">
        <w:rPr>
          <w:sz w:val="22"/>
        </w:rPr>
        <w:t xml:space="preserve">procedures of academics. </w:t>
      </w:r>
      <w:proofErr w:type="spellStart"/>
      <w:r w:rsidRPr="00415378">
        <w:rPr>
          <w:i/>
          <w:sz w:val="22"/>
        </w:rPr>
        <w:t>PeerJ</w:t>
      </w:r>
      <w:proofErr w:type="spellEnd"/>
      <w:r w:rsidRPr="00415378">
        <w:rPr>
          <w:i/>
          <w:sz w:val="22"/>
        </w:rPr>
        <w:t xml:space="preserve"> Comput</w:t>
      </w:r>
      <w:r w:rsidR="00415378">
        <w:rPr>
          <w:i/>
          <w:sz w:val="22"/>
        </w:rPr>
        <w:t>er</w:t>
      </w:r>
      <w:r w:rsidRPr="00415378">
        <w:rPr>
          <w:i/>
          <w:sz w:val="22"/>
        </w:rPr>
        <w:t xml:space="preserve"> </w:t>
      </w:r>
      <w:r w:rsidRPr="00415378">
        <w:rPr>
          <w:i/>
          <w:sz w:val="22"/>
          <w:lang w:val="en-US"/>
        </w:rPr>
        <w:t>Sci</w:t>
      </w:r>
      <w:r w:rsidR="00415378">
        <w:rPr>
          <w:i/>
          <w:sz w:val="22"/>
          <w:lang w:val="en-US"/>
        </w:rPr>
        <w:t>ence</w:t>
      </w:r>
      <w:r w:rsidRPr="001D4D67">
        <w:rPr>
          <w:sz w:val="22"/>
          <w:lang w:val="en-US"/>
        </w:rPr>
        <w:t xml:space="preserve"> 5:e199. </w:t>
      </w:r>
      <w:r>
        <w:rPr>
          <w:sz w:val="22"/>
          <w:lang w:val="en-US"/>
        </w:rPr>
        <w:t xml:space="preserve">DOI: </w:t>
      </w:r>
      <w:r w:rsidRPr="001D4D67">
        <w:rPr>
          <w:sz w:val="22"/>
          <w:lang w:val="en-US"/>
        </w:rPr>
        <w:t>10.7717/peerj-cs.199</w:t>
      </w:r>
      <w:r>
        <w:rPr>
          <w:sz w:val="22"/>
          <w:lang w:val="en-US"/>
        </w:rPr>
        <w:t>.</w:t>
      </w:r>
    </w:p>
    <w:p w14:paraId="164F1FD1" w14:textId="63D5B11C" w:rsidR="00033D31" w:rsidRPr="00033D31" w:rsidRDefault="00033D31" w:rsidP="00033D31">
      <w:pPr>
        <w:spacing w:line="276" w:lineRule="auto"/>
        <w:ind w:left="284" w:hanging="284"/>
        <w:rPr>
          <w:sz w:val="22"/>
          <w:lang w:val="it-IT"/>
        </w:rPr>
      </w:pPr>
      <w:proofErr w:type="spellStart"/>
      <w:r w:rsidRPr="00895921">
        <w:rPr>
          <w:sz w:val="22"/>
        </w:rPr>
        <w:lastRenderedPageBreak/>
        <w:t>Salatino</w:t>
      </w:r>
      <w:proofErr w:type="spellEnd"/>
      <w:r w:rsidRPr="00895921">
        <w:rPr>
          <w:sz w:val="22"/>
        </w:rPr>
        <w:t xml:space="preserve">, A.A., Osborne, F. and Motta, E. </w:t>
      </w:r>
      <w:r w:rsidR="007763ED">
        <w:rPr>
          <w:sz w:val="22"/>
        </w:rPr>
        <w:t>(</w:t>
      </w:r>
      <w:r w:rsidRPr="00895921">
        <w:rPr>
          <w:sz w:val="22"/>
        </w:rPr>
        <w:t>2017</w:t>
      </w:r>
      <w:r w:rsidR="007763ED">
        <w:rPr>
          <w:sz w:val="22"/>
        </w:rPr>
        <w:t>)</w:t>
      </w:r>
      <w:r w:rsidRPr="00895921">
        <w:rPr>
          <w:sz w:val="22"/>
        </w:rPr>
        <w:t xml:space="preserve">. How are topics born? Understanding the research dynamics preceding the emergence of new areas. </w:t>
      </w:r>
      <w:proofErr w:type="spellStart"/>
      <w:r w:rsidRPr="007763ED">
        <w:rPr>
          <w:i/>
          <w:sz w:val="22"/>
          <w:lang w:val="en-US"/>
        </w:rPr>
        <w:t>PeerJ</w:t>
      </w:r>
      <w:proofErr w:type="spellEnd"/>
      <w:r w:rsidRPr="007763ED">
        <w:rPr>
          <w:i/>
          <w:sz w:val="22"/>
          <w:lang w:val="en-US"/>
        </w:rPr>
        <w:t xml:space="preserve"> Computer Science,</w:t>
      </w:r>
      <w:r w:rsidRPr="007763ED">
        <w:rPr>
          <w:sz w:val="22"/>
          <w:lang w:val="en-US"/>
        </w:rPr>
        <w:t xml:space="preserve"> 3, p.e11</w:t>
      </w:r>
      <w:r w:rsidRPr="00033D31">
        <w:rPr>
          <w:sz w:val="22"/>
          <w:lang w:val="it-IT"/>
        </w:rPr>
        <w:t>9.</w:t>
      </w:r>
    </w:p>
    <w:p w14:paraId="2C75F17B" w14:textId="77777777" w:rsidR="00B50104" w:rsidRPr="00895921" w:rsidRDefault="00B50104" w:rsidP="00895921">
      <w:pPr>
        <w:spacing w:line="276" w:lineRule="auto"/>
        <w:ind w:left="284" w:hanging="284"/>
        <w:rPr>
          <w:sz w:val="22"/>
        </w:rPr>
      </w:pPr>
      <w:r w:rsidRPr="00895921">
        <w:rPr>
          <w:sz w:val="22"/>
          <w:lang w:val="it-IT"/>
        </w:rPr>
        <w:t xml:space="preserve">Scarpa, F., Bianco, V., &amp; </w:t>
      </w:r>
      <w:proofErr w:type="spellStart"/>
      <w:r w:rsidRPr="00895921">
        <w:rPr>
          <w:sz w:val="22"/>
          <w:lang w:val="it-IT"/>
        </w:rPr>
        <w:t>Tagliafico</w:t>
      </w:r>
      <w:proofErr w:type="spellEnd"/>
      <w:r w:rsidRPr="00895921">
        <w:rPr>
          <w:sz w:val="22"/>
          <w:lang w:val="it-IT"/>
        </w:rPr>
        <w:t xml:space="preserve">, L. A. (2018). </w:t>
      </w:r>
      <w:r w:rsidRPr="00895921">
        <w:rPr>
          <w:sz w:val="22"/>
        </w:rPr>
        <w:t xml:space="preserve">The impact of the national assessment exercises on self-citation rate and publication venue: an empirical investigation on the engineering academic sector in Italy. </w:t>
      </w:r>
      <w:proofErr w:type="spellStart"/>
      <w:r w:rsidRPr="00415378">
        <w:rPr>
          <w:i/>
          <w:sz w:val="22"/>
        </w:rPr>
        <w:t>Scientometrics</w:t>
      </w:r>
      <w:proofErr w:type="spellEnd"/>
      <w:r w:rsidRPr="00415378">
        <w:rPr>
          <w:i/>
          <w:sz w:val="22"/>
        </w:rPr>
        <w:t>, 117</w:t>
      </w:r>
      <w:r w:rsidRPr="00895921">
        <w:rPr>
          <w:sz w:val="22"/>
        </w:rPr>
        <w:t>(2), 997-1022.</w:t>
      </w:r>
    </w:p>
    <w:p w14:paraId="0D28B6D9" w14:textId="443BEEF3" w:rsidR="00895921" w:rsidRDefault="00895921" w:rsidP="00895921">
      <w:pPr>
        <w:spacing w:line="276" w:lineRule="auto"/>
        <w:ind w:left="284" w:hanging="284"/>
        <w:rPr>
          <w:sz w:val="22"/>
        </w:rPr>
      </w:pPr>
      <w:proofErr w:type="spellStart"/>
      <w:r w:rsidRPr="00895921">
        <w:rPr>
          <w:sz w:val="22"/>
        </w:rPr>
        <w:t>Shotton</w:t>
      </w:r>
      <w:proofErr w:type="spellEnd"/>
      <w:r w:rsidRPr="00895921">
        <w:rPr>
          <w:sz w:val="22"/>
        </w:rPr>
        <w:t xml:space="preserve">, D. (2013). Publishing: Open citations. </w:t>
      </w:r>
      <w:r w:rsidRPr="00415378">
        <w:rPr>
          <w:i/>
          <w:sz w:val="22"/>
        </w:rPr>
        <w:t>Nature</w:t>
      </w:r>
      <w:r w:rsidR="00415378">
        <w:rPr>
          <w:i/>
          <w:sz w:val="22"/>
        </w:rPr>
        <w:t xml:space="preserve"> News, 502</w:t>
      </w:r>
      <w:r w:rsidR="00415378">
        <w:rPr>
          <w:sz w:val="22"/>
        </w:rPr>
        <w:t xml:space="preserve">(7471), </w:t>
      </w:r>
      <w:r w:rsidRPr="00895921">
        <w:rPr>
          <w:sz w:val="22"/>
        </w:rPr>
        <w:t>295–297. DOI: 10.1038/502295a</w:t>
      </w:r>
      <w:r w:rsidR="0043570D">
        <w:rPr>
          <w:sz w:val="22"/>
        </w:rPr>
        <w:t>.</w:t>
      </w:r>
    </w:p>
    <w:p w14:paraId="43BDBF6B" w14:textId="77777777" w:rsidR="00B50104" w:rsidRPr="00895921" w:rsidRDefault="00B50104" w:rsidP="00895921">
      <w:pPr>
        <w:spacing w:line="276" w:lineRule="auto"/>
        <w:ind w:left="284" w:hanging="284"/>
        <w:rPr>
          <w:sz w:val="22"/>
          <w:lang w:val="it-IT"/>
        </w:rPr>
      </w:pPr>
      <w:proofErr w:type="spellStart"/>
      <w:r w:rsidRPr="00895921">
        <w:rPr>
          <w:sz w:val="22"/>
        </w:rPr>
        <w:t>Shotton</w:t>
      </w:r>
      <w:proofErr w:type="spellEnd"/>
      <w:r w:rsidRPr="00895921">
        <w:rPr>
          <w:sz w:val="22"/>
        </w:rPr>
        <w:t xml:space="preserve">, D. (2018). Funders should mandate open citations. </w:t>
      </w:r>
      <w:r w:rsidRPr="00415378">
        <w:rPr>
          <w:i/>
          <w:sz w:val="22"/>
          <w:lang w:val="it-IT"/>
        </w:rPr>
        <w:t>Nature, 553</w:t>
      </w:r>
      <w:r w:rsidRPr="00895921">
        <w:rPr>
          <w:sz w:val="22"/>
          <w:lang w:val="it-IT"/>
        </w:rPr>
        <w:t>(7687), 129-129.</w:t>
      </w:r>
    </w:p>
    <w:p w14:paraId="3625F0A9" w14:textId="77777777" w:rsidR="00B50104" w:rsidRPr="00895921" w:rsidRDefault="00B50104" w:rsidP="00895921">
      <w:pPr>
        <w:spacing w:line="276" w:lineRule="auto"/>
        <w:ind w:left="284" w:hanging="284"/>
        <w:rPr>
          <w:sz w:val="22"/>
        </w:rPr>
      </w:pPr>
      <w:r w:rsidRPr="00895921">
        <w:rPr>
          <w:sz w:val="22"/>
        </w:rPr>
        <w:t xml:space="preserve">Taylor, J. (2011). The assessment of research quality in UK universities: peer review or metrics? </w:t>
      </w:r>
      <w:r w:rsidRPr="00197362">
        <w:rPr>
          <w:i/>
          <w:sz w:val="22"/>
        </w:rPr>
        <w:t>British Journal of Management, 22</w:t>
      </w:r>
      <w:r w:rsidRPr="00895921">
        <w:rPr>
          <w:sz w:val="22"/>
        </w:rPr>
        <w:t>(2):202–217. DOI:10.1111/j.1467-8551.2010.00722.x.</w:t>
      </w:r>
    </w:p>
    <w:p w14:paraId="01DC7D0F" w14:textId="120333D9" w:rsidR="00033D31" w:rsidRPr="00895921" w:rsidRDefault="00033D31" w:rsidP="00033D31">
      <w:pPr>
        <w:spacing w:line="276" w:lineRule="auto"/>
        <w:ind w:left="284" w:hanging="284"/>
        <w:rPr>
          <w:sz w:val="22"/>
        </w:rPr>
      </w:pPr>
      <w:proofErr w:type="gramStart"/>
      <w:r w:rsidRPr="00895921">
        <w:rPr>
          <w:sz w:val="22"/>
        </w:rPr>
        <w:t>van</w:t>
      </w:r>
      <w:proofErr w:type="gramEnd"/>
      <w:r w:rsidRPr="00895921">
        <w:rPr>
          <w:sz w:val="22"/>
        </w:rPr>
        <w:t xml:space="preserve"> Eck, N.J., </w:t>
      </w:r>
      <w:proofErr w:type="spellStart"/>
      <w:r w:rsidRPr="00895921">
        <w:rPr>
          <w:sz w:val="22"/>
        </w:rPr>
        <w:t>Waltman</w:t>
      </w:r>
      <w:proofErr w:type="spellEnd"/>
      <w:r w:rsidRPr="00895921">
        <w:rPr>
          <w:sz w:val="22"/>
        </w:rPr>
        <w:t xml:space="preserve">, L., </w:t>
      </w:r>
      <w:proofErr w:type="spellStart"/>
      <w:r w:rsidRPr="00895921">
        <w:rPr>
          <w:sz w:val="22"/>
        </w:rPr>
        <w:t>Larivière</w:t>
      </w:r>
      <w:proofErr w:type="spellEnd"/>
      <w:r w:rsidRPr="00895921">
        <w:rPr>
          <w:sz w:val="22"/>
        </w:rPr>
        <w:t xml:space="preserve">, V. &amp; Sugimoto, C. R. (2018). </w:t>
      </w:r>
      <w:proofErr w:type="spellStart"/>
      <w:r w:rsidRPr="00895921">
        <w:rPr>
          <w:sz w:val="22"/>
        </w:rPr>
        <w:t>Crossref</w:t>
      </w:r>
      <w:proofErr w:type="spellEnd"/>
      <w:r w:rsidRPr="00895921">
        <w:rPr>
          <w:sz w:val="22"/>
        </w:rPr>
        <w:t xml:space="preserve"> as a new source of citation data: A comparison with Web of Science and Scopus. CWTS Blog.</w:t>
      </w:r>
      <w:r w:rsidR="0043570D">
        <w:rPr>
          <w:color w:val="1155CC"/>
          <w:sz w:val="22"/>
          <w:u w:val="single"/>
        </w:rPr>
        <w:t xml:space="preserve"> </w:t>
      </w:r>
      <w:hyperlink r:id="rId25" w:history="1">
        <w:r w:rsidR="0043570D" w:rsidRPr="00DC34D4">
          <w:rPr>
            <w:rStyle w:val="Collegamentoipertestuale"/>
            <w:sz w:val="22"/>
          </w:rPr>
          <w:t>https://www.cwts.nl/blog?article=n-r2s234</w:t>
        </w:r>
      </w:hyperlink>
      <w:r w:rsidR="0043570D">
        <w:rPr>
          <w:sz w:val="22"/>
        </w:rPr>
        <w:t xml:space="preserve"> </w:t>
      </w:r>
      <w:r w:rsidRPr="00895921">
        <w:rPr>
          <w:sz w:val="22"/>
        </w:rPr>
        <w:t>(last visited 26 January 2018)</w:t>
      </w:r>
    </w:p>
    <w:p w14:paraId="4D9086DC" w14:textId="77777777" w:rsidR="00B50104" w:rsidRPr="00895921" w:rsidRDefault="00B50104" w:rsidP="00895921">
      <w:pPr>
        <w:spacing w:line="276" w:lineRule="auto"/>
        <w:ind w:left="284" w:hanging="284"/>
        <w:rPr>
          <w:sz w:val="22"/>
        </w:rPr>
      </w:pPr>
      <w:r w:rsidRPr="00895921">
        <w:rPr>
          <w:sz w:val="22"/>
        </w:rPr>
        <w:t xml:space="preserve">Van </w:t>
      </w:r>
      <w:proofErr w:type="spellStart"/>
      <w:r w:rsidRPr="00895921">
        <w:rPr>
          <w:sz w:val="22"/>
        </w:rPr>
        <w:t>Raan</w:t>
      </w:r>
      <w:proofErr w:type="spellEnd"/>
      <w:r w:rsidRPr="00895921">
        <w:rPr>
          <w:sz w:val="22"/>
        </w:rPr>
        <w:t xml:space="preserve">, A. F. (2006). Comparison of the </w:t>
      </w:r>
      <w:proofErr w:type="spellStart"/>
      <w:r w:rsidRPr="00895921">
        <w:rPr>
          <w:sz w:val="22"/>
        </w:rPr>
        <w:t>hirsch</w:t>
      </w:r>
      <w:proofErr w:type="spellEnd"/>
      <w:r w:rsidRPr="00895921">
        <w:rPr>
          <w:sz w:val="22"/>
        </w:rPr>
        <w:t xml:space="preserve">-index with standard bibliometric indicators and with peer judgment for 147 chemistry research groups. </w:t>
      </w:r>
      <w:proofErr w:type="spellStart"/>
      <w:r w:rsidRPr="00415378">
        <w:rPr>
          <w:i/>
          <w:sz w:val="22"/>
        </w:rPr>
        <w:t>Scientometrics</w:t>
      </w:r>
      <w:proofErr w:type="spellEnd"/>
      <w:r w:rsidRPr="00415378">
        <w:rPr>
          <w:i/>
          <w:sz w:val="22"/>
        </w:rPr>
        <w:t>, 67</w:t>
      </w:r>
      <w:r w:rsidRPr="00895921">
        <w:rPr>
          <w:sz w:val="22"/>
        </w:rPr>
        <w:t>(3):491–502. DOI:10.1556/Scient.67.2006.3.10.</w:t>
      </w:r>
    </w:p>
    <w:p w14:paraId="3172A0AB" w14:textId="77777777" w:rsidR="00033D31" w:rsidRPr="00895921" w:rsidRDefault="00033D31" w:rsidP="00033D31">
      <w:pPr>
        <w:spacing w:line="276" w:lineRule="auto"/>
        <w:ind w:left="284" w:hanging="284"/>
        <w:rPr>
          <w:sz w:val="22"/>
        </w:rPr>
      </w:pPr>
      <w:r w:rsidRPr="00895921">
        <w:rPr>
          <w:sz w:val="22"/>
        </w:rPr>
        <w:t xml:space="preserve">Vieira, E. S., Cabral, J. A., and Gomes, J. A. (2014a). Definition of a model based on bibliometric indicators for assessing applicants to academic positions. </w:t>
      </w:r>
      <w:r w:rsidRPr="00415378">
        <w:rPr>
          <w:i/>
          <w:sz w:val="22"/>
        </w:rPr>
        <w:t>Journal of the Association for Information Science and Technology, 65</w:t>
      </w:r>
      <w:r w:rsidRPr="00895921">
        <w:rPr>
          <w:sz w:val="22"/>
        </w:rPr>
        <w:t>(3):560–577. DOI:10.1002/asi.22981.</w:t>
      </w:r>
    </w:p>
    <w:p w14:paraId="74780304" w14:textId="77777777" w:rsidR="00B50104" w:rsidRPr="00895921" w:rsidRDefault="00B50104" w:rsidP="00895921">
      <w:pPr>
        <w:spacing w:line="276" w:lineRule="auto"/>
        <w:ind w:left="284" w:hanging="284"/>
        <w:rPr>
          <w:sz w:val="22"/>
        </w:rPr>
      </w:pPr>
      <w:proofErr w:type="spellStart"/>
      <w:r w:rsidRPr="00895921">
        <w:rPr>
          <w:sz w:val="22"/>
        </w:rPr>
        <w:t>Wouters</w:t>
      </w:r>
      <w:proofErr w:type="spellEnd"/>
      <w:r w:rsidRPr="00895921">
        <w:rPr>
          <w:sz w:val="22"/>
        </w:rPr>
        <w:t xml:space="preserve">, P., </w:t>
      </w:r>
      <w:proofErr w:type="spellStart"/>
      <w:r w:rsidRPr="00895921">
        <w:rPr>
          <w:sz w:val="22"/>
        </w:rPr>
        <w:t>Thelwall</w:t>
      </w:r>
      <w:proofErr w:type="spellEnd"/>
      <w:r w:rsidRPr="00895921">
        <w:rPr>
          <w:sz w:val="22"/>
        </w:rPr>
        <w:t xml:space="preserve">, M., </w:t>
      </w:r>
      <w:proofErr w:type="spellStart"/>
      <w:r w:rsidRPr="00895921">
        <w:rPr>
          <w:sz w:val="22"/>
        </w:rPr>
        <w:t>Kousha</w:t>
      </w:r>
      <w:proofErr w:type="spellEnd"/>
      <w:r w:rsidRPr="00895921">
        <w:rPr>
          <w:sz w:val="22"/>
        </w:rPr>
        <w:t xml:space="preserve">, K., </w:t>
      </w:r>
      <w:proofErr w:type="spellStart"/>
      <w:r w:rsidRPr="00895921">
        <w:rPr>
          <w:sz w:val="22"/>
        </w:rPr>
        <w:t>Waltman</w:t>
      </w:r>
      <w:proofErr w:type="spellEnd"/>
      <w:r w:rsidRPr="00895921">
        <w:rPr>
          <w:sz w:val="22"/>
        </w:rPr>
        <w:t xml:space="preserve">, L., de </w:t>
      </w:r>
      <w:proofErr w:type="spellStart"/>
      <w:r w:rsidRPr="00895921">
        <w:rPr>
          <w:sz w:val="22"/>
        </w:rPr>
        <w:t>Rijcke</w:t>
      </w:r>
      <w:proofErr w:type="spellEnd"/>
      <w:r w:rsidRPr="00895921">
        <w:rPr>
          <w:sz w:val="22"/>
        </w:rPr>
        <w:t xml:space="preserve">, S., </w:t>
      </w:r>
      <w:proofErr w:type="spellStart"/>
      <w:r w:rsidRPr="00895921">
        <w:rPr>
          <w:sz w:val="22"/>
        </w:rPr>
        <w:t>Rushforth</w:t>
      </w:r>
      <w:proofErr w:type="spellEnd"/>
      <w:r w:rsidRPr="00895921">
        <w:rPr>
          <w:sz w:val="22"/>
        </w:rPr>
        <w:t xml:space="preserve">, A., and </w:t>
      </w:r>
      <w:proofErr w:type="spellStart"/>
      <w:r w:rsidRPr="00895921">
        <w:rPr>
          <w:sz w:val="22"/>
        </w:rPr>
        <w:t>Franssen</w:t>
      </w:r>
      <w:proofErr w:type="spellEnd"/>
      <w:r w:rsidRPr="00895921">
        <w:rPr>
          <w:sz w:val="22"/>
        </w:rPr>
        <w:t>, T. (2015). The metric tide: Correlation analysis of REF2014 scores and metrics (Supplementary Report II to the Independent Review of the Role of Metrics in Research Assessment and Management). London: Higher Education Funding Council for England (HEFCE). DOI:10.13140/RG.2.1.3362.4162.</w:t>
      </w:r>
    </w:p>
    <w:p w14:paraId="5AAA82C7" w14:textId="77777777" w:rsidR="006E6E92" w:rsidRPr="00596A76" w:rsidRDefault="006E6E92" w:rsidP="00654FA4">
      <w:pPr>
        <w:pStyle w:val="008-References"/>
        <w:ind w:left="0" w:firstLine="0"/>
      </w:pPr>
    </w:p>
    <w:sectPr w:rsidR="006E6E92" w:rsidRPr="00596A76" w:rsidSect="006E6E92">
      <w:pgSz w:w="11907" w:h="16840" w:code="9"/>
      <w:pgMar w:top="1418" w:right="1418" w:bottom="1418" w:left="1418"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F003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98B9F" w14:textId="77777777" w:rsidR="00BC26DD" w:rsidRDefault="00BC26DD" w:rsidP="00B50104">
      <w:r>
        <w:separator/>
      </w:r>
    </w:p>
  </w:endnote>
  <w:endnote w:type="continuationSeparator" w:id="0">
    <w:p w14:paraId="7F016FA3" w14:textId="77777777" w:rsidR="00BC26DD" w:rsidRDefault="00BC26DD" w:rsidP="00B50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0F6E8E" w14:textId="77777777" w:rsidR="00BC26DD" w:rsidRDefault="00BC26DD" w:rsidP="00B50104">
      <w:r>
        <w:separator/>
      </w:r>
    </w:p>
  </w:footnote>
  <w:footnote w:type="continuationSeparator" w:id="0">
    <w:p w14:paraId="6DCEF210" w14:textId="77777777" w:rsidR="00BC26DD" w:rsidRDefault="00BC26DD" w:rsidP="00B50104">
      <w:r>
        <w:continuationSeparator/>
      </w:r>
    </w:p>
  </w:footnote>
  <w:footnote w:id="1">
    <w:p w14:paraId="63B52EE7" w14:textId="60C6A427" w:rsidR="00BC26DD" w:rsidRPr="0043570D" w:rsidRDefault="00BC26DD" w:rsidP="00B50104">
      <w:pPr>
        <w:rPr>
          <w:sz w:val="20"/>
          <w:szCs w:val="20"/>
        </w:rPr>
      </w:pPr>
      <w:r>
        <w:rPr>
          <w:vertAlign w:val="superscript"/>
        </w:rPr>
        <w:footnoteRef/>
      </w:r>
      <w:r>
        <w:rPr>
          <w:sz w:val="20"/>
          <w:szCs w:val="20"/>
        </w:rPr>
        <w:t xml:space="preserve"> Since all the Recruitment Field names have been defined only in Italian, we use here the official English translation provided by the Italian National University Council (CUN), the elected body representing the Italian University System, which is </w:t>
      </w:r>
      <w:r w:rsidRPr="0043570D">
        <w:rPr>
          <w:sz w:val="20"/>
          <w:szCs w:val="20"/>
        </w:rPr>
        <w:t xml:space="preserve">available at </w:t>
      </w:r>
      <w:hyperlink r:id="rId1" w:history="1">
        <w:r w:rsidRPr="0043570D">
          <w:rPr>
            <w:rStyle w:val="Collegamentoipertestuale"/>
            <w:sz w:val="20"/>
            <w:szCs w:val="20"/>
          </w:rPr>
          <w:t>https://www.cun.it/documentazione/academic-fields-and-disciplines-list/</w:t>
        </w:r>
      </w:hyperlink>
      <w:r w:rsidRPr="0043570D">
        <w:rPr>
          <w:sz w:val="20"/>
          <w:szCs w:val="20"/>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615F0"/>
    <w:multiLevelType w:val="multilevel"/>
    <w:tmpl w:val="9C0603F2"/>
    <w:lvl w:ilvl="0">
      <w:start w:val="1"/>
      <w:numFmt w:val="decimal"/>
      <w:lvlText w:val="RQ%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nsid w:val="385E340C"/>
    <w:multiLevelType w:val="multilevel"/>
    <w:tmpl w:val="BDD407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4F2C080D"/>
    <w:multiLevelType w:val="multilevel"/>
    <w:tmpl w:val="F7C6F9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nsid w:val="5DEA29D1"/>
    <w:multiLevelType w:val="multilevel"/>
    <w:tmpl w:val="E5AEFD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nsid w:val="780D5E21"/>
    <w:multiLevelType w:val="multilevel"/>
    <w:tmpl w:val="D8A24978"/>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nsid w:val="7F7D2B23"/>
    <w:multiLevelType w:val="multilevel"/>
    <w:tmpl w:val="158634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SortMethod w:val="00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639"/>
    <w:rsid w:val="00033D31"/>
    <w:rsid w:val="00164A03"/>
    <w:rsid w:val="001918C5"/>
    <w:rsid w:val="00197362"/>
    <w:rsid w:val="001B0EF6"/>
    <w:rsid w:val="001D4D67"/>
    <w:rsid w:val="001E7EA7"/>
    <w:rsid w:val="00202961"/>
    <w:rsid w:val="002728E1"/>
    <w:rsid w:val="002F4758"/>
    <w:rsid w:val="003D3EC0"/>
    <w:rsid w:val="003E2054"/>
    <w:rsid w:val="00411255"/>
    <w:rsid w:val="00415378"/>
    <w:rsid w:val="0043570D"/>
    <w:rsid w:val="004F304C"/>
    <w:rsid w:val="00526F05"/>
    <w:rsid w:val="005400E8"/>
    <w:rsid w:val="0058015D"/>
    <w:rsid w:val="005F6CA0"/>
    <w:rsid w:val="00634FDF"/>
    <w:rsid w:val="00654CEF"/>
    <w:rsid w:val="00654FA4"/>
    <w:rsid w:val="00657860"/>
    <w:rsid w:val="00661308"/>
    <w:rsid w:val="0067341C"/>
    <w:rsid w:val="006B0788"/>
    <w:rsid w:val="006B3D7A"/>
    <w:rsid w:val="006E6E92"/>
    <w:rsid w:val="0070275E"/>
    <w:rsid w:val="007763ED"/>
    <w:rsid w:val="007E1FC8"/>
    <w:rsid w:val="007F6881"/>
    <w:rsid w:val="007F6CD9"/>
    <w:rsid w:val="008037B4"/>
    <w:rsid w:val="00831E04"/>
    <w:rsid w:val="008451A3"/>
    <w:rsid w:val="00895921"/>
    <w:rsid w:val="008D2AD6"/>
    <w:rsid w:val="008D2DA6"/>
    <w:rsid w:val="008E6C31"/>
    <w:rsid w:val="008F5DAB"/>
    <w:rsid w:val="00914BC8"/>
    <w:rsid w:val="0097158D"/>
    <w:rsid w:val="00977639"/>
    <w:rsid w:val="009B0070"/>
    <w:rsid w:val="00A1211D"/>
    <w:rsid w:val="00A615C5"/>
    <w:rsid w:val="00A6721B"/>
    <w:rsid w:val="00A852B7"/>
    <w:rsid w:val="00B50104"/>
    <w:rsid w:val="00B83A50"/>
    <w:rsid w:val="00BC26DD"/>
    <w:rsid w:val="00C34418"/>
    <w:rsid w:val="00D51337"/>
    <w:rsid w:val="00D91E8F"/>
    <w:rsid w:val="00DA45D1"/>
    <w:rsid w:val="00DD6DAC"/>
    <w:rsid w:val="00E3435D"/>
    <w:rsid w:val="00E35776"/>
    <w:rsid w:val="00E563A9"/>
    <w:rsid w:val="00E951F1"/>
    <w:rsid w:val="00F4794C"/>
  </w:rsids>
  <m:mathPr>
    <m:mathFont m:val="Cambria Math"/>
    <m:brkBin m:val="before"/>
    <m:brkBinSub m:val="--"/>
    <m:smallFrac m:val="0"/>
    <m:dispDef m:val="0"/>
    <m:lMargin m:val="0"/>
    <m:rMargin m:val="0"/>
    <m:defJc m:val="centerGroup"/>
    <m:wrapRight/>
    <m:intLim m:val="subSup"/>
    <m:naryLim m:val="subSup"/>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83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uiPriority="35" w:qFormat="1"/>
    <w:lsdException w:name="annotation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e">
    <w:name w:val="Normal"/>
    <w:qFormat/>
    <w:rsid w:val="001F3073"/>
    <w:pPr>
      <w:jc w:val="both"/>
    </w:pPr>
    <w:rPr>
      <w:rFonts w:ascii="Times New Roman" w:hAnsi="Times New Roman"/>
      <w:sz w:val="24"/>
      <w:szCs w:val="22"/>
      <w:lang w:val="en-GB" w:eastAsia="en-US"/>
    </w:rPr>
  </w:style>
  <w:style w:type="paragraph" w:styleId="Titolo1">
    <w:name w:val="heading 1"/>
    <w:basedOn w:val="Normale"/>
    <w:next w:val="Normale"/>
    <w:link w:val="Titolo1Carattere"/>
    <w:uiPriority w:val="9"/>
    <w:qFormat/>
    <w:rsid w:val="001F3073"/>
    <w:pPr>
      <w:keepNext/>
      <w:spacing w:before="240" w:after="60"/>
      <w:outlineLvl w:val="0"/>
    </w:pPr>
    <w:rPr>
      <w:rFonts w:eastAsia="Times New Roman"/>
      <w:b/>
      <w:bCs/>
      <w:kern w:val="32"/>
      <w:szCs w:val="32"/>
    </w:rPr>
  </w:style>
  <w:style w:type="paragraph" w:styleId="Titolo2">
    <w:name w:val="heading 2"/>
    <w:basedOn w:val="Normale"/>
    <w:next w:val="Normale"/>
    <w:link w:val="Titolo2Carattere"/>
    <w:uiPriority w:val="9"/>
    <w:qFormat/>
    <w:rsid w:val="00EA10C3"/>
    <w:pPr>
      <w:keepNext/>
      <w:spacing w:before="240" w:after="60"/>
      <w:outlineLvl w:val="1"/>
    </w:pPr>
    <w:rPr>
      <w:rFonts w:eastAsia="Times New Roman"/>
      <w:bCs/>
      <w:i/>
      <w:iCs/>
      <w:szCs w:val="28"/>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01-Title">
    <w:name w:val="001-Title"/>
    <w:basedOn w:val="Normale"/>
    <w:next w:val="002-Authors"/>
    <w:qFormat/>
    <w:rsid w:val="00112E67"/>
    <w:pPr>
      <w:jc w:val="center"/>
    </w:pPr>
    <w:rPr>
      <w:sz w:val="32"/>
      <w:lang w:val="da-DK"/>
    </w:rPr>
  </w:style>
  <w:style w:type="paragraph" w:customStyle="1" w:styleId="002-Authors">
    <w:name w:val="002-Authors"/>
    <w:basedOn w:val="Normale"/>
    <w:next w:val="003-Email"/>
    <w:qFormat/>
    <w:rsid w:val="009D7DA5"/>
    <w:pPr>
      <w:spacing w:before="360"/>
      <w:jc w:val="center"/>
    </w:pPr>
  </w:style>
  <w:style w:type="paragraph" w:customStyle="1" w:styleId="003-Email">
    <w:name w:val="003-Email"/>
    <w:basedOn w:val="Normale"/>
    <w:next w:val="004-Affiliation"/>
    <w:qFormat/>
    <w:rsid w:val="009D7DA5"/>
    <w:pPr>
      <w:spacing w:before="240"/>
      <w:jc w:val="center"/>
    </w:pPr>
    <w:rPr>
      <w:i/>
      <w:sz w:val="20"/>
    </w:rPr>
  </w:style>
  <w:style w:type="character" w:styleId="Collegamentoipertestuale">
    <w:name w:val="Hyperlink"/>
    <w:basedOn w:val="Caratterepredefinitoparagrafo"/>
    <w:uiPriority w:val="99"/>
    <w:unhideWhenUsed/>
    <w:rsid w:val="00112E67"/>
    <w:rPr>
      <w:color w:val="0000FF"/>
      <w:u w:val="single"/>
    </w:rPr>
  </w:style>
  <w:style w:type="paragraph" w:customStyle="1" w:styleId="004-Affiliation">
    <w:name w:val="004-Affiliation"/>
    <w:basedOn w:val="Normale"/>
    <w:next w:val="Normale"/>
    <w:qFormat/>
    <w:rsid w:val="00112E67"/>
    <w:pPr>
      <w:jc w:val="center"/>
    </w:pPr>
    <w:rPr>
      <w:sz w:val="20"/>
    </w:rPr>
  </w:style>
  <w:style w:type="paragraph" w:customStyle="1" w:styleId="005-AbstractHeader">
    <w:name w:val="005-AbstractHeader"/>
    <w:basedOn w:val="Normale"/>
    <w:qFormat/>
    <w:rsid w:val="00EA10C3"/>
    <w:pPr>
      <w:spacing w:before="360"/>
    </w:pPr>
    <w:rPr>
      <w:b/>
    </w:rPr>
  </w:style>
  <w:style w:type="paragraph" w:customStyle="1" w:styleId="006-AbstractBodytext">
    <w:name w:val="006-AbstractBodytext"/>
    <w:basedOn w:val="005-AbstractHeader"/>
    <w:qFormat/>
    <w:rsid w:val="00EA10C3"/>
    <w:pPr>
      <w:spacing w:before="0"/>
    </w:pPr>
    <w:rPr>
      <w:b w:val="0"/>
      <w:sz w:val="20"/>
    </w:rPr>
  </w:style>
  <w:style w:type="character" w:customStyle="1" w:styleId="Titolo1Carattere">
    <w:name w:val="Titolo 1 Carattere"/>
    <w:basedOn w:val="Caratterepredefinitoparagrafo"/>
    <w:link w:val="Titolo1"/>
    <w:uiPriority w:val="9"/>
    <w:rsid w:val="001F3073"/>
    <w:rPr>
      <w:rFonts w:ascii="Times New Roman" w:eastAsia="Times New Roman" w:hAnsi="Times New Roman" w:cs="Times New Roman"/>
      <w:b/>
      <w:bCs/>
      <w:kern w:val="32"/>
      <w:sz w:val="24"/>
      <w:szCs w:val="32"/>
      <w:lang w:val="en-GB"/>
    </w:rPr>
  </w:style>
  <w:style w:type="character" w:customStyle="1" w:styleId="Titolo2Carattere">
    <w:name w:val="Titolo 2 Carattere"/>
    <w:basedOn w:val="Caratterepredefinitoparagrafo"/>
    <w:link w:val="Titolo2"/>
    <w:uiPriority w:val="9"/>
    <w:rsid w:val="00EA10C3"/>
    <w:rPr>
      <w:rFonts w:ascii="Times New Roman" w:eastAsia="Times New Roman" w:hAnsi="Times New Roman" w:cs="Times New Roman"/>
      <w:bCs/>
      <w:i/>
      <w:iCs/>
      <w:sz w:val="24"/>
      <w:szCs w:val="28"/>
    </w:rPr>
  </w:style>
  <w:style w:type="paragraph" w:customStyle="1" w:styleId="007-Caption">
    <w:name w:val="007-Caption"/>
    <w:basedOn w:val="Normale"/>
    <w:next w:val="Normale"/>
    <w:qFormat/>
    <w:rsid w:val="00EA10C3"/>
    <w:pPr>
      <w:spacing w:before="120" w:after="120"/>
      <w:jc w:val="center"/>
    </w:pPr>
    <w:rPr>
      <w:b/>
      <w:sz w:val="22"/>
    </w:rPr>
  </w:style>
  <w:style w:type="paragraph" w:customStyle="1" w:styleId="008-References">
    <w:name w:val="008-References"/>
    <w:basedOn w:val="Normale"/>
    <w:qFormat/>
    <w:rsid w:val="00596A76"/>
    <w:pPr>
      <w:ind w:left="284" w:hanging="284"/>
      <w:jc w:val="left"/>
    </w:pPr>
    <w:rPr>
      <w:sz w:val="22"/>
    </w:rPr>
  </w:style>
  <w:style w:type="paragraph" w:styleId="Corpodeltesto">
    <w:name w:val="Body Text"/>
    <w:basedOn w:val="Normale"/>
    <w:link w:val="CorpodeltestoCarattere"/>
    <w:uiPriority w:val="99"/>
    <w:rsid w:val="001F3073"/>
    <w:pPr>
      <w:jc w:val="left"/>
    </w:pPr>
    <w:rPr>
      <w:rFonts w:eastAsia="Times New Roman"/>
      <w:color w:val="0000FF"/>
      <w:szCs w:val="24"/>
      <w:lang w:eastAsia="sv-SE"/>
    </w:rPr>
  </w:style>
  <w:style w:type="character" w:customStyle="1" w:styleId="CorpodeltestoCarattere">
    <w:name w:val="Corpo del testo Carattere"/>
    <w:basedOn w:val="Caratterepredefinitoparagrafo"/>
    <w:link w:val="Corpodeltesto"/>
    <w:uiPriority w:val="99"/>
    <w:rsid w:val="001F3073"/>
    <w:rPr>
      <w:rFonts w:ascii="Times New Roman" w:eastAsia="Times New Roman" w:hAnsi="Times New Roman"/>
      <w:color w:val="0000FF"/>
      <w:sz w:val="24"/>
      <w:szCs w:val="24"/>
      <w:lang w:val="en-GB" w:eastAsia="sv-SE"/>
    </w:rPr>
  </w:style>
  <w:style w:type="paragraph" w:styleId="Corpodeltesto2">
    <w:name w:val="Body Text 2"/>
    <w:basedOn w:val="Normale"/>
    <w:link w:val="Corpodeltesto2Carattere"/>
    <w:uiPriority w:val="99"/>
    <w:semiHidden/>
    <w:unhideWhenUsed/>
    <w:rsid w:val="000B1B6C"/>
    <w:pPr>
      <w:spacing w:after="120" w:line="480" w:lineRule="auto"/>
    </w:pPr>
  </w:style>
  <w:style w:type="character" w:customStyle="1" w:styleId="Corpodeltesto2Carattere">
    <w:name w:val="Corpo del testo 2 Carattere"/>
    <w:basedOn w:val="Caratterepredefinitoparagrafo"/>
    <w:link w:val="Corpodeltesto2"/>
    <w:uiPriority w:val="99"/>
    <w:semiHidden/>
    <w:rsid w:val="000B1B6C"/>
    <w:rPr>
      <w:rFonts w:ascii="Times New Roman" w:hAnsi="Times New Roman"/>
      <w:sz w:val="24"/>
      <w:szCs w:val="22"/>
      <w:lang w:val="en-GB"/>
    </w:rPr>
  </w:style>
  <w:style w:type="paragraph" w:styleId="Testofumetto">
    <w:name w:val="Balloon Text"/>
    <w:basedOn w:val="Normale"/>
    <w:link w:val="TestofumettoCarattere"/>
    <w:rsid w:val="00202961"/>
    <w:rPr>
      <w:rFonts w:ascii="Tahoma" w:hAnsi="Tahoma" w:cs="Tahoma"/>
      <w:sz w:val="16"/>
      <w:szCs w:val="16"/>
    </w:rPr>
  </w:style>
  <w:style w:type="character" w:customStyle="1" w:styleId="TestofumettoCarattere">
    <w:name w:val="Testo fumetto Carattere"/>
    <w:basedOn w:val="Caratterepredefinitoparagrafo"/>
    <w:link w:val="Testofumetto"/>
    <w:rsid w:val="00202961"/>
    <w:rPr>
      <w:rFonts w:ascii="Tahoma" w:hAnsi="Tahoma" w:cs="Tahoma"/>
      <w:sz w:val="16"/>
      <w:szCs w:val="16"/>
      <w:lang w:val="en-GB" w:eastAsia="en-US"/>
    </w:rPr>
  </w:style>
  <w:style w:type="character" w:styleId="Rimandocommento">
    <w:name w:val="annotation reference"/>
    <w:basedOn w:val="Caratterepredefinitoparagrafo"/>
    <w:uiPriority w:val="99"/>
    <w:semiHidden/>
    <w:unhideWhenUsed/>
    <w:rsid w:val="00B50104"/>
    <w:rPr>
      <w:sz w:val="16"/>
      <w:szCs w:val="16"/>
    </w:rPr>
  </w:style>
  <w:style w:type="paragraph" w:styleId="Didascalia">
    <w:name w:val="caption"/>
    <w:basedOn w:val="Normale"/>
    <w:next w:val="Normale"/>
    <w:uiPriority w:val="35"/>
    <w:unhideWhenUsed/>
    <w:qFormat/>
    <w:rsid w:val="00654CEF"/>
    <w:pPr>
      <w:spacing w:after="200"/>
      <w:jc w:val="left"/>
    </w:pPr>
    <w:rPr>
      <w:rFonts w:ascii="Arial" w:eastAsia="Arial" w:hAnsi="Arial" w:cs="Arial"/>
      <w:i/>
      <w:iCs/>
      <w:color w:val="1F497D" w:themeColor="text2"/>
      <w:sz w:val="18"/>
      <w:szCs w:val="18"/>
      <w:lang w:val="en"/>
    </w:rPr>
  </w:style>
  <w:style w:type="paragraph" w:styleId="Testocommento">
    <w:name w:val="annotation text"/>
    <w:basedOn w:val="Normale"/>
    <w:link w:val="TestocommentoCarattere"/>
    <w:semiHidden/>
    <w:unhideWhenUsed/>
    <w:rPr>
      <w:szCs w:val="24"/>
    </w:rPr>
  </w:style>
  <w:style w:type="character" w:customStyle="1" w:styleId="TestocommentoCarattere">
    <w:name w:val="Testo commento Carattere"/>
    <w:basedOn w:val="Caratterepredefinitoparagrafo"/>
    <w:link w:val="Testocommento"/>
    <w:semiHidden/>
    <w:rPr>
      <w:rFonts w:ascii="Times New Roman" w:hAnsi="Times New Roman"/>
      <w:sz w:val="24"/>
      <w:szCs w:val="24"/>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AT" w:eastAsia="de-AT"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uiPriority="35" w:qFormat="1"/>
    <w:lsdException w:name="annotation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e">
    <w:name w:val="Normal"/>
    <w:qFormat/>
    <w:rsid w:val="001F3073"/>
    <w:pPr>
      <w:jc w:val="both"/>
    </w:pPr>
    <w:rPr>
      <w:rFonts w:ascii="Times New Roman" w:hAnsi="Times New Roman"/>
      <w:sz w:val="24"/>
      <w:szCs w:val="22"/>
      <w:lang w:val="en-GB" w:eastAsia="en-US"/>
    </w:rPr>
  </w:style>
  <w:style w:type="paragraph" w:styleId="Titolo1">
    <w:name w:val="heading 1"/>
    <w:basedOn w:val="Normale"/>
    <w:next w:val="Normale"/>
    <w:link w:val="Titolo1Carattere"/>
    <w:uiPriority w:val="9"/>
    <w:qFormat/>
    <w:rsid w:val="001F3073"/>
    <w:pPr>
      <w:keepNext/>
      <w:spacing w:before="240" w:after="60"/>
      <w:outlineLvl w:val="0"/>
    </w:pPr>
    <w:rPr>
      <w:rFonts w:eastAsia="Times New Roman"/>
      <w:b/>
      <w:bCs/>
      <w:kern w:val="32"/>
      <w:szCs w:val="32"/>
    </w:rPr>
  </w:style>
  <w:style w:type="paragraph" w:styleId="Titolo2">
    <w:name w:val="heading 2"/>
    <w:basedOn w:val="Normale"/>
    <w:next w:val="Normale"/>
    <w:link w:val="Titolo2Carattere"/>
    <w:uiPriority w:val="9"/>
    <w:qFormat/>
    <w:rsid w:val="00EA10C3"/>
    <w:pPr>
      <w:keepNext/>
      <w:spacing w:before="240" w:after="60"/>
      <w:outlineLvl w:val="1"/>
    </w:pPr>
    <w:rPr>
      <w:rFonts w:eastAsia="Times New Roman"/>
      <w:bCs/>
      <w:i/>
      <w:iCs/>
      <w:szCs w:val="28"/>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01-Title">
    <w:name w:val="001-Title"/>
    <w:basedOn w:val="Normale"/>
    <w:next w:val="002-Authors"/>
    <w:qFormat/>
    <w:rsid w:val="00112E67"/>
    <w:pPr>
      <w:jc w:val="center"/>
    </w:pPr>
    <w:rPr>
      <w:sz w:val="32"/>
      <w:lang w:val="da-DK"/>
    </w:rPr>
  </w:style>
  <w:style w:type="paragraph" w:customStyle="1" w:styleId="002-Authors">
    <w:name w:val="002-Authors"/>
    <w:basedOn w:val="Normale"/>
    <w:next w:val="003-Email"/>
    <w:qFormat/>
    <w:rsid w:val="009D7DA5"/>
    <w:pPr>
      <w:spacing w:before="360"/>
      <w:jc w:val="center"/>
    </w:pPr>
  </w:style>
  <w:style w:type="paragraph" w:customStyle="1" w:styleId="003-Email">
    <w:name w:val="003-Email"/>
    <w:basedOn w:val="Normale"/>
    <w:next w:val="004-Affiliation"/>
    <w:qFormat/>
    <w:rsid w:val="009D7DA5"/>
    <w:pPr>
      <w:spacing w:before="240"/>
      <w:jc w:val="center"/>
    </w:pPr>
    <w:rPr>
      <w:i/>
      <w:sz w:val="20"/>
    </w:rPr>
  </w:style>
  <w:style w:type="character" w:styleId="Collegamentoipertestuale">
    <w:name w:val="Hyperlink"/>
    <w:basedOn w:val="Caratterepredefinitoparagrafo"/>
    <w:uiPriority w:val="99"/>
    <w:unhideWhenUsed/>
    <w:rsid w:val="00112E67"/>
    <w:rPr>
      <w:color w:val="0000FF"/>
      <w:u w:val="single"/>
    </w:rPr>
  </w:style>
  <w:style w:type="paragraph" w:customStyle="1" w:styleId="004-Affiliation">
    <w:name w:val="004-Affiliation"/>
    <w:basedOn w:val="Normale"/>
    <w:next w:val="Normale"/>
    <w:qFormat/>
    <w:rsid w:val="00112E67"/>
    <w:pPr>
      <w:jc w:val="center"/>
    </w:pPr>
    <w:rPr>
      <w:sz w:val="20"/>
    </w:rPr>
  </w:style>
  <w:style w:type="paragraph" w:customStyle="1" w:styleId="005-AbstractHeader">
    <w:name w:val="005-AbstractHeader"/>
    <w:basedOn w:val="Normale"/>
    <w:qFormat/>
    <w:rsid w:val="00EA10C3"/>
    <w:pPr>
      <w:spacing w:before="360"/>
    </w:pPr>
    <w:rPr>
      <w:b/>
    </w:rPr>
  </w:style>
  <w:style w:type="paragraph" w:customStyle="1" w:styleId="006-AbstractBodytext">
    <w:name w:val="006-AbstractBodytext"/>
    <w:basedOn w:val="005-AbstractHeader"/>
    <w:qFormat/>
    <w:rsid w:val="00EA10C3"/>
    <w:pPr>
      <w:spacing w:before="0"/>
    </w:pPr>
    <w:rPr>
      <w:b w:val="0"/>
      <w:sz w:val="20"/>
    </w:rPr>
  </w:style>
  <w:style w:type="character" w:customStyle="1" w:styleId="Titolo1Carattere">
    <w:name w:val="Titolo 1 Carattere"/>
    <w:basedOn w:val="Caratterepredefinitoparagrafo"/>
    <w:link w:val="Titolo1"/>
    <w:uiPriority w:val="9"/>
    <w:rsid w:val="001F3073"/>
    <w:rPr>
      <w:rFonts w:ascii="Times New Roman" w:eastAsia="Times New Roman" w:hAnsi="Times New Roman" w:cs="Times New Roman"/>
      <w:b/>
      <w:bCs/>
      <w:kern w:val="32"/>
      <w:sz w:val="24"/>
      <w:szCs w:val="32"/>
      <w:lang w:val="en-GB"/>
    </w:rPr>
  </w:style>
  <w:style w:type="character" w:customStyle="1" w:styleId="Titolo2Carattere">
    <w:name w:val="Titolo 2 Carattere"/>
    <w:basedOn w:val="Caratterepredefinitoparagrafo"/>
    <w:link w:val="Titolo2"/>
    <w:uiPriority w:val="9"/>
    <w:rsid w:val="00EA10C3"/>
    <w:rPr>
      <w:rFonts w:ascii="Times New Roman" w:eastAsia="Times New Roman" w:hAnsi="Times New Roman" w:cs="Times New Roman"/>
      <w:bCs/>
      <w:i/>
      <w:iCs/>
      <w:sz w:val="24"/>
      <w:szCs w:val="28"/>
    </w:rPr>
  </w:style>
  <w:style w:type="paragraph" w:customStyle="1" w:styleId="007-Caption">
    <w:name w:val="007-Caption"/>
    <w:basedOn w:val="Normale"/>
    <w:next w:val="Normale"/>
    <w:qFormat/>
    <w:rsid w:val="00EA10C3"/>
    <w:pPr>
      <w:spacing w:before="120" w:after="120"/>
      <w:jc w:val="center"/>
    </w:pPr>
    <w:rPr>
      <w:b/>
      <w:sz w:val="22"/>
    </w:rPr>
  </w:style>
  <w:style w:type="paragraph" w:customStyle="1" w:styleId="008-References">
    <w:name w:val="008-References"/>
    <w:basedOn w:val="Normale"/>
    <w:qFormat/>
    <w:rsid w:val="00596A76"/>
    <w:pPr>
      <w:ind w:left="284" w:hanging="284"/>
      <w:jc w:val="left"/>
    </w:pPr>
    <w:rPr>
      <w:sz w:val="22"/>
    </w:rPr>
  </w:style>
  <w:style w:type="paragraph" w:styleId="Corpodeltesto">
    <w:name w:val="Body Text"/>
    <w:basedOn w:val="Normale"/>
    <w:link w:val="CorpodeltestoCarattere"/>
    <w:uiPriority w:val="99"/>
    <w:rsid w:val="001F3073"/>
    <w:pPr>
      <w:jc w:val="left"/>
    </w:pPr>
    <w:rPr>
      <w:rFonts w:eastAsia="Times New Roman"/>
      <w:color w:val="0000FF"/>
      <w:szCs w:val="24"/>
      <w:lang w:eastAsia="sv-SE"/>
    </w:rPr>
  </w:style>
  <w:style w:type="character" w:customStyle="1" w:styleId="CorpodeltestoCarattere">
    <w:name w:val="Corpo del testo Carattere"/>
    <w:basedOn w:val="Caratterepredefinitoparagrafo"/>
    <w:link w:val="Corpodeltesto"/>
    <w:uiPriority w:val="99"/>
    <w:rsid w:val="001F3073"/>
    <w:rPr>
      <w:rFonts w:ascii="Times New Roman" w:eastAsia="Times New Roman" w:hAnsi="Times New Roman"/>
      <w:color w:val="0000FF"/>
      <w:sz w:val="24"/>
      <w:szCs w:val="24"/>
      <w:lang w:val="en-GB" w:eastAsia="sv-SE"/>
    </w:rPr>
  </w:style>
  <w:style w:type="paragraph" w:styleId="Corpodeltesto2">
    <w:name w:val="Body Text 2"/>
    <w:basedOn w:val="Normale"/>
    <w:link w:val="Corpodeltesto2Carattere"/>
    <w:uiPriority w:val="99"/>
    <w:semiHidden/>
    <w:unhideWhenUsed/>
    <w:rsid w:val="000B1B6C"/>
    <w:pPr>
      <w:spacing w:after="120" w:line="480" w:lineRule="auto"/>
    </w:pPr>
  </w:style>
  <w:style w:type="character" w:customStyle="1" w:styleId="Corpodeltesto2Carattere">
    <w:name w:val="Corpo del testo 2 Carattere"/>
    <w:basedOn w:val="Caratterepredefinitoparagrafo"/>
    <w:link w:val="Corpodeltesto2"/>
    <w:uiPriority w:val="99"/>
    <w:semiHidden/>
    <w:rsid w:val="000B1B6C"/>
    <w:rPr>
      <w:rFonts w:ascii="Times New Roman" w:hAnsi="Times New Roman"/>
      <w:sz w:val="24"/>
      <w:szCs w:val="22"/>
      <w:lang w:val="en-GB"/>
    </w:rPr>
  </w:style>
  <w:style w:type="paragraph" w:styleId="Testofumetto">
    <w:name w:val="Balloon Text"/>
    <w:basedOn w:val="Normale"/>
    <w:link w:val="TestofumettoCarattere"/>
    <w:rsid w:val="00202961"/>
    <w:rPr>
      <w:rFonts w:ascii="Tahoma" w:hAnsi="Tahoma" w:cs="Tahoma"/>
      <w:sz w:val="16"/>
      <w:szCs w:val="16"/>
    </w:rPr>
  </w:style>
  <w:style w:type="character" w:customStyle="1" w:styleId="TestofumettoCarattere">
    <w:name w:val="Testo fumetto Carattere"/>
    <w:basedOn w:val="Caratterepredefinitoparagrafo"/>
    <w:link w:val="Testofumetto"/>
    <w:rsid w:val="00202961"/>
    <w:rPr>
      <w:rFonts w:ascii="Tahoma" w:hAnsi="Tahoma" w:cs="Tahoma"/>
      <w:sz w:val="16"/>
      <w:szCs w:val="16"/>
      <w:lang w:val="en-GB" w:eastAsia="en-US"/>
    </w:rPr>
  </w:style>
  <w:style w:type="character" w:styleId="Rimandocommento">
    <w:name w:val="annotation reference"/>
    <w:basedOn w:val="Caratterepredefinitoparagrafo"/>
    <w:uiPriority w:val="99"/>
    <w:semiHidden/>
    <w:unhideWhenUsed/>
    <w:rsid w:val="00B50104"/>
    <w:rPr>
      <w:sz w:val="16"/>
      <w:szCs w:val="16"/>
    </w:rPr>
  </w:style>
  <w:style w:type="paragraph" w:styleId="Didascalia">
    <w:name w:val="caption"/>
    <w:basedOn w:val="Normale"/>
    <w:next w:val="Normale"/>
    <w:uiPriority w:val="35"/>
    <w:unhideWhenUsed/>
    <w:qFormat/>
    <w:rsid w:val="00654CEF"/>
    <w:pPr>
      <w:spacing w:after="200"/>
      <w:jc w:val="left"/>
    </w:pPr>
    <w:rPr>
      <w:rFonts w:ascii="Arial" w:eastAsia="Arial" w:hAnsi="Arial" w:cs="Arial"/>
      <w:i/>
      <w:iCs/>
      <w:color w:val="1F497D" w:themeColor="text2"/>
      <w:sz w:val="18"/>
      <w:szCs w:val="18"/>
      <w:lang w:val="en"/>
    </w:rPr>
  </w:style>
  <w:style w:type="paragraph" w:styleId="Testocommento">
    <w:name w:val="annotation text"/>
    <w:basedOn w:val="Normale"/>
    <w:link w:val="TestocommentoCarattere"/>
    <w:semiHidden/>
    <w:unhideWhenUsed/>
    <w:rPr>
      <w:szCs w:val="24"/>
    </w:rPr>
  </w:style>
  <w:style w:type="character" w:customStyle="1" w:styleId="TestocommentoCarattere">
    <w:name w:val="Testo commento Carattere"/>
    <w:basedOn w:val="Caratterepredefinitoparagrafo"/>
    <w:link w:val="Testocommento"/>
    <w:semiHidden/>
    <w:rPr>
      <w:rFonts w:ascii="Times New Roman" w:hAnsi="Times New Roman"/>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5412">
      <w:bodyDiv w:val="1"/>
      <w:marLeft w:val="0"/>
      <w:marRight w:val="0"/>
      <w:marTop w:val="0"/>
      <w:marBottom w:val="0"/>
      <w:divBdr>
        <w:top w:val="none" w:sz="0" w:space="0" w:color="auto"/>
        <w:left w:val="none" w:sz="0" w:space="0" w:color="auto"/>
        <w:bottom w:val="none" w:sz="0" w:space="0" w:color="auto"/>
        <w:right w:val="none" w:sz="0" w:space="0" w:color="auto"/>
      </w:divBdr>
    </w:div>
    <w:div w:id="180973099">
      <w:bodyDiv w:val="1"/>
      <w:marLeft w:val="0"/>
      <w:marRight w:val="0"/>
      <w:marTop w:val="0"/>
      <w:marBottom w:val="0"/>
      <w:divBdr>
        <w:top w:val="none" w:sz="0" w:space="0" w:color="auto"/>
        <w:left w:val="none" w:sz="0" w:space="0" w:color="auto"/>
        <w:bottom w:val="none" w:sz="0" w:space="0" w:color="auto"/>
        <w:right w:val="none" w:sz="0" w:space="0" w:color="auto"/>
      </w:divBdr>
    </w:div>
    <w:div w:id="439297034">
      <w:bodyDiv w:val="1"/>
      <w:marLeft w:val="0"/>
      <w:marRight w:val="0"/>
      <w:marTop w:val="0"/>
      <w:marBottom w:val="0"/>
      <w:divBdr>
        <w:top w:val="none" w:sz="0" w:space="0" w:color="auto"/>
        <w:left w:val="none" w:sz="0" w:space="0" w:color="auto"/>
        <w:bottom w:val="none" w:sz="0" w:space="0" w:color="auto"/>
        <w:right w:val="none" w:sz="0" w:space="0" w:color="auto"/>
      </w:divBdr>
    </w:div>
    <w:div w:id="646521074">
      <w:bodyDiv w:val="1"/>
      <w:marLeft w:val="0"/>
      <w:marRight w:val="0"/>
      <w:marTop w:val="0"/>
      <w:marBottom w:val="0"/>
      <w:divBdr>
        <w:top w:val="none" w:sz="0" w:space="0" w:color="auto"/>
        <w:left w:val="none" w:sz="0" w:space="0" w:color="auto"/>
        <w:bottom w:val="none" w:sz="0" w:space="0" w:color="auto"/>
        <w:right w:val="none" w:sz="0" w:space="0" w:color="auto"/>
      </w:divBdr>
    </w:div>
    <w:div w:id="709764950">
      <w:bodyDiv w:val="1"/>
      <w:marLeft w:val="0"/>
      <w:marRight w:val="0"/>
      <w:marTop w:val="0"/>
      <w:marBottom w:val="0"/>
      <w:divBdr>
        <w:top w:val="none" w:sz="0" w:space="0" w:color="auto"/>
        <w:left w:val="none" w:sz="0" w:space="0" w:color="auto"/>
        <w:bottom w:val="none" w:sz="0" w:space="0" w:color="auto"/>
        <w:right w:val="none" w:sz="0" w:space="0" w:color="auto"/>
      </w:divBdr>
    </w:div>
    <w:div w:id="1115906536">
      <w:bodyDiv w:val="1"/>
      <w:marLeft w:val="0"/>
      <w:marRight w:val="0"/>
      <w:marTop w:val="0"/>
      <w:marBottom w:val="0"/>
      <w:divBdr>
        <w:top w:val="none" w:sz="0" w:space="0" w:color="auto"/>
        <w:left w:val="none" w:sz="0" w:space="0" w:color="auto"/>
        <w:bottom w:val="none" w:sz="0" w:space="0" w:color="auto"/>
        <w:right w:val="none" w:sz="0" w:space="0" w:color="auto"/>
      </w:divBdr>
    </w:div>
    <w:div w:id="1639917785">
      <w:bodyDiv w:val="1"/>
      <w:marLeft w:val="0"/>
      <w:marRight w:val="0"/>
      <w:marTop w:val="0"/>
      <w:marBottom w:val="0"/>
      <w:divBdr>
        <w:top w:val="none" w:sz="0" w:space="0" w:color="auto"/>
        <w:left w:val="none" w:sz="0" w:space="0" w:color="auto"/>
        <w:bottom w:val="none" w:sz="0" w:space="0" w:color="auto"/>
        <w:right w:val="none" w:sz="0" w:space="0" w:color="auto"/>
      </w:divBdr>
    </w:div>
    <w:div w:id="1783527631">
      <w:bodyDiv w:val="1"/>
      <w:marLeft w:val="0"/>
      <w:marRight w:val="0"/>
      <w:marTop w:val="0"/>
      <w:marBottom w:val="0"/>
      <w:divBdr>
        <w:top w:val="none" w:sz="0" w:space="0" w:color="auto"/>
        <w:left w:val="none" w:sz="0" w:space="0" w:color="auto"/>
        <w:bottom w:val="none" w:sz="0" w:space="0" w:color="auto"/>
        <w:right w:val="none" w:sz="0" w:space="0" w:color="auto"/>
      </w:divBdr>
    </w:div>
    <w:div w:id="1803111096">
      <w:bodyDiv w:val="1"/>
      <w:marLeft w:val="0"/>
      <w:marRight w:val="0"/>
      <w:marTop w:val="0"/>
      <w:marBottom w:val="0"/>
      <w:divBdr>
        <w:top w:val="none" w:sz="0" w:space="0" w:color="auto"/>
        <w:left w:val="none" w:sz="0" w:space="0" w:color="auto"/>
        <w:bottom w:val="none" w:sz="0" w:space="0" w:color="auto"/>
        <w:right w:val="none" w:sz="0" w:space="0" w:color="auto"/>
      </w:divBdr>
    </w:div>
    <w:div w:id="189146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i4oc.org" TargetMode="External"/><Relationship Id="rId20" Type="http://schemas.openxmlformats.org/officeDocument/2006/relationships/hyperlink" Target="https://github.com/sosgang/asn2016-issi2019" TargetMode="External"/><Relationship Id="rId21" Type="http://schemas.openxmlformats.org/officeDocument/2006/relationships/image" Target="media/image1.png"/><Relationship Id="rId22" Type="http://schemas.openxmlformats.org/officeDocument/2006/relationships/hyperlink" Target="https://www.ncbi.nlm.nih.gov/pmc/tools/openftlist/" TargetMode="External"/><Relationship Id="rId23" Type="http://schemas.openxmlformats.org/officeDocument/2006/relationships/hyperlink" Target="https://opencitations.wordpress.com/2019/02/07/crowdsourcing-open-citations-with-croci/" TargetMode="External"/><Relationship Id="rId24" Type="http://schemas.openxmlformats.org/officeDocument/2006/relationships/hyperlink" Target="http://www.gazzettaufficiale.it/eli/id/2011/01/14/011G0009/sg" TargetMode="External"/><Relationship Id="rId25" Type="http://schemas.openxmlformats.org/officeDocument/2006/relationships/hyperlink" Target="https://www.cwts.nl/blog?article=n-r2s234" TargetMode="Externa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commentsExtended" Target="commentsExtended.xml"/><Relationship Id="rId10" Type="http://schemas.openxmlformats.org/officeDocument/2006/relationships/hyperlink" Target="https://www.crossref.org/" TargetMode="External"/><Relationship Id="rId11" Type="http://schemas.openxmlformats.org/officeDocument/2006/relationships/hyperlink" Target="https://dblp.uni-trier.de/" TargetMode="External"/><Relationship Id="rId12" Type="http://schemas.openxmlformats.org/officeDocument/2006/relationships/hyperlink" Target="http://opencitations.net/index/coci" TargetMode="External"/><Relationship Id="rId13" Type="http://schemas.openxmlformats.org/officeDocument/2006/relationships/hyperlink" Target="https://i4oc.org" TargetMode="External"/><Relationship Id="rId14" Type="http://schemas.openxmlformats.org/officeDocument/2006/relationships/hyperlink" Target="https://crossref.org" TargetMode="External"/><Relationship Id="rId15" Type="http://schemas.openxmlformats.org/officeDocument/2006/relationships/hyperlink" Target="https://dblp.uni-trier.de" TargetMode="External"/><Relationship Id="rId16" Type="http://schemas.openxmlformats.org/officeDocument/2006/relationships/hyperlink" Target="http://www.doi.org/factsheets/DOIProxy.html" TargetMode="External"/><Relationship Id="rId17" Type="http://schemas.openxmlformats.org/officeDocument/2006/relationships/hyperlink" Target="http://opencitations.net/index/coci" TargetMode="External"/><Relationship Id="rId18" Type="http://schemas.openxmlformats.org/officeDocument/2006/relationships/hyperlink" Target="http://opencitations.net/index" TargetMode="External"/><Relationship Id="rId19" Type="http://schemas.openxmlformats.org/officeDocument/2006/relationships/hyperlink" Target="https://www.crossref.org/reference-distribu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cun.it/documentazione/academic-fields-and-disciplines-li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queline%20leta\Meus%20documentos\Jacqueline%20-%20ISSI%202009\ISSI2009templat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2B981-1048-0447-A769-B30C59AD6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Settings\jaqueline leta\Meus documentos\Jacqueline - ISSI 2009\ISSI2009template.dot</Template>
  <TotalTime>4</TotalTime>
  <Pages>12</Pages>
  <Words>5937</Words>
  <Characters>33841</Characters>
  <Application>Microsoft Macintosh Word</Application>
  <DocSecurity>0</DocSecurity>
  <Lines>282</Lines>
  <Paragraphs>79</Paragraphs>
  <ScaleCrop>false</ScaleCrop>
  <HeadingPairs>
    <vt:vector size="6" baseType="variant">
      <vt:variant>
        <vt:lpstr>Title</vt:lpstr>
      </vt:variant>
      <vt:variant>
        <vt:i4>1</vt:i4>
      </vt:variant>
      <vt:variant>
        <vt:lpstr>Titolo</vt:lpstr>
      </vt:variant>
      <vt:variant>
        <vt:i4>1</vt:i4>
      </vt:variant>
      <vt:variant>
        <vt:lpstr>Titel</vt:lpstr>
      </vt:variant>
      <vt:variant>
        <vt:i4>1</vt:i4>
      </vt:variant>
    </vt:vector>
  </HeadingPairs>
  <TitlesOfParts>
    <vt:vector size="3" baseType="lpstr">
      <vt:lpstr/>
      <vt:lpstr/>
      <vt:lpstr/>
    </vt:vector>
  </TitlesOfParts>
  <Company>Danmark Biblioteksskole</Company>
  <LinksUpToDate>false</LinksUpToDate>
  <CharactersWithSpaces>39699</CharactersWithSpaces>
  <SharedDoc>false</SharedDoc>
  <HLinks>
    <vt:vector size="18" baseType="variant">
      <vt:variant>
        <vt:i4>7012473</vt:i4>
      </vt:variant>
      <vt:variant>
        <vt:i4>6</vt:i4>
      </vt:variant>
      <vt:variant>
        <vt:i4>0</vt:i4>
      </vt:variant>
      <vt:variant>
        <vt:i4>5</vt:i4>
      </vt:variant>
      <vt:variant>
        <vt:lpwstr>http://www.csdl.tamu.edu/DL94/paper/kling.html</vt:lpwstr>
      </vt:variant>
      <vt:variant>
        <vt:lpwstr/>
      </vt:variant>
      <vt:variant>
        <vt:i4>1835094</vt:i4>
      </vt:variant>
      <vt:variant>
        <vt:i4>3</vt:i4>
      </vt:variant>
      <vt:variant>
        <vt:i4>0</vt:i4>
      </vt:variant>
      <vt:variant>
        <vt:i4>5</vt:i4>
      </vt:variant>
      <vt:variant>
        <vt:lpwstr>http://www.apastyle.org/elecref.html</vt:lpwstr>
      </vt:variant>
      <vt:variant>
        <vt:lpwstr/>
      </vt:variant>
      <vt:variant>
        <vt:i4>4194375</vt:i4>
      </vt:variant>
      <vt:variant>
        <vt:i4>0</vt:i4>
      </vt:variant>
      <vt:variant>
        <vt:i4>0</vt:i4>
      </vt:variant>
      <vt:variant>
        <vt:i4>5</vt:i4>
      </vt:variant>
      <vt:variant>
        <vt:lpwstr>http://www.apastyle.org/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jaqueline leta</dc:creator>
  <cp:lastModifiedBy>Angelo Di Iorio</cp:lastModifiedBy>
  <cp:revision>3</cp:revision>
  <cp:lastPrinted>2019-06-06T19:43:00Z</cp:lastPrinted>
  <dcterms:created xsi:type="dcterms:W3CDTF">2019-06-06T19:43:00Z</dcterms:created>
  <dcterms:modified xsi:type="dcterms:W3CDTF">2019-06-06T19:49:00Z</dcterms:modified>
</cp:coreProperties>
</file>