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프로젝트 SOS 사업계획서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1~4인 소형 프로젝트룸 특화 공유오피스 — 신규 투자 검토</w:t>
      </w:r>
    </w:p>
    <w:p>
      <w:pPr>
        <w:spacing w:after="120"/>
      </w:pPr>
      <w:r>
        <w:rPr>
          <w:b w:val="false"/>
          <w:bCs w:val="false"/>
          <w:sz w:val="18"/>
          <w:szCs w:val="18"/>
        </w:rPr>
        <w:t xml:space="preserve">작성일: 2026-07-02</w:t>
      </w:r>
    </w:p>
    <w:p>
      <w:pPr>
        <w:pStyle w:val="Heading1"/>
        <w:spacing w:after="200" w:before="400"/>
      </w:pPr>
      <w:r>
        <w:t xml:space="preserve">1. 요약(Executive Summary)</w:t>
      </w:r>
    </w:p>
    <w:p>
      <w:pPr>
        <w:spacing w:after="120"/>
      </w:pPr>
      <w:r>
        <w:rPr>
          <w:b w:val="false"/>
          <w:bCs w:val="false"/>
        </w:rPr>
        <w:t xml:space="preserve">SOS는 패스트파이브·스파크플러스가 진입하지 않는 100~150평 소형 매물에서, 1~4인 소형팀 전용 프로젝트룸으로 승부하는 공유오피스 모델이다. 경쟁사는 최소 250~300평급 대형 지점이 필요하지만, SOS는 그 3분의 1 이하 면적으로 진입 가능하다.</w:t>
      </w:r>
    </w:p>
    <w:p>
      <w:pPr>
        <w:spacing w:after="120" w:before="120"/>
      </w:pPr>
      <w:r>
        <w:rPr>
          <w:b/>
          <w:bCs/>
          <w:color w:val="1F4F99"/>
          <w:sz w:val="24"/>
          <w:szCs w:val="24"/>
        </w:rPr>
        <w:t xml:space="preserve">요청 투자금(실투자금·CAPEX): 약 2.02억원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현금흐름 기준 회수기간: 3.7년(가동률 70% 기준) — 감가상각은 비현금 비용이므로 실제 회수는 회계상 손익보다 빠름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손익분기(BEP): 64.8% — 국내 공유오피스 평균 가동률(패스트파이브 등 85%+) 대비 20%p 이상 여유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다운사이드 방어: 가동률 60%까지 하락해도 현금흐름은 흑자(+228만/월) 유지, 실질 완전 손실 구간은 55% 미만으로 제한적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참고사례(판교): 동일 방식 적용 시 CAPEX 2.01억, BEP 49.2%, 70% 가동 시 현금흐름 회수 19개월(1.6년) — 규제로 경쟁 강도가 낮은 상권의 상방 잠재력을 보여주는 근거</w:t>
      </w:r>
    </w:p>
    <w:p>
      <w:pPr>
        <w:pStyle w:val="Heading1"/>
        <w:spacing w:after="200" w:before="400"/>
      </w:pPr>
      <w:r>
        <w:t xml:space="preserve">2. 투자 요청 및 회수 계획 — 왜 2억을 투자해야 하는가</w:t>
      </w:r>
    </w:p>
    <w:p>
      <w:pPr>
        <w:pStyle w:val="Heading2"/>
        <w:spacing w:after="150" w:before="300"/>
      </w:pPr>
      <w:r>
        <w:t xml:space="preserve">2-1. 실투자금 정확한 구성</w:t>
      </w:r>
    </w:p>
    <w:p>
      <w:pPr>
        <w:spacing w:after="120"/>
      </w:pPr>
      <w:r>
        <w:rPr>
          <w:b w:val="false"/>
          <w:bCs w:val="false"/>
        </w:rPr>
        <w:t xml:space="preserve">"2억 투자"는 아래 CAPEX(초기투자금)만을 가리킨다. 임차보증금은 계약 종료 시 회수되는 자산이므로 손실 위험이 있는 "실투자금"과는 분리해서 봐야 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금액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성격</w:t>
            </w:r>
          </w:p>
        </w:tc>
      </w:tr>
      <w:tr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초기투자금(CAPEX, 인테리어·설비·가구 등)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2.025억원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회수 불가능한 실투자금 — 이 문서의 투자 요청 대상</w:t>
            </w:r>
          </w:p>
        </w:tc>
      </w:tr>
      <w:tr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임차보증금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0.75억원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계약 종료 시 100% 환급되는 자산성 지출 (투자 리스크 아님)</w:t>
            </w:r>
          </w:p>
        </w:tc>
      </w:tr>
      <w:tr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운전자금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0.05억원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예비 현금</w:t>
            </w:r>
          </w:p>
        </w:tc>
      </w:tr>
      <w:tr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총 소요자금(조달 관점)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2.85억원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자금 조달 계획 수립 시 참고용 총액</w:t>
            </w:r>
          </w:p>
        </w:tc>
      </w:tr>
    </w:tbl>
    <w:p>
      <w:pPr>
        <w:pStyle w:val="Heading2"/>
        <w:spacing w:after="150" w:before="300"/>
      </w:pPr>
      <w:r>
        <w:t xml:space="preserve">2-2. 현금흐름 기준 회수 기간 — 회계상 손익이 아닌 실제 현금으로 계산</w:t>
      </w:r>
    </w:p>
    <w:p>
      <w:pPr>
        <w:spacing w:after="120"/>
      </w:pPr>
      <w:r>
        <w:rPr>
          <w:b w:val="false"/>
          <w:bCs w:val="false"/>
        </w:rPr>
        <w:t xml:space="preserve">월상각(감가상각)은 실제로 통장에서 빠져나가는 돈이 아니다. 투자금 회수 여부를 판단할 때는 "영업이익"이 아니라 "영업이익+월상각"(=실제 월 현금흐름)을 기준으로 봐야 한다. 아래는 100평형 모델(전국표준) 기준이다.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가동률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 영업이익(회계)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 현금흐름(실제)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 현금흐름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현금 회수기간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50%(최악 가정)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-341만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-3만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-0.00억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회수 불가(적자 지속)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-110만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+228만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0.27억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88.8개월(7.4년)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65%(BEP 부근)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+5만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+343만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0.41억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59.0개월(4.9년)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70%(기준 시나리오)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+121만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+459만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0.55억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44.1개월(3.7년)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+236만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+574만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0.69억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35.3개월(2.9년)</w:t>
            </w:r>
          </w:p>
        </w:tc>
      </w:tr>
    </w:tbl>
    <w:p>
      <w:pPr>
        <w:spacing w:after="120"/>
      </w:pPr>
      <w:r>
        <w:rPr>
          <w:b/>
          <w:bCs/>
        </w:rPr>
        <w:t xml:space="preserve">핵심: 가동률 70%만 넘으면 3년대에 실투자금을 현금으로 회수한다. 국내 주요 공유오피스(패스트파이브 등)의 안정화 이후 평균 가동률은 85% 이상으로 보고되므로, 70%는 보수적인 기준선이다.</w:t>
      </w:r>
    </w:p>
    <w:p>
      <w:pPr>
        <w:pStyle w:val="Heading2"/>
        <w:spacing w:after="150" w:before="300"/>
      </w:pPr>
      <w:r>
        <w:t xml:space="preserve">2-3. 다운사이드 시나리오 — 최악의 경우에도 손실 규모가 제한적인 이유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가동률이 50%까지 떨어져도 월 현금 손실은 -3만원 수준(거의 손익분기) — 완전한 현금 소진 상황이 아님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60%부터는 이미 현금흐름 흑자로 전환 — 손익분기(64.8%)보다 낮은 가동률에서도 현금은 마르지 않음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이는 회원보증금(계약기간별 회원 1인당 50만~290만원) 유입이 추가 유동성 버퍼로 작용하기 때문 — 4장 참고</w:t>
      </w:r>
    </w:p>
    <w:p>
      <w:pPr>
        <w:pStyle w:val="Heading2"/>
        <w:spacing w:after="150" w:before="300"/>
      </w:pPr>
      <w:r>
        <w:t xml:space="preserve">2-4. 상방 시나리오 — 판교(참고사례) 적용 시</w:t>
      </w:r>
    </w:p>
    <w:p>
      <w:pPr>
        <w:spacing w:after="120"/>
      </w:pPr>
      <w:r>
        <w:rPr>
          <w:b w:val="false"/>
          <w:bCs w:val="false"/>
        </w:rPr>
        <w:t xml:space="preserve">동일한 CAPEX(2.01억) 수준에서 규제로 경쟁 강도가 낮은 판교 같은 상권에 적용하면 회수기간이 극적으로 단축된다: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가동률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 영업이익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 현금흐름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현금 회수기간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+29만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+364만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55.2개월(4.6년)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+374만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+709만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28.3개월(2.4년)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70%(기준)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+720만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+1,055만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19.0개월(1.6년)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+892만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+1,227만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16.4개월(1.4년)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판교형 상권(경쟁사 진입장벽이 있는 지역)을 추가 확보할수록 포트폴리오 전체의 평균 회수기간이 단축되는 구조다.</w:t>
      </w:r>
    </w:p>
    <w:p>
      <w:pPr>
        <w:pStyle w:val="Heading1"/>
        <w:spacing w:after="200" w:before="400"/>
      </w:pPr>
      <w:r>
        <w:t xml:space="preserve">3. 시장 및 경쟁 분석</w:t>
      </w:r>
    </w:p>
    <w:p>
      <w:pPr>
        <w:pStyle w:val="Heading2"/>
        <w:spacing w:after="150" w:before="300"/>
      </w:pPr>
      <w:r>
        <w:t xml:space="preserve">3-1. 경쟁사 대비 SOS 특장점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패스트파이브·스파크플러스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SOS</w:t>
            </w:r>
          </w:p>
        </w:tc>
      </w:tr>
      <w:tr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필요 면적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최소 250~300평, 표준 350~500평급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100~150평으로 진입 가능</w:t>
            </w:r>
          </w:p>
        </w:tc>
      </w:tr>
      <w:tr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공간 구성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라운지·공용부 비중 큼, 5인 이상 대형실도 있음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1·2·4인 소형 독립실 중심, 5인 이상 제외</w:t>
            </w:r>
          </w:p>
        </w:tc>
      </w:tr>
      <w:tr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상주 서비스·상담 인력 중심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1인 운영 + 무인결제 + 출입 자동화</w:t>
            </w:r>
          </w:p>
        </w:tc>
      </w:tr>
      <w:tr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가격정책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브랜드 프리미엄·공용부 비용 포함</w:t>
            </w:r>
          </w:p>
        </w:tc>
        <w:tc>
          <w:tcPr>
            <w:tcW w:type="pct" w:w="33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BEP 65% 역산 기준 실속형 가격</w:t>
            </w:r>
          </w:p>
        </w:tc>
      </w:tr>
    </w:tbl>
    <w:p>
      <w:pPr>
        <w:pStyle w:val="Heading2"/>
        <w:spacing w:after="150" w:before="300"/>
      </w:pPr>
      <w:r>
        <w:t xml:space="preserve">3-2. 1~4인실 수요 근거 (정황 증거 — 직접 소진율 데이터 아님)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국내 사업체 635만개 중 5인 미만 사업체가 압도적 다수, 2024년 한 해만 15만2천개 증가(통계청 전국사업체조사)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스타트업 초기 팀 규모는 평균 4~8명 수준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스파크플러스 분당2호점 실제 제안서 확인 결과: 개별 1인실이 없고 "1인 비즈니스 데스크" 공용좌석 4석뿐, 제안 호실도 5·6·8인실만 — 경쟁사가 1~4인실을 거의 짓지 않는다는 사실 자체가 확인됨(공백 시장 vs 검증된 수요 부족, 두 해석 모두 가능하므로 추가 검증 필요)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온라인 후기: 공유오피스 1인실은 매물 자체가 희소해 대기 후 계약하는 사례가 다수 확인됨(정량 데이터 아님)</w:t>
      </w:r>
    </w:p>
    <w:p>
      <w:pPr>
        <w:pStyle w:val="Heading1"/>
        <w:spacing w:after="200" w:before="400"/>
      </w:pPr>
      <w:r>
        <w:t xml:space="preserve">4. 재무 계획 상세</w:t>
      </w:r>
    </w:p>
    <w:p>
      <w:pPr>
        <w:pStyle w:val="Heading2"/>
        <w:spacing w:after="150" w:before="300"/>
      </w:pPr>
      <w:r>
        <w:t xml:space="preserve">4-1. 모델별 손익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호실/좌석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만실매출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초기투자금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BEP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70% 가동 월손익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100평형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26실/72석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2,608만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20,250만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64.8%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+121만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120평(주력)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32실/86석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2,769만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23,209만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64.8%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+128만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150평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52실/106석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3,589만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28,987만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63.8%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+197만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판교(참고)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26실/72석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3,904만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20,079만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49.2%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+720만</w:t>
            </w:r>
          </w:p>
        </w:tc>
      </w:tr>
    </w:tbl>
    <w:p>
      <w:pPr>
        <w:pStyle w:val="Heading2"/>
        <w:spacing w:after="150" w:before="300"/>
      </w:pPr>
      <w:r>
        <w:t xml:space="preserve">4-2. 초기투자금(CAPEX) 상세 — 100평형 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투자 항목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단가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금액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인테리어·방음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130만/평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13,650만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가견적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전기·통신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4만/평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420만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실측(네트워크공사 견적서 11,155,806원+전기전용 914,468원÷301.54평)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냉난방 설비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20만/평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2,100만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실측(냉난방 견적서 59,393,000원÷301.54평)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소방 설비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9만/평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945만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실측(소방 견적서 27,289,670원÷301.54평)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도어락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7만/룸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182만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가견적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보안·CCTV·출입통제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86만 정액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86만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실측(ADT캡스 견적서 861,110원)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가구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23.65만/석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1,703만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가견적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탕비·라운지가구 등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가견적</w:t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예비비 5%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964만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합계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20,250만</w:t>
            </w:r>
          </w:p>
        </w:tc>
        <w:tc>
          <w:tcPr>
            <w:tcW w:type="pct" w:w="25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4-3. 회원보증금 — 추가 유동성 버퍼(투자금 조달과 별개)</w:t>
      </w:r>
    </w:p>
    <w:p>
      <w:pPr>
        <w:spacing w:after="120"/>
      </w:pPr>
      <w:r>
        <w:rPr>
          <w:b w:val="false"/>
          <w:bCs w:val="false"/>
        </w:rPr>
        <w:t xml:space="preserve">회원이 내는 보증금(계약기간별 1~2개월치)은 CAPEX 조달과는 무관하지만, 정상화 이후 미납·손해배상 담보 및 운전자금 버퍼로 작동한다. 100평형 기준 BEP 가동률에서 회사가 보유하는 잔액은 계약 구성에 따라 1,859만~3,718만원 수준.</w:t>
      </w:r>
    </w:p>
    <w:p>
      <w:pPr>
        <w:pStyle w:val="Heading1"/>
        <w:spacing w:after="200" w:before="400"/>
      </w:pPr>
      <w:r>
        <w:t xml:space="preserve">5. 리스크 및 대응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근생 용도 매물 소싱으로 용도·전대 이슈 해소(회원은 전대 아닌 시설이용계약)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계약 전 실사 필요: 근생 용도·전대 허용·권리금·소방/냉난방 증설·관리단 요구공사 → CAPEX 추가 요인 가능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전기·통신·보안 항목은 실측 견적 확보, 도어락·가구·라운지가구는 가견적 — 계약 전 정식 견적 필요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1~4인실 수요는 정황 증거 수준 — 출점 전 경쟁사 추가 지점 도면 확보 또는 사전 대기수요 조사 권장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2026-07-02T07:12:30.581Z</dcterms:created>
  <dcterms:modified xsi:type="dcterms:W3CDTF">2026-07-02T07:12:30.582Z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