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rFonts w:ascii="Arial" w:cs="Arial" w:eastAsia="Arial" w:hAnsi="Arial"/>
          <w:b/>
          <w:bCs/>
          <w:color w:val="1B3A5C"/>
          <w:sz w:val="40"/>
          <w:szCs w:val="40"/>
        </w:rPr>
        <w:t xml:space="preserve">Lumina — Market Sizing (TAM / SAM / SOM)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D9E75"/>
          <w:sz w:val="24"/>
          <w:szCs w:val="24"/>
        </w:rPr>
        <w:t xml:space="preserve">Validated draft — research-backed revision of the July 2026 working draft</w:t>
      </w:r>
    </w:p>
    <w:p>
      <w:pPr>
        <w:pBdr>
          <w:bottom w:val="single" w:color="1D9E75" w:sz="8"/>
        </w:pBdr>
        <w:spacing w:after="24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So Smart Apps LLC · July 12, 2026 · Internal — for deck and grant-application use after pricing confirmation</w:t>
      </w:r>
    </w:p>
    <w:p>
      <w:pPr>
        <w:pStyle w:val="Heading1"/>
        <w:keepNext/>
        <w:pBdr>
          <w:bottom w:val="single" w:color="1D9E75" w:sz="6"/>
        </w:pBdr>
        <w:spacing w:after="120" w:before="32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What Changed vs. the Working Draft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Every labeled assumption was checked against primary sources (July 2026). Net effect: the model held up, and most assumptions were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conservative</w:t>
      </w:r>
      <w:r>
        <w:rPr>
          <w:rFonts w:ascii="Arial" w:cs="Arial" w:eastAsia="Arial" w:hAnsi="Arial"/>
          <w:sz w:val="22"/>
          <w:szCs w:val="22"/>
        </w:rPr>
        <w:t xml:space="preserve">. Key updates: caregiver base is now sourced at nearly 13M (2026 Alzheimer’s Association Facts &amp; Figures, up from ~12M); smartphone penetration is ~90%, not 70% (Pew); wandering is best cited as “6 in 10 will wander at least once” (Alzheimer’s Association) rather than the unsourced 35–60% range; the grant section is replaced with a verified, ranked 2026 funding shortlist; and the So Smart Scans bundle angle is corrected — it is a LiDAR home-safety / fall-risk scanner, not heat/humidity environmental monitoring.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Two items remain for Leon: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(1) confirm live pricing in RevenueCat/App Store Connect</w:t>
      </w:r>
      <w:r>
        <w:rPr>
          <w:rFonts w:ascii="Arial" w:cs="Arial" w:eastAsia="Arial" w:hAnsi="Arial"/>
          <w:sz w:val="22"/>
          <w:szCs w:val="22"/>
        </w:rPr>
        <w:t xml:space="preserve"> — the code fetches prices at runtime (product.priceString); nothing is hard-coded, so $9.99/mo remains a working assumption — and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(2) decide the TAM framing</w:t>
      </w:r>
      <w:r>
        <w:rPr>
          <w:rFonts w:ascii="Arial" w:cs="Arial" w:eastAsia="Arial" w:hAnsi="Arial"/>
          <w:sz w:val="22"/>
          <w:szCs w:val="22"/>
        </w:rPr>
        <w:t xml:space="preserve"> for the MCI extension (12.9M sourced vs. 15M with a stated assumption).</w:t>
      </w:r>
    </w:p>
    <w:p>
      <w:pPr>
        <w:pStyle w:val="Heading1"/>
        <w:keepNext/>
        <w:pBdr>
          <w:bottom w:val="single" w:color="1D9E75" w:sz="6"/>
        </w:pBdr>
        <w:spacing w:after="120" w:before="32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Modeling Choice and Pricing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The buyer and account holder is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caregiver</w:t>
      </w:r>
      <w:r>
        <w:rPr>
          <w:rFonts w:ascii="Arial" w:cs="Arial" w:eastAsia="Arial" w:hAnsi="Arial"/>
          <w:sz w:val="22"/>
          <w:szCs w:val="22"/>
        </w:rPr>
        <w:t xml:space="preserve">, not the patient — so the market is anchored on the caregiver population. This matches the shipped architecture: caregivers authenticate with email/Apple/Google, patients run anonymous sessions, and the subscription is per-caregiver-account.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Freemium is confirmed in code</w:t>
      </w:r>
      <w:r>
        <w:rPr>
          <w:rFonts w:ascii="Arial" w:cs="Arial" w:eastAsia="Arial" w:hAnsi="Arial"/>
          <w:sz w:val="22"/>
          <w:szCs w:val="22"/>
        </w:rPr>
        <w:t xml:space="preserve">: two tiers (free / premium) gate vehicle tracking, caregiver invites, medication photos, and resource caps (5 reminders, 3 medications, 1 geo-zone on free). Premium unlocks all. Prices are configured in RevenueCat / App Store Connect and fetched live;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$9.99/mo (~$120/yr) is the working assumption throughout</w:t>
      </w:r>
      <w:r>
        <w:rPr>
          <w:rFonts w:ascii="Arial" w:cs="Arial" w:eastAsia="Arial" w:hAnsi="Arial"/>
          <w:sz w:val="22"/>
          <w:szCs w:val="22"/>
        </w:rPr>
        <w:t xml:space="preserve"> — confirm before external use. Willingness-to-pay research (below) suggests $9.99 is below caregiver WTP medians, so the assumption is conservative rather than optimistic.</w:t>
      </w:r>
    </w:p>
    <w:p>
      <w:pPr>
        <w:pStyle w:val="Heading1"/>
        <w:keepNext/>
        <w:pBdr>
          <w:bottom w:val="single" w:color="1D9E75" w:sz="6"/>
        </w:pBdr>
        <w:spacing w:after="120" w:before="32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TAM — Total Addressable Market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Anchor: the 2026 Alzheimer’s Association Facts &amp; Figures reports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nearly 13 million</w:t>
      </w:r>
      <w:r>
        <w:rPr>
          <w:rFonts w:ascii="Arial" w:cs="Arial" w:eastAsia="Arial" w:hAnsi="Arial"/>
          <w:sz w:val="22"/>
          <w:szCs w:val="22"/>
        </w:rPr>
        <w:t xml:space="preserve"> family members and friends providing 19+ billion hours of unpaid dementia care (journal version: &gt;12M caregivers, 19.6B hours in 2025). The prior draft’s ~12M was conservative and remains safe to cite.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MCI extension (stated assumption, not a sourced count).</w:t>
      </w:r>
      <w:r>
        <w:rPr>
          <w:rFonts w:ascii="Arial" w:cs="Arial" w:eastAsia="Arial" w:hAnsi="Arial"/>
          <w:sz w:val="22"/>
          <w:szCs w:val="22"/>
        </w:rPr>
        <w:t xml:space="preserve"> No national count of MCI care partners exists. Best proxy: 12–18% of adults 60+ have MCI (AA 2022 special report), implying a 7–11M MCI population whose spouses/family routinely act as care partners. Extending the caregiver pool from ~13M to ~15M is therefore a labeled assumption (+2–3M MCI care partners) — defensible, but present it as an assumption in any deck or application.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600"/>
        <w:gridCol w:w="3300"/>
      </w:tblGrid>
      <w:tr>
        <w:trPr>
          <w:cantSplit/>
          <w:tblHeader/>
        </w:trPr>
        <w:tc>
          <w:tcPr>
            <w:tcW w:type="dxa" w:w="3400"/>
            <w:shd w:fill="1B3A5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TAM scenario</w:t>
            </w:r>
          </w:p>
        </w:tc>
        <w:tc>
          <w:tcPr>
            <w:tcW w:type="dxa" w:w="2600"/>
            <w:shd w:fill="1B3A5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Caregiver pool</w:t>
            </w:r>
          </w:p>
        </w:tc>
        <w:tc>
          <w:tcPr>
            <w:tcW w:type="dxa" w:w="3300"/>
            <w:shd w:fill="1B3A5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 value @ $120/yr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Sourced only (2026 AA F&amp;F)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12.9M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~$1.55B/yr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With MCI extension (assumption)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15M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~$1.8B/yr</w:t>
            </w:r>
          </w:p>
        </w:tc>
      </w:tr>
    </w:tbl>
    <w:p>
      <w:pPr>
        <w:spacing w:after="120" w:before="10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Recommended external phrasing: “$1.5–1.8B/yr U.S. TAM.” Third-party sanity check: elderly-monitoring market reports ($3.5B global 2023, ~10% CAGR) are directionally consistent; the bottom-up math above is the stronger defense.</w:t>
      </w:r>
    </w:p>
    <w:p>
      <w:pPr>
        <w:pStyle w:val="Heading1"/>
        <w:keepNext/>
        <w:pBdr>
          <w:bottom w:val="single" w:color="1D9E75" w:sz="6"/>
        </w:pBdr>
        <w:spacing w:after="120" w:before="32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SAM — Serviceable Addressable Market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Filters now carry sources. The combined filter rises from 14% to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18%</w:t>
      </w:r>
      <w:r>
        <w:rPr>
          <w:rFonts w:ascii="Arial" w:cs="Arial" w:eastAsia="Arial" w:hAnsi="Arial"/>
          <w:sz w:val="22"/>
          <w:szCs w:val="22"/>
        </w:rPr>
        <w:t xml:space="preserve"> because the smartphone assumption was far too low; the other two filters stay deliberately conservative.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SAM filter table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100"/>
        <w:gridCol w:w="5300"/>
      </w:tblGrid>
      <w:tr>
        <w:trPr>
          <w:cantSplit/>
          <w:tblHeader/>
        </w:trPr>
        <w:tc>
          <w:tcPr>
            <w:tcW w:type="dxa" w:w="2900"/>
            <w:shd w:fill="1B3A5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Filter</w:t>
            </w:r>
          </w:p>
        </w:tc>
        <w:tc>
          <w:tcPr>
            <w:tcW w:type="dxa" w:w="1100"/>
            <w:shd w:fill="1B3A5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5300"/>
            <w:shd w:fill="1B3A5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Basis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Smartphone-enabled caregiver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90%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Pew 2026: 90% of adults 50–64 own smartphones; 97% under 50; 78% of 65+. (Draft used 70% — too low.)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Patient fits mobile / at-risk profile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40%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 in 10 with dementia will wander at least once (Alzheimer’s Assoc.); ~85% live in the community, not facilities (PRB/NHATS); up to ~30% of those diagnosed still drive. 40% is below the 51% implied by wandering × community-dwelling — conservative.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Willing to pay vs. free alternatives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50%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Caregivers willing to pay average ~$50/mo for monitoring tech (Schulz, The Gerontologist); ~20% won’t pay anything; caregivers already spend $7,242/yr out of pocket (AARP). $9.99 sits well under WTP medians — 50% is conservative.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Combined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18%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0.90 × 0.40 × 0.50 = 18% of the 15M pool</w:t>
            </w:r>
          </w:p>
        </w:tc>
      </w:tr>
    </w:tbl>
    <w:p>
      <w:pPr>
        <w:spacing w:after="12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SAM: ~2.7M caregivers ≈ $324M/yr.</w:t>
      </w:r>
      <w:r>
        <w:rPr>
          <w:rFonts w:ascii="Arial" w:cs="Arial" w:eastAsia="Arial" w:hAnsi="Arial"/>
          <w:sz w:val="22"/>
          <w:szCs w:val="22"/>
        </w:rPr>
        <w:t xml:space="preserve"> Conservative floor (the draft’s original 14% filter): ~2.1M ≈ $250M/yr. Cite “$250–325M” externally; use the floor with skeptics.</w:t>
      </w:r>
    </w:p>
    <w:p>
      <w:r>
        <w:br w:type="page"/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Competitive pricing (validates the price point)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A ~$10/mo pure-software subscription undercuts every dedicated wander-management product, which run $30–65/mo plus $230–450 hardware. Prices verified 2025–2026: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300"/>
        <w:gridCol w:w="4200"/>
      </w:tblGrid>
      <w:tr>
        <w:trPr>
          <w:cantSplit/>
          <w:tblHeader/>
        </w:trPr>
        <w:tc>
          <w:tcPr>
            <w:tcW w:type="dxa" w:w="2800"/>
            <w:shd w:fill="1B3A5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</w:t>
            </w:r>
          </w:p>
        </w:tc>
        <w:tc>
          <w:tcPr>
            <w:tcW w:type="dxa" w:w="2300"/>
            <w:shd w:fill="1B3A5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Hardware</w:t>
            </w:r>
          </w:p>
        </w:tc>
        <w:tc>
          <w:tcPr>
            <w:tcW w:type="dxa" w:w="4200"/>
            <w:shd w:fill="1B3A5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AngelSense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$229 (often free promo)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$44.99–$64.99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Theora Connect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$247.97 + $39.97 activation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$29.97 (+$10 fall detect)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GPS SmartSole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$359 + $24.95 activation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~$29.95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CarePredict @Home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~$449.99 kit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$69.99 ($99.99 couple)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Jiobit (Life360)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device extra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$8.33 annual / $16.99 monthly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Life360 app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Free; Gold ~$14.99; Platinum ~$24.99 (not dementia-specific)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Apple AirTag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$29 (1) / $99 (4)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$0 — but no geofencing/live tracking; not marketed for people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Bouncie (vehicle, integrated)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$89.99 device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$9.65 ($8.35 at 3+)</w:t>
            </w:r>
          </w:p>
        </w:tc>
      </w:tr>
    </w:tbl>
    <w:p>
      <w:r>
        <w:br w:type="page"/>
      </w:r>
    </w:p>
    <w:p>
      <w:pPr>
        <w:pStyle w:val="Heading1"/>
        <w:keepNext/>
        <w:pBdr>
          <w:bottom w:val="single" w:color="1D9E75" w:sz="6"/>
        </w:pBdr>
        <w:spacing w:after="120" w:before="32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SOM — 3-Year Obtainable (solo / small team, organic + partnership)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User targets unchanged from the draft; they now look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more</w:t>
      </w:r>
      <w:r>
        <w:rPr>
          <w:rFonts w:ascii="Arial" w:cs="Arial" w:eastAsia="Arial" w:hAnsi="Arial"/>
          <w:sz w:val="22"/>
          <w:szCs w:val="22"/>
        </w:rPr>
        <w:t xml:space="preserve"> defensible against the larger validated SAM. Partnership channel (PCOA / Alzheimer’s Association Desert Southwest / TMC caregiver groups, per the February 2026 outreach research) is the assumed driver of the stretch case.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600"/>
        <w:gridCol w:w="3600"/>
      </w:tblGrid>
      <w:tr>
        <w:trPr>
          <w:cantSplit/>
          <w:tblHeader/>
        </w:trPr>
        <w:tc>
          <w:tcPr>
            <w:tcW w:type="dxa" w:w="1700"/>
            <w:shd w:fill="1B3A5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</w:t>
            </w:r>
          </w:p>
        </w:tc>
        <w:tc>
          <w:tcPr>
            <w:tcW w:type="dxa" w:w="3600"/>
            <w:shd w:fill="1B3A5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Conservative</w:t>
            </w:r>
          </w:p>
        </w:tc>
        <w:tc>
          <w:tcPr>
            <w:tcW w:type="dxa" w:w="3600"/>
            <w:shd w:fill="1B3A5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Stretch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Y1 (launch/pilot)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500 paying → ~$60K ARR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2,000 → ~$240K ARR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Y2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3,000 → ~$360K ARR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8,000 → ~$960K ARR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Y3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8,000 → ~$960K ARR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18,000 → ~$2.16M ARR</w:t>
            </w:r>
          </w:p>
        </w:tc>
      </w:tr>
    </w:tbl>
    <w:p>
      <w:pPr>
        <w:spacing w:after="120" w:before="100"/>
      </w:pPr>
      <w:r>
        <w:rPr>
          <w:rFonts w:ascii="Arial" w:cs="Arial" w:eastAsia="Arial" w:hAnsi="Arial"/>
          <w:sz w:val="22"/>
          <w:szCs w:val="22"/>
        </w:rPr>
        <w:t xml:space="preserve">Y3 stretch =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0.7% of the 2.7M SAM</w:t>
      </w:r>
      <w:r>
        <w:rPr>
          <w:rFonts w:ascii="Arial" w:cs="Arial" w:eastAsia="Arial" w:hAnsi="Arial"/>
          <w:sz w:val="22"/>
          <w:szCs w:val="22"/>
        </w:rPr>
        <w:t xml:space="preserve"> (was ~1% under the old SAM); Y3 conservative = 0.3%. Sub-1% penetration targets are the defensible numbers for skeptics.</w:t>
      </w:r>
    </w:p>
    <w:p>
      <w:pPr>
        <w:pStyle w:val="Heading1"/>
        <w:keepNext/>
        <w:pBdr>
          <w:bottom w:val="single" w:color="1D9E75" w:sz="6"/>
        </w:pBdr>
        <w:spacing w:after="120" w:before="32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Grant Path (Resolved) — Ranked 2026 Shortlist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Verified July 2026. The draft’s instinct was right: GOHS / NHTSA 402/405 highway-safety money goes only to State Highway Safety Offices —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confirmed not a fit</w:t>
      </w:r>
      <w:r>
        <w:rPr>
          <w:rFonts w:ascii="Arial" w:cs="Arial" w:eastAsia="Arial" w:hAnsi="Arial"/>
          <w:sz w:val="22"/>
          <w:szCs w:val="22"/>
        </w:rPr>
        <w:t xml:space="preserve"> for Lumina (keep it for Intersections LE).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000"/>
        <w:gridCol w:w="2300"/>
        <w:gridCol w:w="2300"/>
      </w:tblGrid>
      <w:tr>
        <w:trPr>
          <w:cantSplit/>
          <w:tblHeader/>
        </w:trPr>
        <w:tc>
          <w:tcPr>
            <w:tcW w:type="dxa" w:w="2700"/>
            <w:shd w:fill="1B3A5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Program</w:t>
            </w:r>
          </w:p>
        </w:tc>
        <w:tc>
          <w:tcPr>
            <w:tcW w:type="dxa" w:w="2000"/>
            <w:shd w:fill="1B3A5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Award</w:t>
            </w:r>
          </w:p>
        </w:tc>
        <w:tc>
          <w:tcPr>
            <w:tcW w:type="dxa" w:w="2300"/>
            <w:shd w:fill="1B3A5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Next deadline</w:t>
            </w:r>
          </w:p>
        </w:tc>
        <w:tc>
          <w:tcPr>
            <w:tcW w:type="dxa" w:w="2300"/>
            <w:shd w:fill="1B3A5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Fit / catch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 NIH/NIA SBIR (PA-27-100) / STTR (PA-27-102)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 to $700K Phase I (ADRD waiver); $3M Phase II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Sep 5, 2026; then Jan 5 &amp; Apr 5, 2027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Best fit — NIA explicitly prioritizes caregiving-burden / aging-in-place tech. SBIR PI must be &gt;50% employed by the LLC — a problem for a full-time deputy. STTR (PI at partner institution, e.g. Univ. of Arizona) is the cleaner route. Registrations take 6–8+ wks; Jan 5, 2027 is the realistic first shot.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 NSF SBIR “America’s Seed Fund”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$305K Phase I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Project Pitch anytime; full-proposal windows Jul 27 &amp; Nov 4, 2026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Free 3-page Project Pitch tests fit fast. NSF funds technical risk — frame around novel wandering-prediction, not app assembly.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 Alzheimer’s Assoc. CDRI grants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$100K start-up / $125K pilot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2026 closed; target 2027 (LOI ~Mar)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For-profits eligible; requires respite-provider role or partner + 25% match. Part the Cloud is drugs-only — not a fit.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4. ACL ADPI (via partner)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 to $1M/yr × 3 (to the grantee)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Current round due Jul 22, 2026 (too close); ~annual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ACL does not fund businesses directly. Path: named tech partner in a PCOA / state application. Build the PCOA relationship now.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 Arizona Innovation Challenge (ACA)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$50K+ non-dilutive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Fall 2026 cohort — confirm on ACA site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AZ LLC qualifies; low effort; good quick win.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6. NIDILRR SBIR (ACL)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~$100K / 6 mo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FY2026 NOFO not yet posted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On-mission but small; low priority vs. NIA.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Recommended sequence: </w:t>
      </w:r>
      <w:r>
        <w:rPr>
          <w:rFonts w:ascii="Arial" w:cs="Arial" w:eastAsia="Arial" w:hAnsi="Arial"/>
          <w:sz w:val="22"/>
          <w:szCs w:val="22"/>
        </w:rPr>
        <w:t xml:space="preserve">NSF Project Pitch now (free signal) → open PCOA conversation (feeds ADPI + CDRI 2027 + pilot data) → STTR with a University of Arizona / Arizona Alzheimer’s Consortium partner for the Jan 5, 2027 NIA cycle → AIC Fall 2026 in parallel.</w:t>
      </w:r>
    </w:p>
    <w:p>
      <w:pPr>
        <w:pStyle w:val="Heading1"/>
        <w:keepNext/>
        <w:pBdr>
          <w:bottom w:val="single" w:color="1D9E75" w:sz="6"/>
        </w:pBdr>
        <w:spacing w:after="120" w:before="32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So Smart Scans Bundle (Resolved)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The draft’s “environmental-safety-monitoring (heat/humidity)” angle is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incorrect</w:t>
      </w:r>
      <w:r>
        <w:rPr>
          <w:rFonts w:ascii="Arial" w:cs="Arial" w:eastAsia="Arial" w:hAnsi="Arial"/>
          <w:sz w:val="22"/>
          <w:szCs w:val="22"/>
        </w:rPr>
        <w:t xml:space="preserve"> — So Smart Scans is a privacy-first iPhone-LiDAR home-safety scanner: one walkthrough produces a fall-risk / home-safety assessment for families and care teams. There is no heat/humidity sensing.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Recommendation: do not bundle it into Lumina’s market sizing.</w:t>
      </w:r>
      <w:r>
        <w:rPr>
          <w:rFonts w:ascii="Arial" w:cs="Arial" w:eastAsia="Arial" w:hAnsi="Arial"/>
          <w:sz w:val="22"/>
          <w:szCs w:val="22"/>
        </w:rPr>
        <w:t xml:space="preserve"> Separate SKU, separate buyer moment. But it is a strong adjacency for grant narratives: Lumina covers the person outside the home (wandering, driving); So Smart Scans covers the home itself (fall risk). Together they make a “whole-safety-picture for aging in place” story that maps directly onto NIA’s stated aging-in-place priority — use it as narrative, not as revenue in this model.</w:t>
      </w:r>
    </w:p>
    <w:p>
      <w:pPr>
        <w:pStyle w:val="Heading1"/>
        <w:keepNext/>
        <w:pBdr>
          <w:bottom w:val="single" w:color="1D9E75" w:sz="6"/>
        </w:pBdr>
        <w:spacing w:after="120" w:before="32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Remaining Open Items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Pricing (Leon).</w:t>
      </w:r>
      <w:r>
        <w:rPr>
          <w:rFonts w:ascii="Arial" w:cs="Arial" w:eastAsia="Arial" w:hAnsi="Arial"/>
          <w:sz w:val="22"/>
          <w:szCs w:val="22"/>
        </w:rPr>
        <w:t xml:space="preserve"> Confirm the live premium price in RevenueCat / App Store Connect. Every dollar figure here scales linearly with it.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TAM framing (Leon).</w:t>
      </w:r>
      <w:r>
        <w:rPr>
          <w:rFonts w:ascii="Arial" w:cs="Arial" w:eastAsia="Arial" w:hAnsi="Arial"/>
          <w:sz w:val="22"/>
          <w:szCs w:val="22"/>
        </w:rPr>
        <w:t xml:space="preserve"> Choose: cite 12.9M sourced ($1.55B) alone, or 15M with the labeled MCI assumption ($1.8B). Recommendation: lead with the sourced number, footnote the extension.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Life360 tier prices</w:t>
      </w:r>
      <w:r>
        <w:rPr>
          <w:rFonts w:ascii="Arial" w:cs="Arial" w:eastAsia="Arial" w:hAnsi="Arial"/>
          <w:sz w:val="22"/>
          <w:szCs w:val="22"/>
        </w:rPr>
        <w:t xml:space="preserve"> are as-of-2024 on the current public page — re-verify if quoted directly.</w:t>
      </w:r>
    </w:p>
    <w:p>
      <w:r>
        <w:br w:type="page"/>
      </w:r>
    </w:p>
    <w:p>
      <w:pPr>
        <w:pStyle w:val="Heading1"/>
        <w:keepNext/>
        <w:pBdr>
          <w:bottom w:val="single" w:color="1D9E75" w:sz="6"/>
        </w:pBdr>
        <w:spacing w:after="120" w:before="32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Sources</w:t>
      </w:r>
    </w:p>
    <w:p>
      <w:pPr>
        <w:spacing w:after="60" w:line="24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•  Alzheimer’s Association, 2026 Facts &amp; Figures (Apr 2026) — alz.org/news/2026/facts-figures-report-brain-health; journal: alz-journals.onlinelibrary.wiley.com/doi/full/10.1002/alz.71345</w:t>
      </w:r>
    </w:p>
    <w:p>
      <w:pPr>
        <w:spacing w:after="60" w:line="24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•  Alzheimer’s Association, 2022 Special Report: MCI (12–18% of 60+) — alz.org/alzheimers-dementia/what-is-dementia/related_conditions/mild-cognitive-impairment</w:t>
      </w:r>
    </w:p>
    <w:p>
      <w:pPr>
        <w:spacing w:after="60" w:line="24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•  Pew Research Center, Mobile Fact Sheet / digital divides (Jan 2026) — pewresearch.org/internet/fact-sheet/mobile/</w:t>
      </w:r>
    </w:p>
    <w:p>
      <w:pPr>
        <w:spacing w:after="60" w:line="24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•  Alzheimer’s Association, Wandering (“6 in 10 will wander”) — alz.org/help-support/caregiving/safety/wandering</w:t>
      </w:r>
    </w:p>
    <w:p>
      <w:pPr>
        <w:spacing w:after="60" w:line="24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•  Population Reference Bureau, Demography of Dementia &amp; Dementia Caregiving (~85% community-dwelling) — prb.org/resource/the-demography-of-dementia-and-dementia-caregiving/</w:t>
      </w:r>
    </w:p>
    <w:p>
      <w:pPr>
        <w:spacing w:after="60" w:line="24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•  Driving &amp; dementia literature (up to ~30% still driving) — pmc.ncbi.nlm.nih.gov/articles/PMC3292210/; alz-journals.onlinelibrary.wiley.com/doi/full/10.1002/alz.70340</w:t>
      </w:r>
    </w:p>
    <w:p>
      <w:pPr>
        <w:spacing w:after="60" w:line="24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•  Schulz et al., The Gerontologist (2016), caregivers’ willingness to pay (~$50/mo monitoring) — academic.oup.com/gerontologist/article/56/5/817/2605281</w:t>
      </w:r>
    </w:p>
    <w:p>
      <w:pPr>
        <w:spacing w:after="60" w:line="24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•  AARP caregiver out-of-pocket costs ($7,242/yr) — aarp.org/pri/topics/ltss/family-caregiving/family-caregivers-cost-survey/</w:t>
      </w:r>
    </w:p>
    <w:p>
      <w:pPr>
        <w:spacing w:after="60" w:line="24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•  Competitor pricing: angelsense.com/pricing; theoracare.com/theora-connect; metalert.shop (GPS SmartSole); shop.carepredict.com; life360.com/plans-pricing; apple.com/shop/buy-airtag/airtag; bouncie.com/pricing</w:t>
      </w:r>
    </w:p>
    <w:p>
      <w:pPr>
        <w:spacing w:after="60" w:line="24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•  NIA Small Business Interest Areas (June 2026) — nia.nih.gov/research/sbir/nia-small-business-interest-areas; parent NOFOs PA-27-100 / PA-27-102</w:t>
      </w:r>
    </w:p>
    <w:p>
      <w:pPr>
        <w:spacing w:after="60" w:line="24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•  NSF America’s Seed Fund — seedfund.nsf.gov</w:t>
      </w:r>
    </w:p>
    <w:p>
      <w:pPr>
        <w:spacing w:after="60" w:line="24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•  Alzheimer’s Association CDRI grants — alz.org/center-for-dementia-respite-innovation/grants</w:t>
      </w:r>
    </w:p>
    <w:p>
      <w:pPr>
        <w:spacing w:after="60" w:line="24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•  ACL ADPI NOFO (June 2026) — acl.gov/news-and-events/announcements/grant-opportunity-alzheimers-disease-programs-initiative-dementia</w:t>
      </w:r>
    </w:p>
    <w:p>
      <w:pPr>
        <w:spacing w:after="60" w:line="24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•  Arizona Innovation Challenge — azcommerce.com/start-up/arizona-innovation-challenge/</w:t>
      </w:r>
    </w:p>
    <w:p>
      <w:pPr>
        <w:spacing w:after="60" w:line="24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•  GHSA Section 402/405 program pages (state-only eligibility) — ghsa.org/resource-hub/section-402-safety-grant-program</w:t>
      </w:r>
    </w:p>
    <w:p>
      <w:pPr>
        <w:spacing w:after="60" w:line="24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•  Internal: lumina subscription code (lib/core/models/subscription.dart, subscription_service.dart, paywall_screen.dart); memory/projects/lumina-partnership-research.md; sosmartscans-brand/claude-design-system.md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2026-07-13T02:30:24.189Z</dcterms:created>
  <dcterms:modified xsi:type="dcterms:W3CDTF">2026-07-13T02:30:24.189Z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