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line="360" w:lineRule="auto"/>
        <w:jc w:val="center"/>
      </w:pPr>
      <w:r>
        <w:rPr>
          <w:rFonts w:ascii="Times New Roman" w:cs="Times New Roman" w:eastAsia="Times New Roman" w:hAnsi="Times New Roman"/>
          <w:b/>
          <w:bCs/>
          <w:sz w:val="34"/>
          <w:szCs w:val="34"/>
        </w:rPr>
        <w:t xml:space="preserve">LE RÉGIME APPLICABLE À LA FUSION PAR ABSORPTION D'UNE SOCIÉTÉ COMMERCIALE PAR UNE SOCIÉTÉ CIVILE</w:t>
      </w:r>
    </w:p>
    <w:p>
      <w:pPr>
        <w:spacing w:after="400" w:before="400"/>
        <w:jc w:val="center"/>
      </w:pPr>
      <w:r>
        <w:rPr>
          <w:rFonts w:ascii="Times New Roman" w:cs="Times New Roman" w:eastAsia="Times New Roman" w:hAnsi="Times New Roman"/>
          <w:i/>
          <w:iCs/>
          <w:sz w:val="26"/>
          <w:szCs w:val="26"/>
        </w:rPr>
        <w:t xml:space="preserve">Dissertation juridique — Droit des sociétés</w:t>
      </w:r>
    </w:p>
    <w:p>
      <w:r>
        <w:br w:type="page"/>
      </w:r>
    </w:p>
    <w:p>
      <w:pPr>
        <w:spacing w:after="240" w:before="300" w:line="360" w:lineRule="auto"/>
        <w:jc w:val="center"/>
      </w:pPr>
      <w:r>
        <w:rPr>
          <w:rFonts w:ascii="Times New Roman" w:cs="Times New Roman" w:eastAsia="Times New Roman" w:hAnsi="Times New Roman"/>
          <w:b/>
          <w:bCs/>
          <w:sz w:val="28"/>
          <w:szCs w:val="28"/>
        </w:rPr>
        <w:t xml:space="preserve">Plan</w:t>
      </w:r>
    </w:p>
    <w:p>
      <w:pPr>
        <w:spacing w:after="80" w:line="360" w:lineRule="auto"/>
      </w:pPr>
      <w:r>
        <w:rPr>
          <w:rFonts w:ascii="Times New Roman" w:cs="Times New Roman" w:eastAsia="Times New Roman" w:hAnsi="Times New Roman"/>
          <w:b/>
          <w:bCs/>
          <w:sz w:val="24"/>
          <w:szCs w:val="24"/>
        </w:rPr>
        <w:t xml:space="preserve">I. Une opération admise en son principe, dont la conduite procédurale résulte de la combinaison du droit civil et du droit commercial des sociétés</w:t>
      </w:r>
    </w:p>
    <w:p>
      <w:pPr>
        <w:spacing w:after="80" w:line="360" w:lineRule="auto"/>
        <w:ind w:left="720"/>
      </w:pPr>
      <w:r>
        <w:rPr>
          <w:rFonts w:ascii="Times New Roman" w:cs="Times New Roman" w:eastAsia="Times New Roman" w:hAnsi="Times New Roman"/>
          <w:sz w:val="24"/>
          <w:szCs w:val="24"/>
        </w:rPr>
        <w:t xml:space="preserve">A. La licéité acquise de la fusion entre une société civile et une société commerciale</w:t>
      </w:r>
    </w:p>
    <w:p>
      <w:pPr>
        <w:spacing w:after="80" w:line="360" w:lineRule="auto"/>
        <w:ind w:left="720"/>
      </w:pPr>
      <w:r>
        <w:rPr>
          <w:rFonts w:ascii="Times New Roman" w:cs="Times New Roman" w:eastAsia="Times New Roman" w:hAnsi="Times New Roman"/>
          <w:sz w:val="24"/>
          <w:szCs w:val="24"/>
        </w:rPr>
        <w:t xml:space="preserve">B. L'attraction du droit commercial des fusions dans la conduite matérielle de l'opération</w:t>
      </w:r>
    </w:p>
    <w:p>
      <w:pPr>
        <w:spacing w:after="200"/>
      </w:pPr>
      <w:r>
        <w:rPr>
          <w:rFonts w:ascii="Times New Roman" w:cs="Times New Roman" w:eastAsia="Times New Roman" w:hAnsi="Times New Roman"/>
          <w:sz w:val="24"/>
          <w:szCs w:val="24"/>
        </w:rPr>
        <w:t xml:space="preserve"/>
      </w:r>
    </w:p>
    <w:p>
      <w:pPr>
        <w:spacing w:after="80" w:line="360" w:lineRule="auto"/>
      </w:pPr>
      <w:r>
        <w:rPr>
          <w:rFonts w:ascii="Times New Roman" w:cs="Times New Roman" w:eastAsia="Times New Roman" w:hAnsi="Times New Roman"/>
          <w:b/>
          <w:bCs/>
          <w:sz w:val="24"/>
          <w:szCs w:val="24"/>
        </w:rPr>
        <w:t xml:space="preserve">II. Une opération dont l'aboutissement civil commande, sur le fond, une protection renforcée mais, en pratique, inégalement sécurisée</w:t>
      </w:r>
    </w:p>
    <w:p>
      <w:pPr>
        <w:spacing w:after="80" w:line="360" w:lineRule="auto"/>
        <w:ind w:left="720"/>
      </w:pPr>
      <w:r>
        <w:rPr>
          <w:rFonts w:ascii="Times New Roman" w:cs="Times New Roman" w:eastAsia="Times New Roman" w:hAnsi="Times New Roman"/>
          <w:sz w:val="24"/>
          <w:szCs w:val="24"/>
        </w:rPr>
        <w:t xml:space="preserve">A. L'unanimité, rançon nécessaire de l'aggravation des engagements induite par la nature civile de la société absorbante</w:t>
      </w:r>
    </w:p>
    <w:p>
      <w:pPr>
        <w:spacing w:after="80" w:line="360" w:lineRule="auto"/>
        <w:ind w:left="720"/>
      </w:pPr>
      <w:r>
        <w:rPr>
          <w:rFonts w:ascii="Times New Roman" w:cs="Times New Roman" w:eastAsia="Times New Roman" w:hAnsi="Times New Roman"/>
          <w:sz w:val="24"/>
          <w:szCs w:val="24"/>
        </w:rPr>
        <w:t xml:space="preserve">B. La protection perfectible des associés minoritaires et des créanciers faute de dispositions spécifiques</w:t>
      </w:r>
    </w:p>
    <w:p>
      <w:pPr>
        <w:spacing w:after="240" w:before="300" w:line="360" w:lineRule="auto"/>
        <w:jc w:val="center"/>
      </w:pPr>
      <w:r>
        <w:rPr>
          <w:rFonts w:ascii="Times New Roman" w:cs="Times New Roman" w:eastAsia="Times New Roman" w:hAnsi="Times New Roman"/>
          <w:b/>
          <w:bCs/>
          <w:sz w:val="28"/>
          <w:szCs w:val="28"/>
        </w:rPr>
        <w:t xml:space="preserve">Introduction</w:t>
      </w:r>
    </w:p>
    <w:p>
      <w:pPr>
        <w:spacing w:after="200" w:line="360" w:lineRule="auto"/>
        <w:jc w:val="both"/>
      </w:pPr>
      <w:r>
        <w:rPr>
          <w:rFonts w:ascii="Times New Roman" w:cs="Times New Roman" w:eastAsia="Times New Roman" w:hAnsi="Times New Roman"/>
          <w:sz w:val="24"/>
          <w:szCs w:val="24"/>
        </w:rPr>
        <w:t xml:space="preserve">« Une société, même en liquidation, peut être absorbée par une autre société [...] Ces opérations peuvent intervenir entre des sociétés de forme différente. » Formulée en des termes d'une remarquable économie par l'article 1844-4 du Code civil depuis la réforme du droit des sociétés civiles opérée par la loi n° 78-9 du 4 janvier 1978, cette disposition matricielle a consacré, contre toute logique de cloisonnement, la possibilité pour une société civile et une société commerciale de fusionner l'une avec l'autre. Que la société civile soit absorbée par une société commerciale ne surprend guère : le mouvement va alors du particulier vers le droit commun, la structure la plus légère rejoignant un cadre juridique plus étoffé. Que l'inverse se produise — qu'une société civile, dépourvue de la qualité de commerçant, absorbe une société commerciale dont elle recueille l'intégralité du patrimoine, de l'activité et, potentiellement, des associés — interroge davantage. C'est pourtant une opération fréquente en pratique : rachat, par une société civile immobilière (SCI) familiale, de l'exploitation commerciale qu'elle hébergeait jusque-là sous une forme sociétaire distincte ; simplification, au sein d'un groupe patrimonial, d'une architecture devenue trop complexe ; restructuration consécutive à une opération de private equity immobilier ou à une transmission familiale.</w:t>
      </w:r>
    </w:p>
    <w:p>
      <w:pPr>
        <w:spacing w:after="200" w:line="360" w:lineRule="auto"/>
        <w:jc w:val="both"/>
      </w:pPr>
      <w:r>
        <w:rPr>
          <w:rFonts w:ascii="Times New Roman" w:cs="Times New Roman" w:eastAsia="Times New Roman" w:hAnsi="Times New Roman"/>
          <w:sz w:val="24"/>
          <w:szCs w:val="24"/>
        </w:rPr>
        <w:t xml:space="preserve">La fusion se définit, aux termes combinés des articles 1844-4 du Code civil et L. 236-1 du Code de commerce, comme l'opération par laquelle une ou plusieurs sociétés transmettent l'intégralité de leur patrimoine à une société existante ou à une société nouvellement constituée, moyennant l'attribution à leurs associés de parts ou actions de la société bénéficiaire et, le cas échéant, d'une soulte n'excédant pas 10 % de la valeur nominale des titres attribués. Lorsque la société bénéficiaire préexiste à l'opération, on parle de fusion par absorption : la société absorbée disparaît par l'effet d'une dissolution sans liquidation, tandis que la société absorbante recueille l'universalité de son patrimoine (C. com., art. L. 236-3, I). La qualification de société civile procède, par différence, de l'article 1845 du Code civil : est civile toute société qui n'a pas été revêtue par la loi d'une forme lui conférant le caractère commercial — société en nom collectif, société en commandite, société à responsabilité limitée, société par actions (C. com., art. L. 210-1, al. 2) — et dont l'objet n'est pas non plus commercial par nature. La société civile immobilière en constitue l'illustration la plus répandue, mais la catégorie est plus large (sociétés civiles de moyens, de portefeuille, sociétés civiles professionnelles, groupements agricoles).</w:t>
      </w:r>
    </w:p>
    <w:p>
      <w:pPr>
        <w:spacing w:after="200" w:line="360" w:lineRule="auto"/>
        <w:jc w:val="both"/>
      </w:pPr>
      <w:r>
        <w:rPr>
          <w:rFonts w:ascii="Times New Roman" w:cs="Times New Roman" w:eastAsia="Times New Roman" w:hAnsi="Times New Roman"/>
          <w:sz w:val="24"/>
          <w:szCs w:val="24"/>
        </w:rPr>
        <w:t xml:space="preserve">Le sujet invite ainsi à examiner l'hypothèse précise dans laquelle une société civile, en qualité d'absorbante, survit à l'opération et voit son patrimoine et ses associés transformés par l'absorption d'une société commerciale — société en nom collectif, société en commandite, SARL, SA ou SAS — appelée à disparaître. Cette orientation du mouvement capitalistique n'est pas indifférente : elle commande l'essentiel des difficultés propres à l'opération, la société civile absorbante imposant à l'ensemble de la fusion les traits distinctifs de son régime — au premier rang desquels l'absence de limitation de la responsabilité de ses associés (C. civ., art. 1857) — quand la société commerciale absorbée y perd, avec sa personnalité morale, le régime protecteur attaché à sa forme.</w:t>
      </w:r>
    </w:p>
    <w:p>
      <w:pPr>
        <w:spacing w:after="200" w:line="360" w:lineRule="auto"/>
        <w:jc w:val="both"/>
      </w:pPr>
      <w:r>
        <w:rPr>
          <w:rFonts w:ascii="Times New Roman" w:cs="Times New Roman" w:eastAsia="Times New Roman" w:hAnsi="Times New Roman"/>
          <w:sz w:val="24"/>
          <w:szCs w:val="24"/>
        </w:rPr>
        <w:t xml:space="preserve">L'intérêt du sujet est double. Sur le plan pratique, la fusion inter-formes constitue un instrument privilégié de restructuration patrimoniale et de simplification des groupes, dont l'attractivité tient précisément à la neutralité de principe affichée par le droit des sociétés à l'égard de la forme sociale des sociétés participantes. Sur le plan théorique, l'hypothèse étudiée expose, mieux qu'aucune autre, la summa divisio du droit des sociétés françaises entre sociétés civiles et sociétés commerciales à une épreuve de cohérence : le droit des fusions, façonné pour l'essentiel par et pour les sociétés commerciales — il trouve son siège principal au livre II du Code de commerce, substantiellement réécrit par l'ordonnance n° 2023-393 du 24 mai 2023 transposant la directive (UE) 2019/2121 dite « mobilité » —, doit être combiné avec les dispositions sommaires que le Code civil consacre aux sociétés civiles, dont l'un des rares apports spécifiques, l'article 1854-1 issu de la loi n° 2019-744 du 19 juillet 2019, ne vise au demeurant que la fusion entre sociétés civiles elles-mêmes.</w:t>
      </w:r>
    </w:p>
    <w:p>
      <w:pPr>
        <w:spacing w:after="200" w:line="360" w:lineRule="auto"/>
        <w:jc w:val="both"/>
      </w:pPr>
      <w:r>
        <w:rPr>
          <w:rFonts w:ascii="Times New Roman" w:cs="Times New Roman" w:eastAsia="Times New Roman" w:hAnsi="Times New Roman"/>
          <w:sz w:val="24"/>
          <w:szCs w:val="24"/>
        </w:rPr>
        <w:t xml:space="preserve">De cette rencontre entre deux corps de règles conçus séparément procède une difficulté récurrente : à défaut de statut d'ensemble unifié, quel droit gouverne, dans son principe et dans ses modalités, la fusion par absorption d'une société commerciale par une société civile, et comment les protections propres à chacune des deux branches du droit des sociétés se combinent-elles pour encadrer une opération qui demeure, malgré la diversité des textes mobilisés, juridiquement unique ?</w:t>
      </w:r>
    </w:p>
    <w:p>
      <w:pPr>
        <w:spacing w:after="200" w:line="360" w:lineRule="auto"/>
        <w:jc w:val="both"/>
      </w:pPr>
      <w:r>
        <w:rPr>
          <w:rFonts w:ascii="Times New Roman" w:cs="Times New Roman" w:eastAsia="Times New Roman" w:hAnsi="Times New Roman"/>
          <w:sz w:val="24"/>
          <w:szCs w:val="24"/>
        </w:rPr>
        <w:t xml:space="preserve">Cette opération, admise sans ambiguïté dans son principe, voit sa mise en œuvre concrète gouvernée par la combinaison du droit civil et du droit commercial des sociétés (I), combinaison dont l'aboutissement civil commande, sur le fond, un régime de protection renforcé des associés absorbés, quoique imparfaitement sécurisé pour le surplus des intérêts en présence (II).</w:t>
      </w:r>
    </w:p>
    <w:p>
      <w:pPr>
        <w:pageBreakBefore/>
        <w:spacing w:after="240" w:before="240" w:line="360" w:lineRule="auto"/>
        <w:jc w:val="left"/>
      </w:pPr>
      <w:r>
        <w:rPr>
          <w:rFonts w:ascii="Times New Roman" w:cs="Times New Roman" w:eastAsia="Times New Roman" w:hAnsi="Times New Roman"/>
          <w:b/>
          <w:bCs/>
          <w:sz w:val="27"/>
          <w:szCs w:val="27"/>
        </w:rPr>
        <w:t xml:space="preserve">I. Une opération admise en son principe, dont la conduite procédurale résulte de la combinaison du droit civil et du droit commercial des sociétés</w:t>
      </w:r>
    </w:p>
    <w:p>
      <w:pPr>
        <w:spacing w:after="200" w:line="360" w:lineRule="auto"/>
        <w:jc w:val="both"/>
      </w:pPr>
      <w:r>
        <w:rPr>
          <w:rFonts w:ascii="Times New Roman" w:cs="Times New Roman" w:eastAsia="Times New Roman" w:hAnsi="Times New Roman"/>
          <w:sz w:val="24"/>
          <w:szCs w:val="24"/>
        </w:rPr>
        <w:t xml:space="preserve">Loin d'être frappée d'une quelconque suspicion, la fusion entre une société civile et une société commerciale bénéficie d'une reconnaissance textuelle ancienne et constante (A). Cette licéité de principe ne dispense cependant pas l'interprète de déterminer, poste par poste, le corps de règles procédurales applicable à une opération que ni le Code civil ni le Code de commerce ne réglementent, isolément, de façon exhaustive — ce qui conduit la pratique à faire produire au droit commercial des fusions une force d'attraction sur l'ensemble de l'opération (B).</w:t>
      </w:r>
    </w:p>
    <w:p>
      <w:pPr>
        <w:spacing w:after="160" w:before="220" w:line="360" w:lineRule="auto"/>
        <w:jc w:val="left"/>
      </w:pPr>
      <w:r>
        <w:rPr>
          <w:rFonts w:ascii="Times New Roman" w:cs="Times New Roman" w:eastAsia="Times New Roman" w:hAnsi="Times New Roman"/>
          <w:b/>
          <w:bCs/>
          <w:sz w:val="24"/>
          <w:szCs w:val="24"/>
          <w:u w:val="single"/>
        </w:rPr>
        <w:t xml:space="preserve">A. La licéité acquise de la fusion entre une société civile et une société commerciale</w:t>
      </w:r>
    </w:p>
    <w:p>
      <w:pPr>
        <w:spacing w:after="200" w:line="360" w:lineRule="auto"/>
        <w:jc w:val="both"/>
      </w:pPr>
      <w:r>
        <w:rPr>
          <w:rFonts w:ascii="Times New Roman" w:cs="Times New Roman" w:eastAsia="Times New Roman" w:hAnsi="Times New Roman"/>
          <w:sz w:val="24"/>
          <w:szCs w:val="24"/>
        </w:rPr>
        <w:t xml:space="preserve">Le principe est aujourd'hui énoncé à double titre : par l'article 1844-4, alinéa 2, du Code civil (« Ces opérations peuvent intervenir entre des sociétés de forme différente ») et, depuis l'ordonnance du 24 mai 2023, par l'article L. 236-2, alinéa 1er, du Code de commerce, rédigé en des termes presque identiques (« Une fusion peut être réalisée entre des sociétés de forme différente »). Cette duplication n'est pas anodine : en choisissant de réaffirmer, au sein même du Code de commerce, un principe déjà posé par le Code civil, le législateur de 2023 a entendu marquer que le droit commercial des fusions n'ignore pas l'hypothèse d'une société civile partie à l'opération, mais l'intègre au contraire pleinement à son champ de préoccupation — ce dont on tirera argument plus loin (B).</w:t>
      </w:r>
    </w:p>
    <w:p>
      <w:pPr>
        <w:spacing w:after="200" w:line="360" w:lineRule="auto"/>
        <w:jc w:val="both"/>
      </w:pPr>
      <w:r>
        <w:rPr>
          <w:rFonts w:ascii="Times New Roman" w:cs="Times New Roman" w:eastAsia="Times New Roman" w:hAnsi="Times New Roman"/>
          <w:sz w:val="24"/>
          <w:szCs w:val="24"/>
        </w:rPr>
        <w:t xml:space="preserve">Ce principe de neutralité de la forme sociale trouve son fondement dans la nature contractuelle de la société : la fusion n'est, pour chacune des sociétés participantes, qu'une modalité particulière de modification de ses statuts, de sorte qu'aucune considération tenant à la forme adoptée par le partenaire de l'opération ne saurait a priori y faire obstacle. C'est bien ainsi que le conçoit l'article 1844-4, alinéa 3, du Code civil, dont les termes sont repris à l'identique par l'article L. 236-2, alinéa 2, du Code de commerce : la fusion « est décidée, par chacune des sociétés intéressées, dans les conditions requises pour la modification de ses statuts ». La formule est capitale, car elle commande la méthode : plutôt que de soumettre l'opération à un régime de décision unique et uniforme, le droit positif renvoie chaque société participante à son droit propre pour la formation de son consentement à la fusion — assemblée générale extraordinaire pour la société par actions (C. com., art. L. 236-9, I), majorité qualifiée des trois quarts des parts sociales pour la société à responsabilité limitée (C. com., art. L. 223-30), unanimité de principe sauf clause contraire des statuts pour la société en nom collectif (C. com., art. L. 221-6), et décision prise dans les conditions statutaires ou, à défaut, à l'unanimité pour la société civile (C. civ., art. 1852).</w:t>
      </w:r>
    </w:p>
    <w:p>
      <w:pPr>
        <w:spacing w:after="200" w:line="360" w:lineRule="auto"/>
        <w:jc w:val="both"/>
      </w:pPr>
      <w:r>
        <w:rPr>
          <w:rFonts w:ascii="Times New Roman" w:cs="Times New Roman" w:eastAsia="Times New Roman" w:hAnsi="Times New Roman"/>
          <w:sz w:val="24"/>
          <w:szCs w:val="24"/>
        </w:rPr>
        <w:t xml:space="preserve">Ce principe n'est pas de circonstance : il procède directement de la réforme du droit des sociétés civiles de 1978, laquelle a doté celles-ci, pour la première fois, d'un droit commun de la fusion et de la scission directement inspiré — l'article 1844-4 en porte la marque stylistique — des dispositions alors récemment consolidées pour les sociétés commerciales par la loi n° 66-537 du 24 juillet 1966. La loi du 4 janvier 1978 a ainsi fait le choix, délibéré, d'unifier le principe de la fusion par-delà la summa divisio civile/commerciale, tout en abandonnant à des textes séparés le soin d'en réglementer les modalités.</w:t>
      </w:r>
    </w:p>
    <w:p>
      <w:pPr>
        <w:spacing w:after="200" w:line="360" w:lineRule="auto"/>
        <w:jc w:val="both"/>
      </w:pPr>
      <w:r>
        <w:rPr>
          <w:rFonts w:ascii="Times New Roman" w:cs="Times New Roman" w:eastAsia="Times New Roman" w:hAnsi="Times New Roman"/>
          <w:sz w:val="24"/>
          <w:szCs w:val="24"/>
        </w:rPr>
        <w:t xml:space="preserve">Cette licéité de principe, aussi solidement établie soit-elle, ne résout cependant rien quant aux modalités concrètes de l'opération : le Code civil, singulièrement avare de dispositions relatives aux sociétés civiles, ne comporte aucune disposition organisant la transmission universelle du patrimoine, la publicité du projet de fusion, ou la protection des créanciers de la société absorbée. Cette lacune organique impose de déterminer selon quel droit ces modalités doivent être réglées.</w:t>
      </w:r>
    </w:p>
    <w:p>
      <w:pPr>
        <w:spacing w:after="160" w:before="220" w:line="360" w:lineRule="auto"/>
        <w:jc w:val="left"/>
      </w:pPr>
      <w:r>
        <w:rPr>
          <w:rFonts w:ascii="Times New Roman" w:cs="Times New Roman" w:eastAsia="Times New Roman" w:hAnsi="Times New Roman"/>
          <w:b/>
          <w:bCs/>
          <w:sz w:val="24"/>
          <w:szCs w:val="24"/>
          <w:u w:val="single"/>
        </w:rPr>
        <w:t xml:space="preserve">B. L'attraction du droit commercial des fusions dans la conduite matérielle de l'opération</w:t>
      </w:r>
    </w:p>
    <w:p>
      <w:pPr>
        <w:spacing w:after="200" w:line="360" w:lineRule="auto"/>
        <w:jc w:val="both"/>
      </w:pPr>
      <w:r>
        <w:rPr>
          <w:rFonts w:ascii="Times New Roman" w:cs="Times New Roman" w:eastAsia="Times New Roman" w:hAnsi="Times New Roman"/>
          <w:sz w:val="24"/>
          <w:szCs w:val="24"/>
        </w:rPr>
        <w:t xml:space="preserve">En dehors du principe général de l'article 1844-4 et du mécanisme de fusion simplifiée qu'il réserve, depuis 2019, aux seules fusions entre sociétés civiles (C. civ., art. 1854-1 — infra, II, A), le Code civil demeure silencieux sur l'essentiel : rien n'y est dit de la dissolution sans liquidation ni de la transmission universelle de patrimoine consécutives à la fusion, rien du projet de fusion commun aux sociétés participantes, rien de sa publicité, rien du droit d'opposition des créanciers, rien du rapport d'échange ni de son contrôle. Ce silence contraste avec la densité des articles L. 236-1 à L. 236-32 du Code de commerce, qui organisent avec précision chacune de ces étapes.</w:t>
      </w:r>
    </w:p>
    <w:p>
      <w:pPr>
        <w:spacing w:after="200" w:line="360" w:lineRule="auto"/>
        <w:jc w:val="both"/>
      </w:pPr>
      <w:r>
        <w:rPr>
          <w:rFonts w:ascii="Times New Roman" w:cs="Times New Roman" w:eastAsia="Times New Roman" w:hAnsi="Times New Roman"/>
          <w:sz w:val="24"/>
          <w:szCs w:val="24"/>
        </w:rPr>
        <w:t xml:space="preserve">Or la fusion est, par construction, une opération unique et indivisible : un projet de fusion commun, et non deux projets distincts (C. com., art. L. 236-6 : « Toutes les sociétés qui participent à une fusion établissent un projet de fusion »), une seule date de réalisation, une seule transmission universelle de patrimoine, simultanément dissolutive pour l'absorbée et translative pour l'absorbante (C. com., art. L. 236-3, I). Cette unité s'oppose à ce que l'opération puisse être scindée en deux régimes juridiques étanches, l'un civil pour le volet « absorbante », l'autre commercial pour le volet « absorbée ». Aussi la doctrine et la pratique notariale considèrent-elles, de façon convergente, que la présence d'une société commerciale parmi les sociétés participantes attire l'ensemble de l'opération dans le champ des dispositions communes du Code de commerce — projet de fusion, dépôt au greffe et publicité (C. com., art. L. 236-6), effets de la dissolution sans liquidation et de la transmission universelle de patrimoine (C. com., art. L. 236-3), droit d'opposition des créanciers non obligataires « des sociétés participant à la fusion », sans restriction tenant à leur forme (C. com., art. L. 236-15) —, y compris pour ce qui concerne la société civile absorbante.</w:t>
      </w:r>
    </w:p>
    <w:p>
      <w:pPr>
        <w:spacing w:after="200" w:line="360" w:lineRule="auto"/>
        <w:jc w:val="both"/>
      </w:pPr>
      <w:r>
        <w:rPr>
          <w:rFonts w:ascii="Times New Roman" w:cs="Times New Roman" w:eastAsia="Times New Roman" w:hAnsi="Times New Roman"/>
          <w:sz w:val="24"/>
          <w:szCs w:val="24"/>
        </w:rPr>
        <w:t xml:space="preserve">Cette extension, il faut le concéder, ne repose sur aucun texte qui l'affirme en des termes exprès et univoques : elle procède d'une construction doctrinale et pratique, dont la légitimité peut être discutée par une lecture plus stricte, attachée à la lettre du livre II du Code de commerce, lequel demeure formellement consacré aux sociétés commerciales. Une telle lecture littérale conduirait cependant à un résultat difficilement soutenable : elle priverait la société civile absorbante — et, à travers elle, ses propres associés et créanciers — de tout cadre procédural, alors même que le Code civil n'offre aucune alternative. C'est pourquoi la réécriture de 2023, en dotant le Code de commerce d'un article L. 236-2 qui reprend, sans distinction de forme, le principe de l'article 1844-4 du Code civil, doit être lue comme confortant cette extension : à défaut de consacrer expressément l'applicabilité du livre II du Code de commerce aux sociétés civiles parties à une fusion, elle en affermit à tout le moins la légitimité méthodologique.</w:t>
      </w:r>
    </w:p>
    <w:p>
      <w:pPr>
        <w:spacing w:after="200" w:line="360" w:lineRule="auto"/>
        <w:jc w:val="both"/>
      </w:pPr>
      <w:r>
        <w:rPr>
          <w:rFonts w:ascii="Times New Roman" w:cs="Times New Roman" w:eastAsia="Times New Roman" w:hAnsi="Times New Roman"/>
          <w:sz w:val="24"/>
          <w:szCs w:val="24"/>
        </w:rPr>
        <w:t xml:space="preserve">Cette combinaison des sources, aussi nécessaire soit-elle à la conduite matérielle de l'opération, ne dit encore rien des conséquences que l'absorption par une société civile fait peser sur le fond des droits des associés absorbés. C'est précisément sur ce terrain que la nature civile de la société bénéficiaire déploie ses effets les plus significatifs.</w:t>
      </w:r>
    </w:p>
    <w:p>
      <w:pPr>
        <w:pageBreakBefore/>
        <w:spacing w:after="240" w:before="240" w:line="360" w:lineRule="auto"/>
        <w:jc w:val="left"/>
      </w:pPr>
      <w:r>
        <w:rPr>
          <w:rFonts w:ascii="Times New Roman" w:cs="Times New Roman" w:eastAsia="Times New Roman" w:hAnsi="Times New Roman"/>
          <w:b/>
          <w:bCs/>
          <w:sz w:val="27"/>
          <w:szCs w:val="27"/>
        </w:rPr>
        <w:t xml:space="preserve">II. Une opération dont l'aboutissement civil commande, sur le fond, une protection renforcée mais, en pratique, inégalement sécurisée</w:t>
      </w:r>
    </w:p>
    <w:p>
      <w:pPr>
        <w:spacing w:after="200" w:line="360" w:lineRule="auto"/>
        <w:jc w:val="both"/>
      </w:pPr>
      <w:r>
        <w:rPr>
          <w:rFonts w:ascii="Times New Roman" w:cs="Times New Roman" w:eastAsia="Times New Roman" w:hAnsi="Times New Roman"/>
          <w:sz w:val="24"/>
          <w:szCs w:val="24"/>
        </w:rPr>
        <w:t xml:space="preserve">La qualité de société civile de l'absorbante n'est pas neutre : parce que les associés d'une société civile répondent indéfiniment des dettes sociales (C. civ., art. 1857), l'absorption d'une société commerciale par une société civile expose les associés de celle-ci à une aggravation de leurs engagements que le droit des fusions ne pouvait laisser sans réponse — d'où l'exigence, rapportée à l'unanimité, que consacre l'article L. 236-5 du Code de commerce (A). Cette protection de premier rang, aussi fermement établie soit-elle, laisse cependant subsister des incertitudes quant au contrôle technique de l'opération et à la protection de certains tiers, que ni le Code civil ni le Code de commerce ne lèvent avec une entière certitude (B).</w:t>
      </w:r>
    </w:p>
    <w:p>
      <w:pPr>
        <w:spacing w:after="160" w:before="220" w:line="360" w:lineRule="auto"/>
        <w:jc w:val="left"/>
      </w:pPr>
      <w:r>
        <w:rPr>
          <w:rFonts w:ascii="Times New Roman" w:cs="Times New Roman" w:eastAsia="Times New Roman" w:hAnsi="Times New Roman"/>
          <w:b/>
          <w:bCs/>
          <w:sz w:val="24"/>
          <w:szCs w:val="24"/>
          <w:u w:val="single"/>
        </w:rPr>
        <w:t xml:space="preserve">A. L'unanimité, rançon nécessaire de l'aggravation des engagements induite par la nature civile de la société absorbante</w:t>
      </w:r>
    </w:p>
    <w:p>
      <w:pPr>
        <w:spacing w:after="200" w:line="360" w:lineRule="auto"/>
        <w:jc w:val="both"/>
      </w:pPr>
      <w:r>
        <w:rPr>
          <w:rFonts w:ascii="Times New Roman" w:cs="Times New Roman" w:eastAsia="Times New Roman" w:hAnsi="Times New Roman"/>
          <w:sz w:val="24"/>
          <w:szCs w:val="24"/>
        </w:rPr>
        <w:t xml:space="preserve">L'article 1836, alinéa 1er, du Code civil autorise, en principe, la modification des statuts d'une société — la fusion en constituant une, ainsi qu'il a été dit (I, A) — à la majorité fixée par les statuts, ou, à défaut de clause contraire, à l'unanimité. Mais l'alinéa 2 du même article pose une limite qu'aucune clause statutaire ne peut lever : « en aucun cas, les engagements d'un associé ne peuvent être augmentés sans le consentement de celui-ci ». La Cour de cassation en a précisé la portée à plusieurs reprises : cette règle, d'ordre public et sanctionnée par la nullité absolue de la décision qui la méconnaît, peut être invoquée par tout associé, y compris celui qui aurait voté en faveur de la résolution litigieuse (Cass. com., 13 novembre 2003, n° 00-20.646, Bull. 2003, IV, n° 171) ; elle ne joue cependant qu'à l'égard des décisions modificatives des statuts, à l'exclusion des décisions prises en exécution de ceux-ci (Cass. com., 9 juin 2004, n° 01-12.887, Bull. 2004, IV, n° 122) ; et elle a été jugée expressément applicable aux sociétés civiles immobilières « comme aux autres sociétés » (Cass. 1re civ., 8 novembre 1988, n° 87-10.514, Bull. 1988, I, n° 313). Le législateur en a du reste décliné une application spécifique pour la société à responsabilité limitée, l'article L. 223-30, avant-dernier alinéa, du Code de commerce disposant, dans les mêmes termes, que « la majorité ne peut en aucun cas obliger un associé à augmenter son engagement social » : la convergence de ces trois textes — droit commun des sociétés, droit spécial de la SARL, et, comme on va le voir, droit spécial des fusions — atteste du caractère structurant de ce principe dans l'ensemble du droit des sociétés, par-delà la summa divisio civile/commerciale.</w:t>
      </w:r>
    </w:p>
    <w:p>
      <w:pPr>
        <w:spacing w:after="200" w:line="360" w:lineRule="auto"/>
        <w:jc w:val="both"/>
      </w:pPr>
      <w:r>
        <w:rPr>
          <w:rFonts w:ascii="Times New Roman" w:cs="Times New Roman" w:eastAsia="Times New Roman" w:hAnsi="Times New Roman"/>
          <w:sz w:val="24"/>
          <w:szCs w:val="24"/>
        </w:rPr>
        <w:t xml:space="preserve">Le droit des fusions en tire une conséquence spécifique à l'article L. 236-5 du Code de commerce, introduit par l'ordonnance du 24 mai 2023 : par dérogation au principe majoritaire de l'article L. 236-2, alinéa 2, « si la fusion projetée a pour effet d'augmenter les engagements d'associés ou d'actionnaires de l'une ou de plusieurs sociétés en cause, elle ne peut être décidée qu'à l'unanimité desdits associés ou actionnaires ». Cette disposition constitue, pour l'hypothèse étudiée, la pièce maîtresse du dispositif protecteur. En effet, les associés ou actionnaires d'une société à responsabilité limitée, d'une société anonyme ou d'une société par actions simplifiée ne répondent des dettes sociales qu'à concurrence de leurs apports (C. com., art. L. 223-1, L. 225-1, L. 227-1). Que cette société vienne à être absorbée par une société civile, et ses associés, devenus de plein droit associés de la société absorbante par l'effet de la transmission universelle de patrimoine (C. com., art. L. 236-3, I), se trouvent alors soumis à l'obligation, indéfinie quoique non solidaire, de répondre des dettes sociales à proportion de leur participation dans le capital (C. civ., art. 1857), sous la seule réserve du bénéfice de discussion (C. civ., art. 1858). Le passage d'une responsabilité cantonnée aux apports à une responsabilité indéfinie constitue, par excellence, l'aggravation des engagements que vise l'article L. 236-5 : la fusion ne pourra donc être valablement décidée, du côté de la société absorbée, qu'à l'unanimité de ses associés ou actionnaires, quand bien même ses statuts autoriseraient par ailleurs une décision de fusion à la majorité.</w:t>
      </w:r>
    </w:p>
    <w:p>
      <w:pPr>
        <w:spacing w:after="200" w:line="360" w:lineRule="auto"/>
        <w:jc w:val="both"/>
      </w:pPr>
      <w:r>
        <w:rPr>
          <w:rFonts w:ascii="Times New Roman" w:cs="Times New Roman" w:eastAsia="Times New Roman" w:hAnsi="Times New Roman"/>
          <w:sz w:val="24"/>
          <w:szCs w:val="24"/>
        </w:rPr>
        <w:t xml:space="preserve">Cette exigence a une conséquence importante, trop souvent négligée : elle prive d'effet, sur le plan du consentement, l'ensemble des mécanismes de fusion simplifiée que le droit positif connaît par ailleurs. Que la société absorbante — fût-elle une société par actions — détienne la totalité du capital de l'absorbée, au sens de l'article L. 236-11 du Code de commerce, ou que la fusion oppose deux sociétés civiles entre lesquelles le seuil de détention de 90 % ouvre droit à la dispense de consultation de l'article 1854-1 du Code civil, ces textes n'affranchissent les sociétés en cause que d'une formalité — la convocation d'une assemblée générale extraordinaire ou la consultation des associés — et non de l'exigence de fond que pose l'article L. 236-5. Cette dernière est en effet d'ordre public, ainsi que le confirme, par analogie, la jurisprudence rendue sur le fondement de l'article 1836, alinéa 2, du Code civil : aucune clause statutaire, aucun mécanisme de représentation majoritaire ne saurait donc en dispenser les associés concernés. Dans l'hypothèse d'une absorption d'une société commerciale par une société civile, l'unanimité s'impose ainsi, en pratique, quelle que soit la répartition du capital entre les sociétés participantes.</w:t>
      </w:r>
    </w:p>
    <w:p>
      <w:pPr>
        <w:spacing w:after="200" w:line="360" w:lineRule="auto"/>
        <w:jc w:val="both"/>
      </w:pPr>
      <w:r>
        <w:rPr>
          <w:rFonts w:ascii="Times New Roman" w:cs="Times New Roman" w:eastAsia="Times New Roman" w:hAnsi="Times New Roman"/>
          <w:sz w:val="24"/>
          <w:szCs w:val="24"/>
        </w:rPr>
        <w:t xml:space="preserve">Cette conséquence doit toutefois être nuancée lorsque la société commerciale absorbée revêt elle-même une forme à risque illimité — société en nom collectif, ou situation des associés commandités d'une société en commandite. Leurs associés répondent déjà indéfiniment et, de surcroît, solidairement des dettes sociales (C. com., art. L. 221-1). Le passage à une société civile, où la responsabilité, pour indéfinie qu'elle demeure, n'est engagée qu'à proportion de la part de chaque associé dans le capital, à l'exclusion de toute solidarité, ne caractérise alors pas sans discussion une aggravation au sens de l'article L. 236-5 : sous l'angle strictement quantitatif du risque de poursuite individuelle, elle pourrait même s'analyser en une atténuation. On peut cependant se demander si la lettre de l'article L. 236-5 n'appelle pas malgré tout son application, ne serait-ce qu'en raison du changement de patrimoine et d'objet social sous-jacent que la fusion emporte nécessairement pour les associés de la société absorbée, lesquels demeurent en tout état de cause engagés indéfiniment sur un périmètre d'actifs et d'activités qui n'est plus celui qu'ils avaient initialement approuvé. La prudence commanderait, en pratique, de recueillir l'unanimité y compris dans cette hypothèse limite.</w:t>
      </w:r>
    </w:p>
    <w:p>
      <w:pPr>
        <w:spacing w:after="200" w:line="360" w:lineRule="auto"/>
        <w:jc w:val="both"/>
      </w:pPr>
      <w:r>
        <w:rPr>
          <w:rFonts w:ascii="Times New Roman" w:cs="Times New Roman" w:eastAsia="Times New Roman" w:hAnsi="Times New Roman"/>
          <w:sz w:val="24"/>
          <w:szCs w:val="24"/>
        </w:rPr>
        <w:t xml:space="preserve">Réciproquement, l'article L. 236-5 vise expressément « l'une ou plusieurs des sociétés en cause » : rien n'exclut donc, en toute rigueur textuelle, que l'unanimité soit également requise du côté de la société civile absorbante elle-même. Ses associés, déjà tenus indéfiniment avant l'opération, voient en effet le périmètre de leur exposition patrimoniale s'accroître mécaniquement de l'ensemble du passif de la société commerciale absorbée, désormais transmis universellement (C. com., art. L. 236-3, I). Or la Cour de cassation retient une conception extensive de la notion d'augmentation des engagements, incluant les hypothèses dans lesquelles les associés pourraient être appelés à supporter les conséquences d'une opération alors même que celle-ci leur serait, en apparence, indifférente (Cass. com., 13 novembre 2003, n° 00-20.646, préc.). Rapportée à la présente hypothèse, cette jurisprudence invite à considérer que l'augmentation substantielle du passif social résultant de l'absorption peut, elle aussi, caractériser une aggravation justifiant l'unanimité des associés de la société civile absorbante, indépendamment de toute clause statutaire contraire.</w:t>
      </w:r>
    </w:p>
    <w:p>
      <w:pPr>
        <w:spacing w:after="200" w:line="360" w:lineRule="auto"/>
        <w:jc w:val="both"/>
      </w:pPr>
      <w:r>
        <w:rPr>
          <w:rFonts w:ascii="Times New Roman" w:cs="Times New Roman" w:eastAsia="Times New Roman" w:hAnsi="Times New Roman"/>
          <w:sz w:val="24"/>
          <w:szCs w:val="24"/>
        </w:rPr>
        <w:t xml:space="preserve">Si l'exigence d'unanimité assure ainsi, sur le fond, une protection réelle des associés directement exposés à l'aggravation de leurs engagements, elle ne suffit pas à combler l'ensemble des lacunes que laisse subsister la combinaison imparfaite des droits civil et commercial des sociétés, notamment quant au contrôle technique de l'opération et à la protection des tiers.</w:t>
      </w:r>
    </w:p>
    <w:p>
      <w:pPr>
        <w:spacing w:after="160" w:before="220" w:line="360" w:lineRule="auto"/>
        <w:jc w:val="left"/>
      </w:pPr>
      <w:r>
        <w:rPr>
          <w:rFonts w:ascii="Times New Roman" w:cs="Times New Roman" w:eastAsia="Times New Roman" w:hAnsi="Times New Roman"/>
          <w:b/>
          <w:bCs/>
          <w:sz w:val="24"/>
          <w:szCs w:val="24"/>
          <w:u w:val="single"/>
        </w:rPr>
        <w:t xml:space="preserve">B. La protection perfectible des associés minoritaires et des créanciers faute de dispositions spécifiques</w:t>
      </w:r>
    </w:p>
    <w:p>
      <w:pPr>
        <w:spacing w:after="200" w:line="360" w:lineRule="auto"/>
        <w:jc w:val="both"/>
      </w:pPr>
      <w:r>
        <w:rPr>
          <w:rFonts w:ascii="Times New Roman" w:cs="Times New Roman" w:eastAsia="Times New Roman" w:hAnsi="Times New Roman"/>
          <w:sz w:val="24"/>
          <w:szCs w:val="24"/>
        </w:rPr>
        <w:t xml:space="preserve">Le contrôle de la parité d'échange constitue, en droit commun des fusions, une garantie essentielle : un ou plusieurs commissaires à la fusion, désignés en justice, sont chargés de vérifier que les valeurs relatives attribuées aux titres des sociétés participantes sont pertinentes et que le rapport d'échange est équitable (C. com., art. L. 236-10, I). Cette obligation, cependant, n'est textuellement rattachée qu'aux sociétés par actions et, selon des modalités comparables, aux sociétés à responsabilité limitée (C. com., art. L. 236-9 et L. 236-10). Aucun texte n'impose semblable contrôle à la société civile absorbante elle-même : ni le Code civil, dont l'article 1854-1 se borne à simplifier une formalité de consultation sans organiser aucun contrôle de parité, ni le Code de commerce, dont les dispositions relatives au commissaire à la fusion ne visent pas les sociétés civiles. Il en résulte une dissymétrie regrettable : alors que les associés de la société commerciale absorbée bénéficient, lorsque celle-ci est une société par actions ou une SARL, d'un contrôle indépendant de la parité qui leur est proposée, les associés de la société civile absorbante ne disposent d'aucune garantie légale équivalente, quand bien même l'opération affecte tout autant la consistance de leurs droits sociaux. La pratique y supplée, lorsque la prudence le commande, par la désignation volontaire d'un expert indépendant, mais cette précaution demeure facultative et son absence n'est sanctionnée par aucun texte spécial — seul le droit commun de la lésion ou de l'abus de majorité pouvant, le cas échéant et à des conditions probatoires exigeantes, être mobilisé a posteriori.</w:t>
      </w:r>
    </w:p>
    <w:p>
      <w:pPr>
        <w:spacing w:after="200" w:line="360" w:lineRule="auto"/>
        <w:jc w:val="both"/>
      </w:pPr>
      <w:r>
        <w:rPr>
          <w:rFonts w:ascii="Times New Roman" w:cs="Times New Roman" w:eastAsia="Times New Roman" w:hAnsi="Times New Roman"/>
          <w:sz w:val="24"/>
          <w:szCs w:val="24"/>
        </w:rPr>
        <w:t xml:space="preserve">La protection des créanciers appelle une observation comparable. L'article L. 236-15 du Code de commerce ouvre un droit d'opposition, dans le délai fixé par voie réglementaire, aux créanciers non obligataires « des sociétés participant à la fusion » dont la créance est antérieure à la publicité du projet — formule qui, prise à la lettre, ne distingue pas selon la forme des sociétés concernées et couvre ainsi, en toute rigueur, les créanciers de la société civile absorbante comme ceux de la société commerciale absorbée. Cette lecture, cohérente avec l'attraction du droit commercial des fusions déjà relevée (I, B), n'est cependant corroborée par aucune disposition du Code civil qui viendrait la consacrer expressément pour l'hypothèse spécifique de la fusion : le seul mécanisme d'opposition que le Code civil organise pour les sociétés civiles, celui de l'article 1844-5, alinéa 3, concerne la dissolution par confusion de patrimoine consécutive à la réunion de toutes les parts sociales en une seule main, hypothèse distincte de la fusion. Le fondement de la protection des créanciers de la société civile absorbante repose donc, lui aussi, sur l'extension prétorienne et doctrinale du droit commercial des fusions plutôt que sur un texte qui l'affirmerait en propre.</w:t>
      </w:r>
    </w:p>
    <w:p>
      <w:pPr>
        <w:spacing w:after="200" w:line="360" w:lineRule="auto"/>
        <w:jc w:val="both"/>
      </w:pPr>
      <w:r>
        <w:rPr>
          <w:rFonts w:ascii="Times New Roman" w:cs="Times New Roman" w:eastAsia="Times New Roman" w:hAnsi="Times New Roman"/>
          <w:sz w:val="24"/>
          <w:szCs w:val="24"/>
        </w:rPr>
        <w:t xml:space="preserve">Enfin, le sort de l'associé de la société absorbée qui refuserait son consentement à la fusion mérite attention. L'exigence d'unanimité posée par l'article L. 236-5 du Code de commerce lui confère, en amont, un pouvoir de blocage : à défaut de son accord, l'opération ne peut être valablement décidée. Ce verrou, protecteur en amont, prive cependant en pratique de portée le droit de retrait pour justes motifs que l'article 1869 du Code civil ouvre par ailleurs aux associés de sociétés civiles : l'associé qui a consenti à la fusion — fût-ce sous la pression économique du groupe ou de ses coassociés — ne saurait ensuite invoquer utilement un droit de retrait pour se délier d'un engagement auquel il a expressément souscrit. La protection organisée par le droit des fusions se présente ainsi comme exclusivement préventive, sans qu'aucun mécanisme de sortie a posteriori ne vienne la compléter au bénéfice de l'associé minoritaire qui se serait vu imposer son consentement, non par le jeu d'une majorité — puisque l'unanimité y fait précisément obstacle —, mais par des pressions économiques que le droit ne saisit pas.</w:t>
      </w:r>
    </w:p>
    <w:p>
      <w:pPr>
        <w:spacing w:after="240" w:before="300" w:line="360" w:lineRule="auto"/>
        <w:jc w:val="center"/>
      </w:pPr>
      <w:r>
        <w:rPr>
          <w:rFonts w:ascii="Times New Roman" w:cs="Times New Roman" w:eastAsia="Times New Roman" w:hAnsi="Times New Roman"/>
          <w:b/>
          <w:bCs/>
          <w:sz w:val="28"/>
          <w:szCs w:val="28"/>
        </w:rPr>
        <w:t xml:space="preserve">Conclusion</w:t>
      </w:r>
    </w:p>
    <w:p>
      <w:pPr>
        <w:spacing w:after="200" w:line="360" w:lineRule="auto"/>
        <w:jc w:val="both"/>
      </w:pPr>
      <w:r>
        <w:rPr>
          <w:rFonts w:ascii="Times New Roman" w:cs="Times New Roman" w:eastAsia="Times New Roman" w:hAnsi="Times New Roman"/>
          <w:sz w:val="24"/>
          <w:szCs w:val="24"/>
        </w:rPr>
        <w:t xml:space="preserve">Il résulte de cette étude que la fusion par absorption d'une société commerciale par une société civile, pour être admise sans conteste dans son principe depuis la réforme de 1978, ne trouve son régime que dans la combinaison, patiemment reconstruite par la doctrine et la pratique plus que directement énoncée par la loi, du droit commun des fusions du Code de commerce et des rares dispositions que le Code civil consacre aux sociétés civiles. Cette combinaison assure, sur le point le plus sensible — la protection des associés de la société absorbée contre l'aggravation de leurs engagements consécutive à l'acquisition du statut, indéfiniment responsable, d'associé de société civile —, une protection fermement établie par l'article L. 236-5 du Code de commerce, lu à la lumière d'une jurisprudence ancienne et constante rendue sur le fondement de l'article 1836, alinéa 2, du Code civil. Elle laisse cependant subsister, faute de dispositions spécifiques, des incertitudes quant au contrôle de la parité d'échange et à la protection de certains tiers, que seule une intervention légale expresse — que l'ordonnance du 24 mai 2023, pourtant l'occasion d'une refonte d'ensemble du droit des fusions, n'a pas saisie s'agissant des sociétés civiles — serait de nature à lever complètement. Le champ des opérations transfrontalières, désormais ouvert par cette même ordonnance en transposition de la directive (UE) 2019/2121, demeure d'ailleurs classiquement circonscrit aux seules sociétés à responsabilité limitée et aux sociétés par actions, ce qui illustre, une dernière fois, que le droit des restructurations sociétaires continue de penser la société civile comme une hypothèse seconde, plutôt que comme une variable pleinement intégrée à son architecture d'ensemble.</w:t>
      </w:r>
    </w:p>
    <w:p>
      <w:pPr>
        <w:spacing w:after="240" w:before="300" w:line="360" w:lineRule="auto"/>
        <w:jc w:val="center"/>
      </w:pPr>
      <w:r>
        <w:rPr>
          <w:rFonts w:ascii="Times New Roman" w:cs="Times New Roman" w:eastAsia="Times New Roman" w:hAnsi="Times New Roman"/>
          <w:b/>
          <w:bCs/>
          <w:sz w:val="28"/>
          <w:szCs w:val="28"/>
        </w:rPr>
        <w:t xml:space="preserve">Sources et références citées</w:t>
      </w:r>
    </w:p>
    <w:p>
      <w:pPr>
        <w:spacing w:after="160" w:before="220" w:line="360" w:lineRule="auto"/>
        <w:jc w:val="left"/>
      </w:pPr>
      <w:r>
        <w:rPr>
          <w:rFonts w:ascii="Times New Roman" w:cs="Times New Roman" w:eastAsia="Times New Roman" w:hAnsi="Times New Roman"/>
          <w:b/>
          <w:bCs/>
          <w:sz w:val="24"/>
          <w:szCs w:val="24"/>
          <w:u w:val="single"/>
        </w:rPr>
        <w:t xml:space="preserve">Textes législatifs et réglementaires</w:t>
      </w:r>
    </w:p>
    <w:p>
      <w:pPr>
        <w:spacing w:after="100" w:line="300" w:lineRule="auto"/>
        <w:ind w:left="360"/>
      </w:pPr>
      <w:r>
        <w:rPr>
          <w:rFonts w:ascii="Times New Roman" w:cs="Times New Roman" w:eastAsia="Times New Roman" w:hAnsi="Times New Roman"/>
          <w:sz w:val="22"/>
          <w:szCs w:val="22"/>
        </w:rPr>
        <w:t xml:space="preserve">— Code civil, art. 1836, 1844, 1844-4, 1844-5, 1845, 1852, 1854-1, 1857, 1858, 1869</w:t>
      </w:r>
    </w:p>
    <w:p>
      <w:pPr>
        <w:spacing w:after="100" w:line="300" w:lineRule="auto"/>
        <w:ind w:left="360"/>
      </w:pPr>
      <w:r>
        <w:rPr>
          <w:rFonts w:ascii="Times New Roman" w:cs="Times New Roman" w:eastAsia="Times New Roman" w:hAnsi="Times New Roman"/>
          <w:sz w:val="22"/>
          <w:szCs w:val="22"/>
        </w:rPr>
        <w:t xml:space="preserve">— Code de commerce, art. L. 210-1, L. 221-1, L. 221-6, L. 223-1, L. 223-30, L. 225-1, L. 227-1, L. 236-1 à L. 236-3, L. 236-5, L. 236-6, L. 236-9 à L. 236-11, L. 236-15</w:t>
      </w:r>
    </w:p>
    <w:p>
      <w:pPr>
        <w:spacing w:after="100" w:line="300" w:lineRule="auto"/>
        <w:ind w:left="360"/>
      </w:pPr>
      <w:r>
        <w:rPr>
          <w:rFonts w:ascii="Times New Roman" w:cs="Times New Roman" w:eastAsia="Times New Roman" w:hAnsi="Times New Roman"/>
          <w:sz w:val="22"/>
          <w:szCs w:val="22"/>
        </w:rPr>
        <w:t xml:space="preserve">— Loi n° 66-537 du 24 juillet 1966 sur les sociétés commerciales</w:t>
      </w:r>
    </w:p>
    <w:p>
      <w:pPr>
        <w:spacing w:after="100" w:line="300" w:lineRule="auto"/>
        <w:ind w:left="360"/>
      </w:pPr>
      <w:r>
        <w:rPr>
          <w:rFonts w:ascii="Times New Roman" w:cs="Times New Roman" w:eastAsia="Times New Roman" w:hAnsi="Times New Roman"/>
          <w:sz w:val="22"/>
          <w:szCs w:val="22"/>
        </w:rPr>
        <w:t xml:space="preserve">— Loi n° 78-9 du 4 janvier 1978 modifiant le titre IX du livre III du Code civil (réforme du droit des sociétés civiles)</w:t>
      </w:r>
    </w:p>
    <w:p>
      <w:pPr>
        <w:spacing w:after="100" w:line="300" w:lineRule="auto"/>
        <w:ind w:left="360"/>
      </w:pPr>
      <w:r>
        <w:rPr>
          <w:rFonts w:ascii="Times New Roman" w:cs="Times New Roman" w:eastAsia="Times New Roman" w:hAnsi="Times New Roman"/>
          <w:sz w:val="22"/>
          <w:szCs w:val="22"/>
        </w:rPr>
        <w:t xml:space="preserve">— Loi n° 2019-744 du 19 juillet 2019 de simplification, de clarification et d'actualisation du droit des sociétés</w:t>
      </w:r>
    </w:p>
    <w:p>
      <w:pPr>
        <w:spacing w:after="100" w:line="300" w:lineRule="auto"/>
        <w:ind w:left="360"/>
      </w:pPr>
      <w:r>
        <w:rPr>
          <w:rFonts w:ascii="Times New Roman" w:cs="Times New Roman" w:eastAsia="Times New Roman" w:hAnsi="Times New Roman"/>
          <w:sz w:val="22"/>
          <w:szCs w:val="22"/>
        </w:rPr>
        <w:t xml:space="preserve">— Ordonnance n° 2023-393 du 24 mai 2023 relative au régime des fusions, scissions, apports partiels d'actifs et aux opérations transfrontalières (transposition de la directive (UE) 2019/2121 du 27 novembre 2019)</w:t>
      </w:r>
    </w:p>
    <w:p>
      <w:pPr>
        <w:spacing w:after="160" w:before="220" w:line="360" w:lineRule="auto"/>
        <w:jc w:val="left"/>
      </w:pPr>
      <w:r>
        <w:rPr>
          <w:rFonts w:ascii="Times New Roman" w:cs="Times New Roman" w:eastAsia="Times New Roman" w:hAnsi="Times New Roman"/>
          <w:b/>
          <w:bCs/>
          <w:sz w:val="24"/>
          <w:szCs w:val="24"/>
          <w:u w:val="single"/>
        </w:rPr>
        <w:t xml:space="preserve">Jurisprudence</w:t>
      </w:r>
    </w:p>
    <w:p>
      <w:pPr>
        <w:spacing w:after="100" w:line="300" w:lineRule="auto"/>
        <w:ind w:left="360"/>
      </w:pPr>
      <w:r>
        <w:rPr>
          <w:rFonts w:ascii="Times New Roman" w:cs="Times New Roman" w:eastAsia="Times New Roman" w:hAnsi="Times New Roman"/>
          <w:sz w:val="22"/>
          <w:szCs w:val="22"/>
        </w:rPr>
        <w:t xml:space="preserve">— Cass. 1re civ., 8 novembre 1988, n° 87-10.514, Bull. 1988, I, n° 313</w:t>
      </w:r>
    </w:p>
    <w:p>
      <w:pPr>
        <w:spacing w:after="100" w:line="300" w:lineRule="auto"/>
        <w:ind w:left="360"/>
      </w:pPr>
      <w:r>
        <w:rPr>
          <w:rFonts w:ascii="Times New Roman" w:cs="Times New Roman" w:eastAsia="Times New Roman" w:hAnsi="Times New Roman"/>
          <w:sz w:val="22"/>
          <w:szCs w:val="22"/>
        </w:rPr>
        <w:t xml:space="preserve">— Cass. com., 13 novembre 2003, n° 00-20.646, Bull. 2003, IV, n° 171</w:t>
      </w:r>
    </w:p>
    <w:p>
      <w:pPr>
        <w:spacing w:after="100" w:line="300" w:lineRule="auto"/>
        <w:ind w:left="360"/>
      </w:pPr>
      <w:r>
        <w:rPr>
          <w:rFonts w:ascii="Times New Roman" w:cs="Times New Roman" w:eastAsia="Times New Roman" w:hAnsi="Times New Roman"/>
          <w:sz w:val="22"/>
          <w:szCs w:val="22"/>
        </w:rPr>
        <w:t xml:space="preserve">— Cass. com., 9 juin 2004, n° 01-12.887, Bull. 2004, IV, n° 122</w:t>
      </w:r>
    </w:p>
    <w:p>
      <w:pPr>
        <w:spacing w:after="100" w:line="300" w:lineRule="auto"/>
        <w:ind w:left="360"/>
      </w:pPr>
      <w:r>
        <w:rPr>
          <w:rFonts w:ascii="Times New Roman" w:cs="Times New Roman" w:eastAsia="Times New Roman" w:hAnsi="Times New Roman"/>
          <w:sz w:val="22"/>
          <w:szCs w:val="22"/>
        </w:rPr>
        <w:t xml:space="preserve">— Cass. com., 10 juillet 2012, n° 11-14.267, Bull. 2012, IV, n° 156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2026-08-28T15:07:45.840Z</dcterms:created>
  <dcterms:modified xsi:type="dcterms:W3CDTF">2026-08-28T15:07:45.840Z</dcterms:modified>
</cp:coreProperties>
</file>

<file path=docProps/custom.xml><?xml version="1.0" encoding="utf-8"?>
<Properties xmlns="http://schemas.openxmlformats.org/officeDocument/2006/custom-properties" xmlns:vt="http://schemas.openxmlformats.org/officeDocument/2006/docPropsVTypes"/>
</file>