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rPr>
          <w:rFonts w:ascii="Calibri" w:hAnsi="Calibri" w:cs="Calibri"/>
          <w:b/>
          <w:bCs/>
          <w:color w:val="676980"/>
          <w:sz w:val="32"/>
          <w:szCs w:val="32"/>
        </w:rPr>
      </w:pPr>
      <w:r>
        <w:rPr>
          <w:rFonts w:ascii="Calibri" w:hAnsi="Calibri" w:cs="Calibri"/>
          <w:b/>
          <w:bCs/>
          <w:color w:val="676980"/>
          <w:sz w:val="32"/>
          <w:szCs w:val="32"/>
        </w:rPr>
        <w:t>CALENDRIER DE RESTRUCTURATION – GROUPE AEMIS</w:t>
      </w:r>
    </w:p>
    <w:p>
      <w:pPr>
        <w:spacing w:after="60"/>
        <w:rPr>
          <w:rFonts w:ascii="Calibri" w:hAnsi="Calibri" w:cs="Calibri"/>
          <w:b/>
          <w:bCs/>
          <w:color w:val="676980"/>
          <w:sz w:val="22"/>
          <w:szCs w:val="22"/>
        </w:rPr>
      </w:pPr>
      <w:r>
        <w:rPr>
          <w:rFonts w:ascii="Calibri" w:hAnsi="Calibri" w:cs="Calibri"/>
          <w:b/>
          <w:bCs/>
          <w:color w:val="676980"/>
          <w:sz w:val="22"/>
          <w:szCs w:val="22"/>
        </w:rPr>
        <w:t>Fusion simplifiée par voie d’absorption de la société ITEST par la société AMCAD (fusion entre sociétés sœurs détenues à 100 % par la société AEMIS – C. com., art. L. 236</w:t>
        <w:noBreakHyphen/>
        <w:t>11)</w:t>
      </w:r>
    </w:p>
    <w:p>
      <w:pPr>
        <w:spacing w:after="200"/>
        <w:rPr>
          <w:rFonts w:ascii="Calibri" w:hAnsi="Calibri" w:cs="Calibri"/>
          <w:i/>
          <w:iCs/>
          <w:sz w:val="20"/>
          <w:szCs w:val="20"/>
        </w:rPr>
      </w:pPr>
      <w:r>
        <w:rPr>
          <w:rFonts w:ascii="Calibri" w:hAnsi="Calibri" w:cs="Calibri"/>
          <w:i/>
          <w:iCs/>
          <w:sz w:val="20"/>
          <w:szCs w:val="20"/>
        </w:rPr>
        <w:t>Document de travail – version du 25 septembre 2026</w:t>
      </w:r>
    </w:p>
    <w:tbl>
      <w:tblPr>
        <w:tblStyle w:val="Grilledutableau1"/>
        <w:tblW w:w="14879" w:type="dxa"/>
        <w:jc w:val="center"/>
        <w:tblLook w:val="04A0" w:firstRow="1" w:lastRow="0" w:firstColumn="1" w:lastColumn="0" w:noHBand="0" w:noVBand="1"/>
      </w:tblPr>
      <w:tblGrid>
        <w:gridCol w:w="3402"/>
        <w:gridCol w:w="11477"/>
      </w:tblGrid>
      <w:tr>
        <w:trPr>
          <w:cantSplit/>
          <w:jc w:val="center"/>
        </w:trPr>
        <w:tc>
          <w:tcPr>
            <w:tcW w:w="14879" w:type="dxa"/>
            <w:gridSpan w:val="2"/>
            <w:shd w:val="clear" w:color="auto" w:fill="676980"/>
            <w:vAlign w:val="center"/>
          </w:tcPr>
          <w:p>
            <w:pPr>
              <w:jc w:val="center"/>
              <w:rPr>
                <w:rFonts w:ascii="Calibri" w:hAnsi="Calibri" w:cs="Calibri" w:eastAsia="Calibri"/>
                <w:b/>
                <w:bCs/>
                <w:color w:val="FFFFFF"/>
                <w:sz w:val="20"/>
                <w:szCs w:val="20"/>
              </w:rPr>
            </w:pPr>
            <w:r>
              <w:rPr>
                <w:rFonts w:ascii="Calibri" w:hAnsi="Calibri" w:cs="Calibri" w:eastAsia="Calibri"/>
                <w:b/>
                <w:bCs/>
                <w:color w:val="FFFFFF"/>
                <w:sz w:val="20"/>
                <w:szCs w:val="20"/>
              </w:rPr>
              <w:t>Présentation de l’opération et hypothèses de travail</w:t>
            </w:r>
          </w:p>
        </w:tc>
      </w:tr>
      <w:tr>
        <w:trPr>
          <w:cantSplit/>
          <w:trHeight w:val="300"/>
          <w:jc w:val="center"/>
        </w:trPr>
        <w:tc>
          <w:tcPr>
            <w:tcW w:w="3402" w:type="dxa"/>
            <w:shd w:val="clear" w:color="auto" w:fill="A0A1B2"/>
            <w:vAlign w:val="center"/>
          </w:tcPr>
          <w:p>
            <w:pPr>
              <w:rPr>
                <w:rFonts w:ascii="Calibri" w:hAnsi="Calibri" w:cs="Calibri" w:eastAsia="Calibri"/>
                <w:b/>
                <w:bCs/>
                <w:color w:val="FFFFFF"/>
                <w:sz w:val="20"/>
                <w:szCs w:val="20"/>
              </w:rPr>
            </w:pPr>
            <w:r>
              <w:rPr>
                <w:rFonts w:ascii="Calibri" w:hAnsi="Calibri" w:cs="Calibri" w:eastAsia="Calibri"/>
                <w:b/>
                <w:bCs/>
                <w:color w:val="FFFFFF"/>
                <w:sz w:val="20"/>
                <w:szCs w:val="20"/>
              </w:rPr>
              <w:t>Sociétés concernées</w:t>
            </w:r>
          </w:p>
        </w:tc>
        <w:tc>
          <w:tcPr>
            <w:tcW w:w="11477" w:type="dxa"/>
            <w:vAlign w:val="center"/>
          </w:tcPr>
          <w:p>
            <w:pPr>
              <w:jc w:val="both"/>
              <w:rPr>
                <w:rFonts w:ascii="Calibri" w:hAnsi="Calibri" w:cs="Calibri" w:eastAsia="Calibri"/>
                <w:sz w:val="20"/>
                <w:szCs w:val="20"/>
              </w:rPr>
            </w:pPr>
            <w:r>
              <w:rPr>
                <w:rFonts w:ascii="Calibri" w:hAnsi="Calibri" w:cs="Calibri" w:eastAsia="Calibri"/>
                <w:sz w:val="20"/>
                <w:szCs w:val="20"/>
              </w:rPr>
              <w:t>AEMIS (société holding), associé unique de AMCAD (société absorbante) et de ITEST (société absorbée), toutes deux sociétés par actions simplifiées</w:t>
            </w:r>
          </w:p>
        </w:tc>
      </w:tr>
      <w:tr>
        <w:trPr>
          <w:cantSplit/>
          <w:trHeight w:val="300"/>
          <w:jc w:val="center"/>
        </w:trPr>
        <w:tc>
          <w:tcPr>
            <w:tcW w:w="3402" w:type="dxa"/>
            <w:shd w:val="clear" w:color="auto" w:fill="A0A1B2"/>
            <w:vAlign w:val="center"/>
          </w:tcPr>
          <w:p>
            <w:pPr>
              <w:rPr>
                <w:rFonts w:ascii="Calibri" w:hAnsi="Calibri" w:cs="Calibri" w:eastAsia="Calibri"/>
                <w:b/>
                <w:bCs/>
                <w:color w:val="FFFFFF"/>
                <w:sz w:val="20"/>
                <w:szCs w:val="20"/>
              </w:rPr>
            </w:pPr>
            <w:r>
              <w:rPr>
                <w:rFonts w:ascii="Calibri" w:hAnsi="Calibri" w:cs="Calibri" w:eastAsia="Calibri"/>
                <w:b/>
                <w:bCs/>
                <w:color w:val="FFFFFF"/>
                <w:sz w:val="20"/>
                <w:szCs w:val="20"/>
              </w:rPr>
              <w:t>Opération</w:t>
            </w:r>
          </w:p>
        </w:tc>
        <w:tc>
          <w:tcPr>
            <w:tcW w:w="11477" w:type="dxa"/>
            <w:vAlign w:val="center"/>
          </w:tcPr>
          <w:p>
            <w:pPr>
              <w:jc w:val="both"/>
              <w:rPr>
                <w:rFonts w:ascii="Calibri" w:hAnsi="Calibri" w:cs="Calibri" w:eastAsia="Calibri"/>
                <w:sz w:val="20"/>
                <w:szCs w:val="20"/>
              </w:rPr>
            </w:pPr>
            <w:r>
              <w:rPr>
                <w:rFonts w:ascii="Calibri" w:hAnsi="Calibri" w:cs="Calibri" w:eastAsia="Calibri"/>
                <w:sz w:val="20"/>
                <w:szCs w:val="20"/>
              </w:rPr>
              <w:t>Absorption de ITEST par AMCAD : transmission universelle du patrimoine de ITEST à AMCAD et dissolution sans liquidation de ITEST (C. com., art. L. 236</w:t>
              <w:noBreakHyphen/>
              <w:t>3, I). À l’issue, AEMIS détient 100 % du capital de AMCAD, qui poursuit les activités de ITEST</w:t>
            </w:r>
          </w:p>
        </w:tc>
      </w:tr>
      <w:tr>
        <w:trPr>
          <w:cantSplit/>
          <w:trHeight w:val="300"/>
          <w:jc w:val="center"/>
        </w:trPr>
        <w:tc>
          <w:tcPr>
            <w:tcW w:w="3402" w:type="dxa"/>
            <w:shd w:val="clear" w:color="auto" w:fill="A0A1B2"/>
            <w:vAlign w:val="center"/>
          </w:tcPr>
          <w:p>
            <w:pPr>
              <w:rPr>
                <w:rFonts w:ascii="Calibri" w:hAnsi="Calibri" w:cs="Calibri" w:eastAsia="Calibri"/>
                <w:b/>
                <w:bCs/>
                <w:color w:val="FFFFFF"/>
                <w:sz w:val="20"/>
                <w:szCs w:val="20"/>
              </w:rPr>
            </w:pPr>
            <w:r>
              <w:rPr>
                <w:rFonts w:ascii="Calibri" w:hAnsi="Calibri" w:cs="Calibri" w:eastAsia="Calibri"/>
                <w:b/>
                <w:bCs/>
                <w:color w:val="FFFFFF"/>
                <w:sz w:val="20"/>
                <w:szCs w:val="20"/>
              </w:rPr>
              <w:t>Régime juridique</w:t>
            </w:r>
          </w:p>
        </w:tc>
        <w:tc>
          <w:tcPr>
            <w:tcW w:w="11477" w:type="dxa"/>
            <w:vAlign w:val="center"/>
          </w:tcPr>
          <w:p>
            <w:pPr>
              <w:jc w:val="both"/>
              <w:rPr>
                <w:rFonts w:ascii="Calibri" w:hAnsi="Calibri" w:cs="Calibri" w:eastAsia="Calibri"/>
                <w:sz w:val="20"/>
                <w:szCs w:val="20"/>
              </w:rPr>
            </w:pPr>
            <w:r>
              <w:rPr>
                <w:rFonts w:ascii="Calibri" w:hAnsi="Calibri" w:cs="Calibri" w:eastAsia="Calibri"/>
                <w:sz w:val="20"/>
                <w:szCs w:val="20"/>
              </w:rPr>
              <w:t>Fusion simplifiée entre sociétés sœurs (C. com., art. L. 236</w:t>
              <w:noBreakHyphen/>
              <w:t>11) : pas d’approbation par l’AGE des sociétés participantes, ni de rapport du Président, ni de commissaire à la fusion ; pas d’échange de titres ni d’augmentation de capital de AMCAD (C. com., art. L. 236</w:t>
              <w:noBreakHyphen/>
              <w:t>3, II, 3°)</w:t>
            </w:r>
          </w:p>
        </w:tc>
      </w:tr>
      <w:tr>
        <w:trPr>
          <w:cantSplit/>
          <w:trHeight w:val="300"/>
          <w:jc w:val="center"/>
        </w:trPr>
        <w:tc>
          <w:tcPr>
            <w:tcW w:w="3402" w:type="dxa"/>
            <w:shd w:val="clear" w:color="auto" w:fill="A0A1B2"/>
            <w:vAlign w:val="center"/>
          </w:tcPr>
          <w:p>
            <w:pPr>
              <w:rPr>
                <w:rFonts w:ascii="Calibri" w:hAnsi="Calibri" w:cs="Calibri" w:eastAsia="Calibri"/>
                <w:b/>
                <w:bCs/>
                <w:color w:val="FFFFFF"/>
                <w:sz w:val="20"/>
                <w:szCs w:val="20"/>
              </w:rPr>
            </w:pPr>
            <w:r>
              <w:rPr>
                <w:rFonts w:ascii="Calibri" w:hAnsi="Calibri" w:cs="Calibri" w:eastAsia="Calibri"/>
                <w:b/>
                <w:bCs/>
                <w:color w:val="FFFFFF"/>
                <w:sz w:val="20"/>
                <w:szCs w:val="20"/>
              </w:rPr>
              <w:t>Dates clés</w:t>
            </w:r>
          </w:p>
        </w:tc>
        <w:tc>
          <w:tcPr>
            <w:tcW w:w="11477" w:type="dxa"/>
            <w:vAlign w:val="center"/>
          </w:tcPr>
          <w:p>
            <w:pPr>
              <w:jc w:val="both"/>
              <w:rPr>
                <w:rFonts w:ascii="Calibri" w:hAnsi="Calibri" w:cs="Calibri" w:eastAsia="Calibri"/>
                <w:sz w:val="20"/>
                <w:szCs w:val="20"/>
              </w:rPr>
            </w:pPr>
            <w:r>
              <w:rPr>
                <w:rFonts w:ascii="Calibri" w:hAnsi="Calibri" w:cs="Calibri" w:eastAsia="Calibri"/>
                <w:sz w:val="20"/>
                <w:szCs w:val="20"/>
              </w:rPr>
              <w:t>Réalisation (Jour J) : 31 décembre 2026 (hypothèse de travail) – Effet rétroactif comptable et fiscal : 1</w:t>
            </w:r>
            <w:r>
              <w:rPr>
                <w:rFonts w:ascii="Calibri" w:hAnsi="Calibri" w:cs="Calibri" w:eastAsia="Calibri"/>
                <w:sz w:val="20"/>
                <w:szCs w:val="20"/>
                <w:vertAlign w:val="superscript"/>
              </w:rPr>
              <w:t>er</w:t>
            </w:r>
            <w:r>
              <w:rPr>
                <w:rFonts w:ascii="Calibri" w:hAnsi="Calibri" w:cs="Calibri" w:eastAsia="Calibri"/>
                <w:sz w:val="20"/>
                <w:szCs w:val="20"/>
              </w:rPr>
              <w:t xml:space="preserve"> janvier 2026 (C. com., art. L. 236</w:t>
              <w:noBreakHyphen/>
              <w:t>4 et R. 236</w:t>
              <w:noBreakHyphen/>
              <w:t>1, 5°)</w:t>
            </w:r>
          </w:p>
        </w:tc>
      </w:tr>
      <w:tr>
        <w:trPr>
          <w:cantSplit/>
          <w:trHeight w:val="300"/>
          <w:jc w:val="center"/>
        </w:trPr>
        <w:tc>
          <w:tcPr>
            <w:tcW w:w="3402" w:type="dxa"/>
            <w:shd w:val="clear" w:color="auto" w:fill="A0A1B2"/>
            <w:vAlign w:val="center"/>
          </w:tcPr>
          <w:p>
            <w:pPr>
              <w:rPr>
                <w:rFonts w:ascii="Calibri" w:hAnsi="Calibri" w:cs="Calibri" w:eastAsia="Calibri"/>
                <w:b/>
                <w:bCs/>
                <w:color w:val="FFFFFF"/>
                <w:sz w:val="20"/>
                <w:szCs w:val="20"/>
              </w:rPr>
            </w:pPr>
            <w:r>
              <w:rPr>
                <w:rFonts w:ascii="Calibri" w:hAnsi="Calibri" w:cs="Calibri" w:eastAsia="Calibri"/>
                <w:b/>
                <w:bCs/>
                <w:color w:val="FFFFFF"/>
                <w:sz w:val="20"/>
                <w:szCs w:val="20"/>
              </w:rPr>
              <w:t>Régime fiscal</w:t>
            </w:r>
          </w:p>
        </w:tc>
        <w:tc>
          <w:tcPr>
            <w:tcW w:w="11477" w:type="dxa"/>
            <w:vAlign w:val="center"/>
          </w:tcPr>
          <w:p>
            <w:pPr>
              <w:jc w:val="both"/>
              <w:rPr>
                <w:rFonts w:ascii="Calibri" w:hAnsi="Calibri" w:cs="Calibri" w:eastAsia="Calibri"/>
                <w:sz w:val="20"/>
                <w:szCs w:val="20"/>
              </w:rPr>
            </w:pPr>
            <w:r>
              <w:rPr>
                <w:rFonts w:ascii="Calibri" w:hAnsi="Calibri" w:cs="Calibri" w:eastAsia="Calibri"/>
                <w:sz w:val="20"/>
                <w:szCs w:val="20"/>
              </w:rPr>
              <w:t>Régime de faveur des fusions (CGI, art. 210 A)</w:t>
            </w:r>
          </w:p>
        </w:tc>
      </w:tr>
      <w:tr>
        <w:trPr>
          <w:cantSplit/>
          <w:trHeight w:val="300"/>
          <w:jc w:val="center"/>
        </w:trPr>
        <w:tc>
          <w:tcPr>
            <w:tcW w:w="3402" w:type="dxa"/>
            <w:shd w:val="clear" w:color="auto" w:fill="A0A1B2"/>
            <w:vAlign w:val="center"/>
          </w:tcPr>
          <w:p>
            <w:pPr>
              <w:rPr>
                <w:rFonts w:ascii="Calibri" w:hAnsi="Calibri" w:cs="Calibri" w:eastAsia="Calibri"/>
                <w:b/>
                <w:bCs/>
                <w:color w:val="FFFFFF"/>
                <w:sz w:val="20"/>
                <w:szCs w:val="20"/>
              </w:rPr>
            </w:pPr>
            <w:r>
              <w:rPr>
                <w:rFonts w:ascii="Calibri" w:hAnsi="Calibri" w:cs="Calibri" w:eastAsia="Calibri"/>
                <w:b/>
                <w:bCs/>
                <w:color w:val="FFFFFF"/>
                <w:sz w:val="20"/>
                <w:szCs w:val="20"/>
              </w:rPr>
              <w:t>Hypothèses à confirmer</w:t>
            </w:r>
          </w:p>
        </w:tc>
        <w:tc>
          <w:tcPr>
            <w:tcW w:w="11477" w:type="dxa"/>
            <w:vAlign w:val="center"/>
          </w:tcPr>
          <w:p>
            <w:pPr>
              <w:jc w:val="both"/>
              <w:rPr>
                <w:rFonts w:ascii="Calibri" w:hAnsi="Calibri" w:cs="Calibri" w:eastAsia="Calibri"/>
                <w:sz w:val="20"/>
                <w:szCs w:val="20"/>
              </w:rPr>
            </w:pPr>
            <w:r>
              <w:rPr>
                <w:rFonts w:ascii="Calibri" w:hAnsi="Calibri" w:cs="Calibri" w:eastAsia="Calibri"/>
                <w:sz w:val="20"/>
                <w:szCs w:val="20"/>
              </w:rPr>
              <w:t>Forme de SAS ; exercices calendaires ; comptes 2025 approuvés ; absence de valeurs mobilières donnant accès au capital de ITEST et d’emprunt obligataire ; existence d’un CSE ; immeubles détenus par ITEST ; greffes compétents</w:t>
            </w:r>
          </w:p>
        </w:tc>
      </w:tr>
      <w:tr>
        <w:trPr>
          <w:cantSplit/>
          <w:trHeight w:val="300"/>
          <w:jc w:val="center"/>
        </w:trPr>
        <w:tc>
          <w:tcPr>
            <w:tcW w:w="3402" w:type="dxa"/>
            <w:shd w:val="clear" w:color="auto" w:fill="A0A1B2"/>
            <w:vAlign w:val="center"/>
          </w:tcPr>
          <w:p>
            <w:pPr>
              <w:rPr>
                <w:rFonts w:ascii="Calibri" w:hAnsi="Calibri" w:cs="Calibri" w:eastAsia="Calibri"/>
                <w:b/>
                <w:bCs/>
                <w:color w:val="FFFFFF"/>
                <w:sz w:val="20"/>
                <w:szCs w:val="20"/>
              </w:rPr>
            </w:pPr>
            <w:r>
              <w:rPr>
                <w:rFonts w:ascii="Calibri" w:hAnsi="Calibri" w:cs="Calibri" w:eastAsia="Calibri"/>
                <w:b/>
                <w:bCs/>
                <w:color w:val="FFFFFF"/>
                <w:sz w:val="20"/>
                <w:szCs w:val="20"/>
              </w:rPr>
              <w:t>Délais</w:t>
            </w:r>
          </w:p>
        </w:tc>
        <w:tc>
          <w:tcPr>
            <w:tcW w:w="11477" w:type="dxa"/>
            <w:vAlign w:val="center"/>
          </w:tcPr>
          <w:p>
            <w:pPr>
              <w:jc w:val="both"/>
              <w:rPr>
                <w:rFonts w:ascii="Calibri" w:hAnsi="Calibri" w:cs="Calibri" w:eastAsia="Calibri"/>
                <w:sz w:val="20"/>
                <w:szCs w:val="20"/>
              </w:rPr>
            </w:pPr>
            <w:r>
              <w:rPr>
                <w:rFonts w:ascii="Calibri" w:hAnsi="Calibri" w:cs="Calibri" w:eastAsia="Calibri"/>
                <w:sz w:val="20"/>
                <w:szCs w:val="20"/>
              </w:rPr>
              <w:t>Calculés à rebours à partir du Jour J : indicatifs pour les phases préparatoires, légaux et impératifs pour le dépôt et la publicité du projet (30 jours au moins avant la réalisation) et pour l’opposition des créanciers (30 jours)</w:t>
            </w:r>
          </w:p>
        </w:tc>
      </w:tr>
    </w:tbl>
    <w:p>
      <w:pPr>
        <w:rPr>
          <w:rFonts w:ascii="Calibri" w:hAnsi="Calibri" w:cs="Calibri"/>
          <w:sz w:val="20"/>
          <w:szCs w:val="20"/>
        </w:rPr>
      </w:pPr>
    </w:p>
    <w:p w14:paraId="79901F01" w14:textId="684906CB" w:rsidR="00D9711D" w:rsidRPr="00EF450F" w:rsidRDefault="00D9711D" w:rsidP="00D9711D">
      <w:pPr>
        <w:rPr>
          <w:rFonts w:ascii="Calibri" w:hAnsi="Calibri" w:cs="Calibri"/>
          <w:sz w:val="20"/>
          <w:szCs w:val="20"/>
        </w:rPr>
      </w:pPr>
      <w:r w:rsidRPr="00EF450F">
        <w:rPr>
          <w:rFonts w:ascii="Calibri" w:hAnsi="Calibri" w:cs="Calibri"/>
          <w:sz w:val="20"/>
          <w:szCs w:val="20"/>
        </w:rPr>
        <w:t>Légendes</w:t>
      </w:r>
    </w:p>
    <w:tbl>
      <w:tblPr>
        <w:tblStyle w:val="Grilledutableau"/>
        <w:tblW w:w="0" w:type="auto"/>
        <w:tblLook w:val="04A0" w:firstRow="1" w:lastRow="0" w:firstColumn="1" w:lastColumn="0" w:noHBand="0" w:noVBand="1"/>
      </w:tblPr>
      <w:tblGrid>
        <w:gridCol w:w="846"/>
        <w:gridCol w:w="1843"/>
      </w:tblGrid>
      <w:tr w:rsidR="00D9711D" w:rsidRPr="00EF450F" w14:paraId="7EFE4C5C" w14:textId="77777777" w:rsidTr="00122BD9">
        <w:trPr>
          <w:trHeight w:val="316"/>
        </w:trPr>
        <w:tc>
          <w:tcPr>
            <w:tcW w:w="846" w:type="dxa"/>
          </w:tcPr>
          <w:p w14:paraId="29025689" w14:textId="77777777" w:rsidR="00D9711D" w:rsidRPr="00EF450F" w:rsidRDefault="00D9711D" w:rsidP="00122BD9">
            <w:pPr>
              <w:rPr>
                <w:rFonts w:ascii="Calibri" w:hAnsi="Calibri" w:cs="Calibri"/>
                <w:sz w:val="20"/>
                <w:szCs w:val="20"/>
              </w:rPr>
            </w:pPr>
          </w:p>
        </w:tc>
        <w:tc>
          <w:tcPr>
            <w:tcW w:w="1843" w:type="dxa"/>
          </w:tcPr>
          <w:p w14:paraId="59BE9245" w14:textId="77777777" w:rsidR="00D9711D" w:rsidRPr="00EF450F" w:rsidRDefault="00D9711D" w:rsidP="00122BD9">
            <w:pPr>
              <w:rPr>
                <w:rFonts w:ascii="Calibri" w:hAnsi="Calibri" w:cs="Calibri"/>
                <w:sz w:val="20"/>
                <w:szCs w:val="20"/>
              </w:rPr>
            </w:pPr>
            <w:r w:rsidRPr="00EF450F">
              <w:rPr>
                <w:rFonts w:ascii="Calibri" w:hAnsi="Calibri" w:cs="Calibri"/>
                <w:sz w:val="20"/>
                <w:szCs w:val="20"/>
              </w:rPr>
              <w:t>A faire</w:t>
            </w:r>
          </w:p>
        </w:tc>
      </w:tr>
      <w:tr w:rsidR="00D9711D" w:rsidRPr="00EF450F" w14:paraId="5CD98152" w14:textId="77777777" w:rsidTr="00122BD9">
        <w:trPr>
          <w:trHeight w:val="316"/>
        </w:trPr>
        <w:tc>
          <w:tcPr>
            <w:tcW w:w="846" w:type="dxa"/>
            <w:shd w:val="clear" w:color="auto" w:fill="FFC000"/>
          </w:tcPr>
          <w:p w14:paraId="7CC469D1" w14:textId="77777777" w:rsidR="00D9711D" w:rsidRPr="00EF450F" w:rsidRDefault="00D9711D" w:rsidP="00122BD9">
            <w:pPr>
              <w:rPr>
                <w:rFonts w:ascii="Calibri" w:hAnsi="Calibri" w:cs="Calibri"/>
                <w:sz w:val="20"/>
                <w:szCs w:val="20"/>
              </w:rPr>
            </w:pPr>
          </w:p>
        </w:tc>
        <w:tc>
          <w:tcPr>
            <w:tcW w:w="1843" w:type="dxa"/>
          </w:tcPr>
          <w:p w14:paraId="161C75A2" w14:textId="77777777" w:rsidR="00D9711D" w:rsidRPr="00EF450F" w:rsidRDefault="00D9711D" w:rsidP="00122BD9">
            <w:pPr>
              <w:rPr>
                <w:rFonts w:ascii="Calibri" w:hAnsi="Calibri" w:cs="Calibri"/>
                <w:sz w:val="20"/>
                <w:szCs w:val="20"/>
              </w:rPr>
            </w:pPr>
            <w:r w:rsidRPr="00EF450F">
              <w:rPr>
                <w:rFonts w:ascii="Calibri" w:hAnsi="Calibri" w:cs="Calibri"/>
                <w:sz w:val="20"/>
                <w:szCs w:val="20"/>
              </w:rPr>
              <w:t>En cours</w:t>
            </w:r>
          </w:p>
        </w:tc>
      </w:tr>
      <w:tr w:rsidR="00D9711D" w:rsidRPr="00EF450F" w14:paraId="2CDB5477" w14:textId="77777777" w:rsidTr="00122BD9">
        <w:trPr>
          <w:trHeight w:val="316"/>
        </w:trPr>
        <w:tc>
          <w:tcPr>
            <w:tcW w:w="846" w:type="dxa"/>
            <w:shd w:val="clear" w:color="auto" w:fill="92D050"/>
          </w:tcPr>
          <w:p w14:paraId="1F430CD8" w14:textId="77777777" w:rsidR="00D9711D" w:rsidRPr="00EF450F" w:rsidRDefault="00D9711D" w:rsidP="00122BD9">
            <w:pPr>
              <w:rPr>
                <w:rFonts w:ascii="Calibri" w:hAnsi="Calibri" w:cs="Calibri"/>
                <w:sz w:val="20"/>
                <w:szCs w:val="20"/>
              </w:rPr>
            </w:pPr>
          </w:p>
        </w:tc>
        <w:tc>
          <w:tcPr>
            <w:tcW w:w="1843" w:type="dxa"/>
          </w:tcPr>
          <w:p w14:paraId="6A507D14" w14:textId="77777777" w:rsidR="00D9711D" w:rsidRPr="00EF450F" w:rsidRDefault="00D9711D" w:rsidP="00122BD9">
            <w:pPr>
              <w:rPr>
                <w:rFonts w:ascii="Calibri" w:hAnsi="Calibri" w:cs="Calibri"/>
                <w:sz w:val="20"/>
                <w:szCs w:val="20"/>
              </w:rPr>
            </w:pPr>
            <w:r w:rsidRPr="00EF450F">
              <w:rPr>
                <w:rFonts w:ascii="Calibri" w:hAnsi="Calibri" w:cs="Calibri"/>
                <w:sz w:val="20"/>
                <w:szCs w:val="20"/>
              </w:rPr>
              <w:t xml:space="preserve">Fait </w:t>
            </w:r>
          </w:p>
        </w:tc>
      </w:tr>
      <w:tr w:rsidR="00D9711D" w:rsidRPr="00EF450F" w14:paraId="6A645FF4" w14:textId="77777777" w:rsidTr="00122BD9">
        <w:trPr>
          <w:trHeight w:val="316"/>
        </w:trPr>
        <w:tc>
          <w:tcPr>
            <w:tcW w:w="846" w:type="dxa"/>
            <w:shd w:val="clear" w:color="auto" w:fill="FFFF00"/>
          </w:tcPr>
          <w:p w14:paraId="754417CB" w14:textId="77777777" w:rsidR="00D9711D" w:rsidRPr="00EF450F" w:rsidRDefault="00D9711D" w:rsidP="00122BD9">
            <w:pPr>
              <w:rPr>
                <w:rFonts w:ascii="Calibri" w:hAnsi="Calibri" w:cs="Calibri"/>
                <w:sz w:val="20"/>
                <w:szCs w:val="20"/>
              </w:rPr>
            </w:pPr>
          </w:p>
        </w:tc>
        <w:tc>
          <w:tcPr>
            <w:tcW w:w="1843" w:type="dxa"/>
          </w:tcPr>
          <w:p w14:paraId="5051BA49" w14:textId="77777777" w:rsidR="00D9711D" w:rsidRPr="00EF450F" w:rsidRDefault="00D9711D" w:rsidP="00122BD9">
            <w:pPr>
              <w:rPr>
                <w:rFonts w:ascii="Calibri" w:hAnsi="Calibri" w:cs="Calibri"/>
                <w:sz w:val="20"/>
                <w:szCs w:val="20"/>
              </w:rPr>
            </w:pPr>
            <w:r w:rsidRPr="00EF450F">
              <w:rPr>
                <w:rFonts w:ascii="Calibri" w:hAnsi="Calibri" w:cs="Calibri"/>
                <w:sz w:val="20"/>
                <w:szCs w:val="20"/>
              </w:rPr>
              <w:t>Version finale</w:t>
            </w:r>
          </w:p>
        </w:tc>
      </w:tr>
    </w:tbl>
    <w:p w14:paraId="2835F1A9" w14:textId="77777777" w:rsidR="00A8008C" w:rsidRDefault="00A8008C">
      <w:pPr>
        <w:rPr>
          <w:rFonts w:ascii="Calibri" w:hAnsi="Calibri" w:cs="Calibri"/>
          <w:sz w:val="20"/>
          <w:szCs w:val="20"/>
        </w:rPr>
      </w:pPr>
    </w:p>
    <w:p w14:paraId="0731C048" w14:textId="3AA006E9" w:rsidR="00D9711D" w:rsidRPr="00EF450F" w:rsidRDefault="00D9711D">
      <w:pPr>
        <w:rPr>
          <w:rFonts w:ascii="Calibri" w:hAnsi="Calibri" w:cs="Calibri"/>
          <w:sz w:val="20"/>
          <w:szCs w:val="20"/>
        </w:rPr>
      </w:pPr>
      <w:r w:rsidRPr="00EF450F">
        <w:rPr>
          <w:rFonts w:ascii="Calibri" w:hAnsi="Calibri" w:cs="Calibri"/>
          <w:sz w:val="20"/>
          <w:szCs w:val="20"/>
        </w:rPr>
        <w:t>Le présent document pourra faire l’objet de modifications ou de compléments en fonction de l’évolution du dossier</w:t>
      </w:r>
      <w:r w:rsidRPr="00EF450F">
        <w:rPr>
          <w:rFonts w:ascii="Calibri" w:hAnsi="Calibri" w:cs="Calibri"/>
          <w:sz w:val="20"/>
          <w:szCs w:val="20"/>
        </w:rPr>
        <w:br w:type="page"/>
      </w:r>
    </w:p>
    <w:p w14:paraId="62E8166B" w14:textId="4FFF11F6" w:rsidR="00D9711D" w:rsidRPr="00EF450F" w:rsidRDefault="00D9711D" w:rsidP="00EC4896">
      <w:pPr>
        <w:pStyle w:val="Sansinterligne"/>
        <w:rPr>
          <w:rFonts w:ascii="Calibri" w:hAnsi="Calibri" w:cs="Calibri"/>
          <w:sz w:val="20"/>
          <w:szCs w:val="20"/>
        </w:rPr>
      </w:pPr>
    </w:p>
    <w:tbl>
      <w:tblPr>
        <w:tblStyle w:val="Grilledutableau1"/>
        <w:tblW w:w="14879" w:type="dxa"/>
        <w:jc w:val="center"/>
        <w:tblLook w:val="04A0" w:firstRow="1" w:lastRow="0" w:firstColumn="1" w:lastColumn="0" w:noHBand="0" w:noVBand="1"/>
      </w:tblPr>
      <w:tblGrid>
        <w:gridCol w:w="576"/>
        <w:gridCol w:w="4948"/>
        <w:gridCol w:w="1417"/>
        <w:gridCol w:w="2446"/>
        <w:gridCol w:w="3924"/>
        <w:gridCol w:w="1568"/>
      </w:tblGrid>
      <w:tr w:rsidR="00DC5B2B" w:rsidRPr="00EF450F" w14:paraId="6B4D9912" w14:textId="77777777" w:rsidTr="00091372">
        <w:trPr>
          <w:tblHeader/>
          <w:jc w:val="center"/>
        </w:trPr>
        <w:tc>
          <w:tcPr>
            <w:tcW w:w="576" w:type="dxa"/>
            <w:shd w:val="clear" w:color="auto" w:fill="676980"/>
          </w:tcPr>
          <w:p w14:paraId="7CB0F9BC" w14:textId="77777777" w:rsidR="00D9711D" w:rsidRPr="00EF450F" w:rsidRDefault="00D9711D" w:rsidP="00122BD9">
            <w:pPr>
              <w:jc w:val="center"/>
              <w:rPr>
                <w:rFonts w:ascii="Calibri" w:eastAsia="Calibri" w:hAnsi="Calibri" w:cs="Calibri"/>
                <w:b/>
                <w:bCs/>
                <w:color w:val="FFFFFF"/>
                <w:sz w:val="20"/>
                <w:szCs w:val="20"/>
              </w:rPr>
            </w:pPr>
          </w:p>
        </w:tc>
        <w:tc>
          <w:tcPr>
            <w:tcW w:w="4948" w:type="dxa"/>
            <w:shd w:val="clear" w:color="auto" w:fill="676980"/>
          </w:tcPr>
          <w:p w14:paraId="2C698C99" w14:textId="77777777" w:rsidR="00D9711D" w:rsidRPr="00EF450F" w:rsidRDefault="00D9711D" w:rsidP="00122BD9">
            <w:pPr>
              <w:jc w:val="center"/>
              <w:rPr>
                <w:rFonts w:ascii="Calibri" w:eastAsia="Calibri" w:hAnsi="Calibri" w:cs="Calibri"/>
                <w:b/>
                <w:bCs/>
                <w:color w:val="FFFFFF"/>
                <w:sz w:val="20"/>
                <w:szCs w:val="20"/>
              </w:rPr>
            </w:pPr>
            <w:r w:rsidRPr="00EF450F">
              <w:rPr>
                <w:rFonts w:ascii="Calibri" w:eastAsia="Calibri" w:hAnsi="Calibri" w:cs="Calibri"/>
                <w:b/>
                <w:bCs/>
                <w:color w:val="FFFFFF"/>
                <w:sz w:val="20"/>
                <w:szCs w:val="20"/>
              </w:rPr>
              <w:t>Etapes - Documents – Formalités</w:t>
            </w:r>
          </w:p>
        </w:tc>
        <w:tc>
          <w:tcPr>
            <w:tcW w:w="1417" w:type="dxa"/>
            <w:shd w:val="clear" w:color="auto" w:fill="676980"/>
          </w:tcPr>
          <w:p w14:paraId="68438140" w14:textId="77777777" w:rsidR="00D9711D" w:rsidRPr="00EF450F" w:rsidRDefault="00D9711D" w:rsidP="00122BD9">
            <w:pPr>
              <w:jc w:val="center"/>
              <w:rPr>
                <w:rFonts w:ascii="Calibri" w:eastAsia="Calibri" w:hAnsi="Calibri" w:cs="Calibri"/>
                <w:b/>
                <w:bCs/>
                <w:color w:val="FFFFFF"/>
                <w:sz w:val="20"/>
                <w:szCs w:val="20"/>
              </w:rPr>
            </w:pPr>
            <w:r w:rsidRPr="00EF450F">
              <w:rPr>
                <w:rFonts w:ascii="Calibri" w:eastAsia="Calibri" w:hAnsi="Calibri" w:cs="Calibri"/>
                <w:b/>
                <w:bCs/>
                <w:color w:val="FFFFFF"/>
                <w:sz w:val="20"/>
                <w:szCs w:val="20"/>
              </w:rPr>
              <w:t>Responsable</w:t>
            </w:r>
          </w:p>
        </w:tc>
        <w:tc>
          <w:tcPr>
            <w:tcW w:w="2446" w:type="dxa"/>
            <w:shd w:val="clear" w:color="auto" w:fill="676980"/>
          </w:tcPr>
          <w:p w14:paraId="00C272E2" w14:textId="77777777" w:rsidR="00D9711D" w:rsidRPr="00EF450F" w:rsidRDefault="00D9711D" w:rsidP="00122BD9">
            <w:pPr>
              <w:jc w:val="center"/>
              <w:rPr>
                <w:rFonts w:ascii="Calibri" w:eastAsia="Calibri" w:hAnsi="Calibri" w:cs="Calibri"/>
                <w:b/>
                <w:bCs/>
                <w:color w:val="FFFFFF"/>
                <w:sz w:val="20"/>
                <w:szCs w:val="20"/>
              </w:rPr>
            </w:pPr>
            <w:proofErr w:type="gramStart"/>
            <w:r w:rsidRPr="00EF450F">
              <w:rPr>
                <w:rFonts w:ascii="Calibri" w:eastAsia="Calibri" w:hAnsi="Calibri" w:cs="Calibri"/>
                <w:b/>
                <w:bCs/>
                <w:color w:val="FFFFFF"/>
                <w:sz w:val="20"/>
                <w:szCs w:val="20"/>
              </w:rPr>
              <w:t>Timing</w:t>
            </w:r>
            <w:proofErr w:type="gramEnd"/>
          </w:p>
        </w:tc>
        <w:tc>
          <w:tcPr>
            <w:tcW w:w="3924" w:type="dxa"/>
            <w:shd w:val="clear" w:color="auto" w:fill="676980"/>
          </w:tcPr>
          <w:p w14:paraId="3EBDFA87" w14:textId="77777777" w:rsidR="00D9711D" w:rsidRPr="00EF450F" w:rsidRDefault="00D9711D" w:rsidP="00122BD9">
            <w:pPr>
              <w:jc w:val="center"/>
              <w:rPr>
                <w:rFonts w:ascii="Calibri" w:eastAsia="Calibri" w:hAnsi="Calibri" w:cs="Calibri"/>
                <w:b/>
                <w:bCs/>
                <w:color w:val="FFFFFF"/>
                <w:sz w:val="20"/>
                <w:szCs w:val="20"/>
              </w:rPr>
            </w:pPr>
            <w:r w:rsidRPr="00EF450F">
              <w:rPr>
                <w:rFonts w:ascii="Calibri" w:eastAsia="Calibri" w:hAnsi="Calibri" w:cs="Calibri"/>
                <w:b/>
                <w:bCs/>
                <w:color w:val="FFFFFF"/>
                <w:sz w:val="20"/>
                <w:szCs w:val="20"/>
              </w:rPr>
              <w:t>Commentaires</w:t>
            </w:r>
          </w:p>
        </w:tc>
        <w:tc>
          <w:tcPr>
            <w:tcW w:w="1568" w:type="dxa"/>
            <w:shd w:val="clear" w:color="auto" w:fill="676980"/>
          </w:tcPr>
          <w:p w14:paraId="1940F040" w14:textId="77777777" w:rsidR="00D9711D" w:rsidRPr="00EF450F" w:rsidRDefault="00D9711D" w:rsidP="00122BD9">
            <w:pPr>
              <w:jc w:val="center"/>
              <w:rPr>
                <w:rFonts w:ascii="Calibri" w:eastAsia="Calibri" w:hAnsi="Calibri" w:cs="Calibri"/>
                <w:b/>
                <w:bCs/>
                <w:color w:val="FFFFFF"/>
                <w:sz w:val="20"/>
                <w:szCs w:val="20"/>
              </w:rPr>
            </w:pPr>
            <w:r w:rsidRPr="00EF450F">
              <w:rPr>
                <w:rFonts w:ascii="Calibri" w:eastAsia="Calibri" w:hAnsi="Calibri" w:cs="Calibri"/>
                <w:b/>
                <w:bCs/>
                <w:color w:val="FFFFFF"/>
                <w:sz w:val="20"/>
                <w:szCs w:val="20"/>
              </w:rPr>
              <w:t>Etat</w:t>
            </w: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1. Etapes Préalables</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Validation du schéma de restructuration et du calendrier de l’opération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Fusion-absorption de ITEST (société absorbée) par AMCAD (société absorbante), sociétés sœurs détenues à 100 % par AEMIS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Choix du régime de la fusion simplifiée (C. com., art. L. 236</w:t>
              <w:noBreakHyphen/>
              <w:t>11)</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Fixation de la date de réalisation (Jour J) et de la date d’effet rétroactif</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AEMIS / 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28 septembre au 2 octobre 2026</w:t>
            </w:r>
          </w:p>
          <w:p>
            <w:pPr>
              <w:jc w:val="center"/>
              <w:rPr>
                <w:rFonts w:ascii="Calibri" w:hAnsi="Calibri" w:cs="Calibri" w:eastAsia="Calibri"/>
                <w:i/>
                <w:iCs/>
                <w:sz w:val="20"/>
                <w:szCs w:val="20"/>
              </w:rPr>
            </w:pPr>
            <w:r>
              <w:rPr>
                <w:rFonts w:ascii="Calibri" w:hAnsi="Calibri" w:cs="Calibri" w:eastAsia="Calibri"/>
                <w:i/>
                <w:iCs/>
                <w:sz w:val="20"/>
                <w:szCs w:val="20"/>
              </w:rPr>
              <w:t>(J – 94 à J – 90)</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Hypothèses retenues : réalisation le 31 décembre 2026 et effet rétroactif comptable et fiscal au 1</w:t>
            </w:r>
            <w:r>
              <w:rPr>
                <w:rFonts w:ascii="Calibri" w:hAnsi="Calibri" w:cs="Calibri" w:eastAsia="Calibri"/>
                <w:sz w:val="20"/>
                <w:szCs w:val="20"/>
                <w:vertAlign w:val="superscript"/>
              </w:rPr>
              <w:t>er</w:t>
            </w:r>
            <w:r>
              <w:rPr>
                <w:rFonts w:ascii="Calibri" w:hAnsi="Calibri" w:cs="Calibri" w:eastAsia="Calibri"/>
                <w:sz w:val="20"/>
                <w:szCs w:val="20"/>
              </w:rPr>
              <w:t xml:space="preserve"> janvier 2026 (C. com., art. L. 236</w:t>
              <w:noBreakHyphen/>
              <w:t>4 et R. 236</w:t>
              <w:noBreakHyphen/>
              <w:t>1, 5°).</w:t>
            </w:r>
          </w:p>
          <w:p>
            <w:pPr>
              <w:jc w:val="both"/>
              <w:rPr>
                <w:rFonts w:ascii="Calibri" w:hAnsi="Calibri" w:cs="Calibri" w:eastAsia="Calibri"/>
                <w:sz w:val="20"/>
                <w:szCs w:val="20"/>
              </w:rPr>
            </w:pPr>
            <w:r>
              <w:rPr>
                <w:rFonts w:ascii="Calibri" w:hAnsi="Calibri" w:cs="Calibri" w:eastAsia="Calibri"/>
                <w:sz w:val="20"/>
                <w:szCs w:val="20"/>
              </w:rPr>
              <w:t>Motifs de l’opération à préciser (simplification de l’organigramme du groupe, réduction des coûts de structure, mutualisation des moyens…).</w:t>
            </w:r>
          </w:p>
        </w:tc>
        <w:tc>
          <w:tcPr>
            <w:tcW w:w="1568" w:type="dxa"/>
            <w:shd w:val="clear" w:color="auto" w:fill="FFC000"/>
            <w:vAlign w:val="center"/>
          </w:tcPr>
          <w:p>
            <w:pPr>
              <w:jc w:val="center"/>
              <w:rPr>
                <w:rFonts w:ascii="Calibri" w:hAnsi="Calibri" w:cs="Calibri" w:eastAsia="Calibri"/>
                <w:i/>
                <w:iCs/>
                <w:sz w:val="20"/>
                <w:szCs w:val="20"/>
              </w:rPr>
            </w:pPr>
            <w:r>
              <w:rPr>
                <w:rFonts w:ascii="Calibri" w:hAnsi="Calibri" w:cs="Calibri" w:eastAsia="Calibri"/>
                <w:i/>
                <w:iCs/>
                <w:sz w:val="20"/>
                <w:szCs w:val="20"/>
              </w:rPr>
              <w:t>En cours</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Audit juridique préalable de AMCAD et de ITEST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Extraits Kbis, statuts à jour, registres des décisions et des mouvements de titres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Comptes annuels approuvés et rapports de gestion des trois derniers exercices (2023, 2024 et 2025)</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Contrats significatifs (clauses intuitu personae, de changement de contrôle ou de résiliation en cas de fusion), baux, sûretés, autorisations administratives, propriété intellectuelle, actifs immobiliers</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 / AMCAD / ITEST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5 au 16 octobre 2026</w:t>
            </w:r>
          </w:p>
          <w:p>
            <w:pPr>
              <w:jc w:val="center"/>
              <w:rPr>
                <w:rFonts w:ascii="Calibri" w:hAnsi="Calibri" w:cs="Calibri" w:eastAsia="Calibri"/>
                <w:i/>
                <w:iCs/>
                <w:sz w:val="20"/>
                <w:szCs w:val="20"/>
              </w:rPr>
            </w:pPr>
            <w:r>
              <w:rPr>
                <w:rFonts w:ascii="Calibri" w:hAnsi="Calibri" w:cs="Calibri" w:eastAsia="Calibri"/>
                <w:i/>
                <w:iCs/>
                <w:sz w:val="20"/>
                <w:szCs w:val="20"/>
              </w:rPr>
              <w:t>(J – 87 à J – 76)</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Vérifier que AEMIS détient la totalité du capital de AMCAD et de ITEST et le détiendra en permanence depuis le dépôt du projet au greffe jusqu’à la réalisation (condition du régime simplifié – C. com., art. L. 236</w:t>
              <w:noBreakHyphen/>
              <w:t>11).</w:t>
            </w:r>
          </w:p>
          <w:p>
            <w:pPr>
              <w:jc w:val="both"/>
              <w:rPr>
                <w:rFonts w:ascii="Calibri" w:hAnsi="Calibri" w:cs="Calibri" w:eastAsia="Calibri"/>
                <w:sz w:val="20"/>
                <w:szCs w:val="20"/>
              </w:rPr>
            </w:pPr>
            <w:r>
              <w:rPr>
                <w:rFonts w:ascii="Calibri" w:hAnsi="Calibri" w:cs="Calibri" w:eastAsia="Calibri"/>
                <w:sz w:val="20"/>
                <w:szCs w:val="20"/>
              </w:rPr>
              <w:t>Vérifier l’absence de valeurs mobilières donnant accès au capital de ITEST : à défaut, requête au Président du tribunal de commerce pour la désignation d’un commissaire aux apports.</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Recensement des autorisations et consentements préalables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Statuts de AMCAD et de ITEST : clause soumettant la fusion à une décision collective des associés (C. com., art. L. 227</w:t>
              <w:noBreakHyphen/>
              <w:t>9)</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Conventions de crédit, nantissements de titres et garanties : accord préalable des établissements bancaires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Cocontractants et bailleurs : accords requis au titre des clauses identifiées lors de l’audit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 / AEMIS</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12 au 23 octobre 2026</w:t>
            </w:r>
          </w:p>
          <w:p>
            <w:pPr>
              <w:jc w:val="center"/>
              <w:rPr>
                <w:rFonts w:ascii="Calibri" w:hAnsi="Calibri" w:cs="Calibri" w:eastAsia="Calibri"/>
                <w:i/>
                <w:iCs/>
                <w:sz w:val="20"/>
                <w:szCs w:val="20"/>
              </w:rPr>
            </w:pPr>
            <w:r>
              <w:rPr>
                <w:rFonts w:ascii="Calibri" w:hAnsi="Calibri" w:cs="Calibri" w:eastAsia="Calibri"/>
                <w:i/>
                <w:iCs/>
                <w:sz w:val="20"/>
                <w:szCs w:val="20"/>
              </w:rPr>
              <w:t>(J – 80 à J – 69)</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Accords à obtenir avant la signature du projet de fusion (J – 45).</w:t>
            </w:r>
          </w:p>
          <w:p>
            <w:pPr>
              <w:jc w:val="both"/>
              <w:rPr>
                <w:rFonts w:ascii="Calibri" w:hAnsi="Calibri" w:cs="Calibri" w:eastAsia="Calibri"/>
                <w:sz w:val="20"/>
                <w:szCs w:val="20"/>
              </w:rPr>
            </w:pPr>
            <w:r>
              <w:rPr>
                <w:rFonts w:ascii="Calibri" w:hAnsi="Calibri" w:cs="Calibri" w:eastAsia="Calibri"/>
                <w:sz w:val="20"/>
                <w:szCs w:val="20"/>
              </w:rPr>
              <w:t>Une clause contractuelle peut autoriser le créancier à exiger le remboursement immédiat de sa créance en cas de fusion (C. com., art. L. 236</w:t>
              <w:noBreakHyphen/>
              <w:t>15, dernier al.).</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Analyse fiscale et comptable de l’opération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Régime fiscal de faveur des fusions (CGI, art. 210 A)</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Évaluation des apports à la valeur comptable (sociétés sous contrôle commun – PCG, titre VII)</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Traitement comptable d’une fusion sans échange de titres chez AMCAD et chez AEMIS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Sort des déficits reportables de ITEST, intégration fiscale éventuelle, TVA</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Expert-comptable / 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12 au 30 octobre 2026</w:t>
            </w:r>
          </w:p>
          <w:p>
            <w:pPr>
              <w:jc w:val="center"/>
              <w:rPr>
                <w:rFonts w:ascii="Calibri" w:hAnsi="Calibri" w:cs="Calibri" w:eastAsia="Calibri"/>
                <w:i/>
                <w:iCs/>
                <w:sz w:val="20"/>
                <w:szCs w:val="20"/>
              </w:rPr>
            </w:pPr>
            <w:r>
              <w:rPr>
                <w:rFonts w:ascii="Calibri" w:hAnsi="Calibri" w:cs="Calibri" w:eastAsia="Calibri"/>
                <w:i/>
                <w:iCs/>
                <w:sz w:val="20"/>
                <w:szCs w:val="20"/>
              </w:rPr>
              <w:t>(J – 80 à J – 62)</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Le transfert à AMCAD des déficits reportables de ITEST est subordonné à un agrément (CGI, art. 209, II), à solliciter avant la réalisation de la fusion.</w:t>
            </w:r>
          </w:p>
          <w:p>
            <w:pPr>
              <w:jc w:val="both"/>
              <w:rPr>
                <w:rFonts w:ascii="Calibri" w:hAnsi="Calibri" w:cs="Calibri" w:eastAsia="Calibri"/>
                <w:sz w:val="20"/>
                <w:szCs w:val="20"/>
              </w:rPr>
            </w:pPr>
            <w:r>
              <w:rPr>
                <w:rFonts w:ascii="Calibri" w:hAnsi="Calibri" w:cs="Calibri" w:eastAsia="Calibri"/>
                <w:sz w:val="20"/>
                <w:szCs w:val="20"/>
              </w:rPr>
              <w:t>Dispense de TVA sur la transmission de l’universalité de biens (CGI, art. 257 bis). Enregistrement gratuit de l’acte de fusion (CGI, art. 816).</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Information-consultation du comité social et économique (CSE) de AMCAD et de ITEST (le cas échéant)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Remise au CSE de la note d’information sur le projet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Recueil de l’avis du CSE de chaque société</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AMCAD / ITEST / 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14 octobre au 13 novembre 2026</w:t>
            </w:r>
          </w:p>
          <w:p>
            <w:pPr>
              <w:jc w:val="center"/>
              <w:rPr>
                <w:rFonts w:ascii="Calibri" w:hAnsi="Calibri" w:cs="Calibri" w:eastAsia="Calibri"/>
                <w:i/>
                <w:iCs/>
                <w:sz w:val="20"/>
                <w:szCs w:val="20"/>
              </w:rPr>
            </w:pPr>
            <w:r>
              <w:rPr>
                <w:rFonts w:ascii="Calibri" w:hAnsi="Calibri" w:cs="Calibri" w:eastAsia="Calibri"/>
                <w:i/>
                <w:iCs/>
                <w:sz w:val="20"/>
                <w:szCs w:val="20"/>
              </w:rPr>
              <w:t>(avant l’arrêté du projet de fusion)</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Consultation obligatoire dans les entreprises d’au moins 50 salariés (C. trav., art. L. 2312</w:t>
              <w:noBreakHyphen/>
              <w:t>8, II, 2°) ; délai d’un mois à défaut d’accord (C. trav., art. R. 2312</w:t>
              <w:noBreakHyphen/>
              <w:t>6). Avis à recueillir avant les décisions des Présidents arrêtant le projet (J – 45).</w:t>
            </w:r>
          </w:p>
          <w:p>
            <w:pPr>
              <w:jc w:val="both"/>
              <w:rPr>
                <w:rFonts w:ascii="Calibri" w:hAnsi="Calibri" w:cs="Calibri" w:eastAsia="Calibri"/>
                <w:sz w:val="20"/>
                <w:szCs w:val="20"/>
              </w:rPr>
            </w:pPr>
            <w:r>
              <w:rPr>
                <w:rFonts w:ascii="Calibri" w:hAnsi="Calibri" w:cs="Calibri" w:eastAsia="Calibri"/>
                <w:sz w:val="20"/>
                <w:szCs w:val="20"/>
              </w:rPr>
              <w:t>Transfert de plein droit des contrats de travail des salariés de ITEST à AMCAD (C. trav., art. L. 1224</w:t>
              <w:noBreakHyphen/>
              <w:t>1).</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both"/>
              <w:rPr>
                <w:rFonts w:ascii="Calibri" w:hAnsi="Calibri" w:cs="Calibri" w:eastAsia="Calibri"/>
                <w:i/>
                <w:iCs/>
                <w:color w:val="000000"/>
                <w:sz w:val="20"/>
                <w:szCs w:val="20"/>
              </w:rPr>
            </w:pPr>
            <w:r>
              <w:rPr>
                <w:rFonts w:ascii="Calibri" w:hAnsi="Calibri" w:cs="Calibri" w:eastAsia="Calibri"/>
                <w:i/>
                <w:iCs/>
                <w:color w:val="000000"/>
                <w:sz w:val="20"/>
                <w:szCs w:val="20"/>
              </w:rPr>
              <w:t>Réservé</w:t>
            </w:r>
          </w:p>
        </w:tc>
        <w:tc>
          <w:tcPr>
            <w:tcW w:w="1417" w:type="dxa"/>
            <w:vAlign w:val="center"/>
          </w:tcPr>
          <w:p>
            <w:pPr>
              <w:jc w:val="center"/>
              <w:rPr>
                <w:rFonts w:ascii="Calibri" w:hAnsi="Calibri" w:cs="Calibri" w:eastAsia="Calibri"/>
                <w:sz w:val="20"/>
                <w:szCs w:val="20"/>
              </w:rPr>
            </w:pPr>
          </w:p>
        </w:tc>
        <w:tc>
          <w:tcPr>
            <w:tcW w:w="2446" w:type="dxa"/>
            <w:vAlign w:val="center"/>
          </w:tcPr>
          <w:p>
            <w:pPr>
              <w:jc w:val="center"/>
              <w:rPr>
                <w:rFonts w:ascii="Calibri" w:hAnsi="Calibri" w:cs="Calibri" w:eastAsia="Calibri"/>
                <w:sz w:val="20"/>
                <w:szCs w:val="20"/>
              </w:rPr>
            </w:pPr>
          </w:p>
        </w:tc>
        <w:tc>
          <w:tcPr>
            <w:tcW w:w="3924" w:type="dxa"/>
            <w:vAlign w:val="center"/>
          </w:tcPr>
          <w:p>
            <w:pPr>
              <w:jc w:val="center"/>
              <w:rPr>
                <w:rFonts w:ascii="Calibri" w:hAnsi="Calibri" w:cs="Calibri" w:eastAsia="Calibri"/>
                <w:sz w:val="20"/>
                <w:szCs w:val="20"/>
              </w:rPr>
            </w:pPr>
          </w:p>
        </w:tc>
        <w:tc>
          <w:tcPr>
            <w:tcW w:w="1568" w:type="dxa"/>
            <w:vAlign w:val="center"/>
          </w:tcPr>
          <w:p>
            <w:pPr>
              <w:jc w:val="center"/>
              <w:rPr>
                <w:rFonts w:ascii="Calibri" w:hAnsi="Calibri" w:cs="Calibri" w:eastAsia="Calibri"/>
                <w:sz w:val="20"/>
                <w:szCs w:val="20"/>
              </w:rPr>
            </w:pP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2. Etape préparatoire : Préparation et rédaction des documents afférents à la Fusion</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Établissement d’un état comptable intermédiaire de AMCAD et de ITEST arrêté au 30 septembre 2026</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Expert-comptable</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Au plus tard le 30 octobre 2026</w:t>
            </w:r>
          </w:p>
          <w:p>
            <w:pPr>
              <w:jc w:val="center"/>
              <w:rPr>
                <w:rFonts w:ascii="Calibri" w:hAnsi="Calibri" w:cs="Calibri" w:eastAsia="Calibri"/>
                <w:i/>
                <w:iCs/>
                <w:sz w:val="20"/>
                <w:szCs w:val="20"/>
              </w:rPr>
            </w:pPr>
            <w:r>
              <w:rPr>
                <w:rFonts w:ascii="Calibri" w:hAnsi="Calibri" w:cs="Calibri" w:eastAsia="Calibri"/>
                <w:i/>
                <w:iCs/>
                <w:sz w:val="20"/>
                <w:szCs w:val="20"/>
              </w:rPr>
              <w:t>(J – 62)</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Requis car les derniers comptes annuels (exercice clos le 31 décembre 2025) se rapportent à un exercice clos plus de six mois avant la date du projet de fusion : l’état comptable doit être arrêté à une date antérieure de moins de trois mois à celle du projet (C. com., art. R. 236</w:t>
              <w:noBreakHyphen/>
              <w:t>4, 4°).</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Rédaction du projet de traité de fusion simplifiée</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Motifs, buts et conditions de la fusion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Désignation et évaluation de l’actif et du passif transmis (valeurs comptables au 31 décembre 2025)</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Date d’effet rétroactif au 1</w:t>
            </w:r>
            <w:r>
              <w:rPr>
                <w:rFonts w:ascii="Calibri" w:hAnsi="Calibri" w:cs="Calibri" w:eastAsia="Calibri"/>
                <w:sz w:val="20"/>
                <w:szCs w:val="20"/>
                <w:vertAlign w:val="superscript"/>
              </w:rPr>
              <w:t>er</w:t>
            </w:r>
            <w:r>
              <w:rPr>
                <w:rFonts w:ascii="Calibri" w:hAnsi="Calibri" w:cs="Calibri" w:eastAsia="Calibri"/>
                <w:sz w:val="20"/>
                <w:szCs w:val="20"/>
              </w:rPr>
              <w:t xml:space="preserve"> janvier 2026 et date de réalisation au 31 décembre 2026</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Déclarations fiscales (CGI, art. 210 A) et engagements de AMCAD</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26 octobre au 6 novembre 2026</w:t>
            </w:r>
          </w:p>
          <w:p>
            <w:pPr>
              <w:jc w:val="center"/>
              <w:rPr>
                <w:rFonts w:ascii="Calibri" w:hAnsi="Calibri" w:cs="Calibri" w:eastAsia="Calibri"/>
                <w:i/>
                <w:iCs/>
                <w:sz w:val="20"/>
                <w:szCs w:val="20"/>
              </w:rPr>
            </w:pPr>
            <w:r>
              <w:rPr>
                <w:rFonts w:ascii="Calibri" w:hAnsi="Calibri" w:cs="Calibri" w:eastAsia="Calibri"/>
                <w:i/>
                <w:iCs/>
                <w:sz w:val="20"/>
                <w:szCs w:val="20"/>
              </w:rPr>
              <w:t>(J – 66 à J – 55)</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Pas d’échange de titres ni d’augmentation de capital de AMCAD, AEMIS détenant la totalité du capital des deux sociétés (C. com., art. L. 236</w:t>
              <w:noBreakHyphen/>
              <w:t>3, II, 3°).</w:t>
            </w:r>
          </w:p>
          <w:p>
            <w:pPr>
              <w:jc w:val="both"/>
              <w:rPr>
                <w:rFonts w:ascii="Calibri" w:hAnsi="Calibri" w:cs="Calibri" w:eastAsia="Calibri"/>
                <w:sz w:val="20"/>
                <w:szCs w:val="20"/>
              </w:rPr>
            </w:pPr>
            <w:r>
              <w:rPr>
                <w:rFonts w:ascii="Calibri" w:hAnsi="Calibri" w:cs="Calibri" w:eastAsia="Calibri"/>
                <w:sz w:val="20"/>
                <w:szCs w:val="20"/>
              </w:rPr>
              <w:t>Le projet ne mentionne ni rapport d’échange, ni modalités de remise des titres, ni date de jouissance (C. com., art. R. 236</w:t>
              <w:noBreakHyphen/>
              <w:t>1, dernier al.).</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Rédaction des décisions du Président de AMCAD et du Président de ITEST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Arrêté des modalités de la fusion et approbation du projet de traité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Pouvoirs pour signer le projet de traité et accomplir les formalités</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2 au 6 novembre 2026</w:t>
            </w:r>
          </w:p>
          <w:p>
            <w:pPr>
              <w:jc w:val="center"/>
              <w:rPr>
                <w:rFonts w:ascii="Calibri" w:hAnsi="Calibri" w:cs="Calibri" w:eastAsia="Calibri"/>
                <w:i/>
                <w:iCs/>
                <w:sz w:val="20"/>
                <w:szCs w:val="20"/>
              </w:rPr>
            </w:pPr>
            <w:r>
              <w:rPr>
                <w:rFonts w:ascii="Calibri" w:hAnsi="Calibri" w:cs="Calibri" w:eastAsia="Calibri"/>
                <w:i/>
                <w:iCs/>
                <w:sz w:val="20"/>
                <w:szCs w:val="20"/>
              </w:rPr>
              <w:t>(J – 59 à J – 55)</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Aucun rapport du Président sur la fusion n’est requis dans le cadre du régime simplifié (C. com., art. L. 236</w:t>
              <w:noBreakHyphen/>
              <w:t>11).</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Rédaction des décisions de l’associé unique (AEMIS) de AMCAD et des statuts mis à jour</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Approbation de la fusion et constatation de sa réalisation définitive</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Mise à jour de l’article « Apports » des statuts et, le cas échéant, extension de l’objet social aux activités de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2 au 13 novembre 2026</w:t>
            </w:r>
          </w:p>
          <w:p>
            <w:pPr>
              <w:jc w:val="center"/>
              <w:rPr>
                <w:rFonts w:ascii="Calibri" w:hAnsi="Calibri" w:cs="Calibri" w:eastAsia="Calibri"/>
                <w:i/>
                <w:iCs/>
                <w:sz w:val="20"/>
                <w:szCs w:val="20"/>
              </w:rPr>
            </w:pPr>
            <w:r>
              <w:rPr>
                <w:rFonts w:ascii="Calibri" w:hAnsi="Calibri" w:cs="Calibri" w:eastAsia="Calibri"/>
                <w:i/>
                <w:iCs/>
                <w:sz w:val="20"/>
                <w:szCs w:val="20"/>
              </w:rPr>
              <w:t>(J – 59 à J – 48)</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Décision facultative mais conseillée ; obligatoire si les statuts de AMCAD le prévoient ou en cas de modification statutaire (extension de l’objet social).</w:t>
            </w:r>
          </w:p>
          <w:p>
            <w:pPr>
              <w:jc w:val="both"/>
              <w:rPr>
                <w:rFonts w:ascii="Calibri" w:hAnsi="Calibri" w:cs="Calibri" w:eastAsia="Calibri"/>
                <w:sz w:val="20"/>
                <w:szCs w:val="20"/>
              </w:rPr>
            </w:pPr>
            <w:r>
              <w:rPr>
                <w:rFonts w:ascii="Calibri" w:hAnsi="Calibri" w:cs="Calibri" w:eastAsia="Calibri"/>
                <w:sz w:val="20"/>
                <w:szCs w:val="20"/>
              </w:rPr>
              <w:t>À défaut, la réalisation définitive est constatée par le Président de AMCAD à la date fixée dans le traité.</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Rédaction de la déclaration de régularité et de conformité et des formalités de publicité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Déclaration de régularité et de conformité (C. com., art. L. 236</w:t>
              <w:noBreakHyphen/>
              <w:t>17 et R. 236</w:t>
              <w:noBreakHyphen/>
              <w:t>16)</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Avis de projet de fusion (BODACC) et avis de fusion et de dissolution (JAL)</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Dossiers de formalités sur le Guichet unique des entreprises (INPI)</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9 au 13 novembre 2026</w:t>
            </w:r>
          </w:p>
          <w:p>
            <w:pPr>
              <w:jc w:val="center"/>
              <w:rPr>
                <w:rFonts w:ascii="Calibri" w:hAnsi="Calibri" w:cs="Calibri" w:eastAsia="Calibri"/>
                <w:i/>
                <w:iCs/>
                <w:sz w:val="20"/>
                <w:szCs w:val="20"/>
              </w:rPr>
            </w:pPr>
            <w:r>
              <w:rPr>
                <w:rFonts w:ascii="Calibri" w:hAnsi="Calibri" w:cs="Calibri" w:eastAsia="Calibri"/>
                <w:i/>
                <w:iCs/>
                <w:sz w:val="20"/>
                <w:szCs w:val="20"/>
              </w:rPr>
              <w:t>(J – 52 à J – 48)</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Déclaration de conformité applicable aux SAS par renvoi aux règles des sociétés anonymes (C. com., art. L. 227</w:t>
              <w:noBreakHyphen/>
              <w:t>1) ; son défaut de dépôt est une cause de nullité de la fusion (C. com., art. L. 236</w:t>
              <w:noBreakHyphen/>
              <w:t>2</w:t>
              <w:noBreakHyphen/>
              <w:t>1).</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Revue et validation des projets par AEMIS, AMCAD, ITEST et l’expert-comptable ; mise en version finale</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AEMIS / AMCAD / ITEST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Au plus tard le 13 novembre 2026</w:t>
            </w:r>
          </w:p>
          <w:p>
            <w:pPr>
              <w:jc w:val="center"/>
              <w:rPr>
                <w:rFonts w:ascii="Calibri" w:hAnsi="Calibri" w:cs="Calibri" w:eastAsia="Calibri"/>
                <w:i/>
                <w:iCs/>
                <w:sz w:val="20"/>
                <w:szCs w:val="20"/>
              </w:rPr>
            </w:pPr>
            <w:r>
              <w:rPr>
                <w:rFonts w:ascii="Calibri" w:hAnsi="Calibri" w:cs="Calibri" w:eastAsia="Calibri"/>
                <w:i/>
                <w:iCs/>
                <w:sz w:val="20"/>
                <w:szCs w:val="20"/>
              </w:rPr>
              <w:t>(J – 48)</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Prévoir un nombre d’originaux suffisant : dépôts aux greffes, enregistrement, archives des sociétés et, le cas échéant, dépôt au rang des minutes d’un notaire.</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both"/>
              <w:rPr>
                <w:rFonts w:ascii="Calibri" w:hAnsi="Calibri" w:cs="Calibri" w:eastAsia="Calibri"/>
                <w:i/>
                <w:iCs/>
                <w:color w:val="000000"/>
                <w:sz w:val="20"/>
                <w:szCs w:val="20"/>
              </w:rPr>
            </w:pPr>
            <w:r>
              <w:rPr>
                <w:rFonts w:ascii="Calibri" w:hAnsi="Calibri" w:cs="Calibri" w:eastAsia="Calibri"/>
                <w:i/>
                <w:iCs/>
                <w:color w:val="000000"/>
                <w:sz w:val="20"/>
                <w:szCs w:val="20"/>
              </w:rPr>
              <w:t>Réservé</w:t>
            </w:r>
          </w:p>
        </w:tc>
        <w:tc>
          <w:tcPr>
            <w:tcW w:w="1417" w:type="dxa"/>
            <w:vAlign w:val="center"/>
          </w:tcPr>
          <w:p>
            <w:pPr>
              <w:jc w:val="center"/>
              <w:rPr>
                <w:rFonts w:ascii="Calibri" w:hAnsi="Calibri" w:cs="Calibri" w:eastAsia="Calibri"/>
                <w:sz w:val="20"/>
                <w:szCs w:val="20"/>
              </w:rPr>
            </w:pPr>
          </w:p>
        </w:tc>
        <w:tc>
          <w:tcPr>
            <w:tcW w:w="2446" w:type="dxa"/>
            <w:vAlign w:val="center"/>
          </w:tcPr>
          <w:p>
            <w:pPr>
              <w:jc w:val="center"/>
              <w:rPr>
                <w:rFonts w:ascii="Calibri" w:hAnsi="Calibri" w:cs="Calibri" w:eastAsia="Calibri"/>
                <w:sz w:val="20"/>
                <w:szCs w:val="20"/>
              </w:rPr>
            </w:pPr>
          </w:p>
        </w:tc>
        <w:tc>
          <w:tcPr>
            <w:tcW w:w="3924" w:type="dxa"/>
            <w:vAlign w:val="center"/>
          </w:tcPr>
          <w:p>
            <w:pPr>
              <w:jc w:val="center"/>
              <w:rPr>
                <w:rFonts w:ascii="Calibri" w:hAnsi="Calibri" w:cs="Calibri" w:eastAsia="Calibri"/>
                <w:sz w:val="20"/>
                <w:szCs w:val="20"/>
              </w:rPr>
            </w:pPr>
          </w:p>
        </w:tc>
        <w:tc>
          <w:tcPr>
            <w:tcW w:w="1568" w:type="dxa"/>
            <w:vAlign w:val="center"/>
          </w:tcPr>
          <w:p>
            <w:pPr>
              <w:jc w:val="center"/>
              <w:rPr>
                <w:rFonts w:ascii="Calibri" w:hAnsi="Calibri" w:cs="Calibri" w:eastAsia="Calibri"/>
                <w:sz w:val="20"/>
                <w:szCs w:val="20"/>
              </w:rPr>
            </w:pP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3. Etape réalisation</w:t>
            </w: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3.1 : Signature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Décisions du Président de ITEST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Arrêté des modalités de la fusion et approbation du projet de traité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Pouvoirs pour signer le projet de traité et accomplir les formalités</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Président de ITEST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Lundi 16 novembre 2026</w:t>
            </w:r>
          </w:p>
          <w:p>
            <w:pPr>
              <w:jc w:val="center"/>
              <w:rPr>
                <w:rFonts w:ascii="Calibri" w:hAnsi="Calibri" w:cs="Calibri" w:eastAsia="Calibri"/>
                <w:i/>
                <w:iCs/>
                <w:sz w:val="20"/>
                <w:szCs w:val="20"/>
              </w:rPr>
            </w:pPr>
            <w:r>
              <w:rPr>
                <w:rFonts w:ascii="Calibri" w:hAnsi="Calibri" w:cs="Calibri" w:eastAsia="Calibri"/>
                <w:i/>
                <w:iCs/>
                <w:sz w:val="20"/>
                <w:szCs w:val="20"/>
              </w:rPr>
              <w:t>(J – 45)</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Délai indicatif (J – 50 ou J – 45). Décisions constatées par procès-verbal reporté au registre des décisions de ITEST.</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Décisions du Président de AMCAD</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Arrêté des modalités de la fusion et approbation du projet de traité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Pouvoirs pour signer le projet de traité et accomplir les formalités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Le cas échéant, établissement du projet de décisions de l’associé unique</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Président de AMCAD</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Lundi 16 novembre 2026</w:t>
            </w:r>
          </w:p>
          <w:p>
            <w:pPr>
              <w:jc w:val="center"/>
              <w:rPr>
                <w:rFonts w:ascii="Calibri" w:hAnsi="Calibri" w:cs="Calibri" w:eastAsia="Calibri"/>
                <w:i/>
                <w:iCs/>
                <w:sz w:val="20"/>
                <w:szCs w:val="20"/>
              </w:rPr>
            </w:pPr>
            <w:r>
              <w:rPr>
                <w:rFonts w:ascii="Calibri" w:hAnsi="Calibri" w:cs="Calibri" w:eastAsia="Calibri"/>
                <w:i/>
                <w:iCs/>
                <w:sz w:val="20"/>
                <w:szCs w:val="20"/>
              </w:rPr>
              <w:t>(J – 45)</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Délai indicatif (J – 50 ou J – 45). Décisions constatées par procès-verbal reporté au registre des décisions de AMCAD.</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Signature du projet de traité de fusion par les Présidents de AMCAD et de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AMCAD / ITEST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Lundi 16 novembre 2026</w:t>
            </w:r>
          </w:p>
          <w:p>
            <w:pPr>
              <w:jc w:val="center"/>
              <w:rPr>
                <w:rFonts w:ascii="Calibri" w:hAnsi="Calibri" w:cs="Calibri" w:eastAsia="Calibri"/>
                <w:i/>
                <w:iCs/>
                <w:sz w:val="20"/>
                <w:szCs w:val="20"/>
              </w:rPr>
            </w:pPr>
            <w:r>
              <w:rPr>
                <w:rFonts w:ascii="Calibri" w:hAnsi="Calibri" w:cs="Calibri" w:eastAsia="Calibri"/>
                <w:i/>
                <w:iCs/>
                <w:sz w:val="20"/>
                <w:szCs w:val="20"/>
              </w:rPr>
              <w:t>(J – 45)</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Signature manuscrite en plusieurs originaux ou signature électronique.</w:t>
            </w:r>
          </w:p>
          <w:p>
            <w:pPr>
              <w:jc w:val="both"/>
              <w:rPr>
                <w:rFonts w:ascii="Calibri" w:hAnsi="Calibri" w:cs="Calibri" w:eastAsia="Calibri"/>
                <w:sz w:val="20"/>
                <w:szCs w:val="20"/>
              </w:rPr>
            </w:pPr>
            <w:r>
              <w:rPr>
                <w:rFonts w:ascii="Calibri" w:hAnsi="Calibri" w:cs="Calibri" w:eastAsia="Calibri"/>
                <w:sz w:val="20"/>
                <w:szCs w:val="20"/>
              </w:rPr>
              <w:t>La date du projet sert de référence pour l’état comptable intermédiaire (C. com., art. R. 236</w:t>
              <w:noBreakHyphen/>
              <w:t>4, 4°).</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3.2 Formalités légales pour faire courir le délai d’opposition</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Dépôt du projet de traité de fusion au greffe du tribunal de commerce du siège de AMCAD et à celui du siège de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Mardi 17 novembre 2026</w:t>
            </w:r>
          </w:p>
          <w:p>
            <w:pPr>
              <w:jc w:val="center"/>
              <w:rPr>
                <w:rFonts w:ascii="Calibri" w:hAnsi="Calibri" w:cs="Calibri" w:eastAsia="Calibri"/>
                <w:i/>
                <w:iCs/>
                <w:sz w:val="20"/>
                <w:szCs w:val="20"/>
              </w:rPr>
            </w:pPr>
            <w:r>
              <w:rPr>
                <w:rFonts w:ascii="Calibri" w:hAnsi="Calibri" w:cs="Calibri" w:eastAsia="Calibri"/>
                <w:i/>
                <w:iCs/>
                <w:sz w:val="20"/>
                <w:szCs w:val="20"/>
              </w:rPr>
              <w:t>(dépôt et publicité au plus tard à J – 30, soit le 1</w:t>
            </w:r>
            <w:r>
              <w:rPr>
                <w:rFonts w:ascii="Calibri" w:hAnsi="Calibri" w:cs="Calibri" w:eastAsia="Calibri"/>
                <w:i/>
                <w:iCs/>
                <w:sz w:val="20"/>
                <w:szCs w:val="20"/>
                <w:vertAlign w:val="superscript"/>
              </w:rPr>
              <w:t>er</w:t>
            </w:r>
            <w:r>
              <w:rPr>
                <w:rFonts w:ascii="Calibri" w:hAnsi="Calibri" w:cs="Calibri" w:eastAsia="Calibri"/>
                <w:i/>
                <w:iCs/>
                <w:sz w:val="20"/>
                <w:szCs w:val="20"/>
              </w:rPr>
              <w:t xml:space="preserve"> décembre 2026)</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Dépôt via le Guichet unique (INPI). Délai légal : dépôt au greffe et publicité au moins 30 jours avant la prise d’effet de l’opération (C. com., art. L. 236</w:t>
              <w:noBreakHyphen/>
              <w:t>6 et R. 236</w:t>
              <w:noBreakHyphen/>
              <w:t>2, dernier al.).</w:t>
            </w:r>
          </w:p>
          <w:p>
            <w:pPr>
              <w:jc w:val="both"/>
              <w:rPr>
                <w:rFonts w:ascii="Calibri" w:hAnsi="Calibri" w:cs="Calibri" w:eastAsia="Calibri"/>
                <w:sz w:val="20"/>
                <w:szCs w:val="20"/>
              </w:rPr>
            </w:pPr>
            <w:r>
              <w:rPr>
                <w:rFonts w:ascii="Calibri" w:hAnsi="Calibri" w:cs="Calibri" w:eastAsia="Calibri"/>
                <w:sz w:val="20"/>
                <w:szCs w:val="20"/>
              </w:rPr>
              <w:t>Un dépôt anticipé permet de sécuriser la parution au BODACC et l’expiration du délai d’opposition avant le Jour J.</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Publication au BODACC d’un avis de projet de fusion pour chacune des sociétés</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Greffe / 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Semaine du 23 novembre 2026</w:t>
            </w:r>
          </w:p>
          <w:p>
            <w:pPr>
              <w:jc w:val="center"/>
              <w:rPr>
                <w:rFonts w:ascii="Calibri" w:hAnsi="Calibri" w:cs="Calibri" w:eastAsia="Calibri"/>
                <w:i/>
                <w:iCs/>
                <w:sz w:val="20"/>
                <w:szCs w:val="20"/>
              </w:rPr>
            </w:pPr>
            <w:r>
              <w:rPr>
                <w:rFonts w:ascii="Calibri" w:hAnsi="Calibri" w:cs="Calibri" w:eastAsia="Calibri"/>
                <w:i/>
                <w:iCs/>
                <w:sz w:val="20"/>
                <w:szCs w:val="20"/>
              </w:rPr>
              <w:t>(délai légal : au plus tard J – 30, soit le 1</w:t>
            </w:r>
            <w:r>
              <w:rPr>
                <w:rFonts w:ascii="Calibri" w:hAnsi="Calibri" w:cs="Calibri" w:eastAsia="Calibri"/>
                <w:i/>
                <w:iCs/>
                <w:sz w:val="20"/>
                <w:szCs w:val="20"/>
                <w:vertAlign w:val="superscript"/>
              </w:rPr>
              <w:t>er</w:t>
            </w:r>
            <w:r>
              <w:rPr>
                <w:rFonts w:ascii="Calibri" w:hAnsi="Calibri" w:cs="Calibri" w:eastAsia="Calibri"/>
                <w:i/>
                <w:iCs/>
                <w:sz w:val="20"/>
                <w:szCs w:val="20"/>
              </w:rPr>
              <w:t xml:space="preserve"> décembre 2026)</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Avis transmis au BODACC par le greffe, comportant les mentions de l’article R. 236</w:t>
              <w:noBreakHyphen/>
              <w:t>2 du Code de commerce. Pas de publication au BALO (sociétés non cotées, actions nominatives).</w:t>
            </w:r>
          </w:p>
          <w:p>
            <w:pPr>
              <w:spacing w:after="60"/>
              <w:jc w:val="both"/>
              <w:rPr>
                <w:rFonts w:ascii="Calibri" w:hAnsi="Calibri" w:cs="Calibri" w:eastAsia="Calibri"/>
                <w:sz w:val="20"/>
                <w:szCs w:val="20"/>
              </w:rPr>
            </w:pPr>
            <w:r>
              <w:rPr>
                <w:rFonts w:ascii="Calibri" w:hAnsi="Calibri" w:cs="Calibri" w:eastAsia="Calibri"/>
                <w:sz w:val="20"/>
                <w:szCs w:val="20"/>
              </w:rPr>
              <w:t>Alternative : publication du projet sur le site internet de chaque société (C. com., art. R. 236</w:t>
              <w:noBreakHyphen/>
              <w:t>3).</w:t>
            </w:r>
          </w:p>
          <w:p>
            <w:pPr>
              <w:jc w:val="both"/>
              <w:rPr>
                <w:rFonts w:ascii="Calibri" w:hAnsi="Calibri" w:cs="Calibri" w:eastAsia="Calibri"/>
                <w:sz w:val="20"/>
                <w:szCs w:val="20"/>
              </w:rPr>
            </w:pPr>
            <w:r>
              <w:rPr>
                <w:rFonts w:ascii="Calibri" w:hAnsi="Calibri" w:cs="Calibri" w:eastAsia="Calibri"/>
                <w:sz w:val="20"/>
                <w:szCs w:val="20"/>
              </w:rPr>
              <w:t>La faculté pour les actionnaires détenant 5 % du capital de AMCAD de demander la convocation d’une AGE est sans objet, AEMIS étant associé unique (C. com., art. L. 236</w:t>
              <w:noBreakHyphen/>
              <w:t>11 et R. 236</w:t>
              <w:noBreakHyphen/>
              <w:t>8).</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Mise à disposition au siège social de AMCAD et de ITEST des documents d’information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Projet de traité de fusion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Comptes annuels approuvés et rapports de gestion des exercices 2023, 2024 et 2025</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États comptables intermédiaires au 30 septembre 2026</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AMCAD / ITEST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À compter du 17 novembre 2026</w:t>
            </w:r>
          </w:p>
          <w:p>
            <w:pPr>
              <w:jc w:val="center"/>
              <w:rPr>
                <w:rFonts w:ascii="Calibri" w:hAnsi="Calibri" w:cs="Calibri" w:eastAsia="Calibri"/>
                <w:i/>
                <w:iCs/>
                <w:sz w:val="20"/>
                <w:szCs w:val="20"/>
              </w:rPr>
            </w:pPr>
            <w:r>
              <w:rPr>
                <w:rFonts w:ascii="Calibri" w:hAnsi="Calibri" w:cs="Calibri" w:eastAsia="Calibri"/>
                <w:i/>
                <w:iCs/>
                <w:sz w:val="20"/>
                <w:szCs w:val="20"/>
              </w:rPr>
              <w:t>(au plus tard J – 30, soit le 1</w:t>
            </w:r>
            <w:r>
              <w:rPr>
                <w:rFonts w:ascii="Calibri" w:hAnsi="Calibri" w:cs="Calibri" w:eastAsia="Calibri"/>
                <w:i/>
                <w:iCs/>
                <w:sz w:val="20"/>
                <w:szCs w:val="20"/>
                <w:vertAlign w:val="superscript"/>
              </w:rPr>
              <w:t>er</w:t>
            </w:r>
            <w:r>
              <w:rPr>
                <w:rFonts w:ascii="Calibri" w:hAnsi="Calibri" w:cs="Calibri" w:eastAsia="Calibri"/>
                <w:i/>
                <w:iCs/>
                <w:sz w:val="20"/>
                <w:szCs w:val="20"/>
              </w:rPr>
              <w:t xml:space="preserve"> décembre 2026)</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Documents tenus à disposition 30 jours au moins avant la date à laquelle l’organe compétent se prononce (C. com., art. R. 236</w:t>
              <w:noBreakHyphen/>
              <w:t>4). Ni rapport du Président, ni rapport de commissaire à la fusion (C. com., art. L. 236</w:t>
              <w:noBreakHyphen/>
              <w:t>11).</w:t>
            </w:r>
          </w:p>
          <w:p>
            <w:pPr>
              <w:jc w:val="both"/>
              <w:rPr>
                <w:rFonts w:ascii="Calibri" w:hAnsi="Calibri" w:cs="Calibri" w:eastAsia="Calibri"/>
                <w:sz w:val="20"/>
                <w:szCs w:val="20"/>
              </w:rPr>
            </w:pPr>
            <w:r>
              <w:rPr>
                <w:rFonts w:ascii="Calibri" w:hAnsi="Calibri" w:cs="Calibri" w:eastAsia="Calibri"/>
                <w:sz w:val="20"/>
                <w:szCs w:val="20"/>
              </w:rPr>
              <w:t>Copie délivrée sans frais à l’associé sur simple demande.</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Délai d’opposition des créanciers non obligataires de AMCAD et de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 (suivi)</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27 novembre au 28 décembre 2026</w:t>
            </w:r>
          </w:p>
          <w:p>
            <w:pPr>
              <w:jc w:val="center"/>
              <w:rPr>
                <w:rFonts w:ascii="Calibri" w:hAnsi="Calibri" w:cs="Calibri" w:eastAsia="Calibri"/>
                <w:i/>
                <w:iCs/>
                <w:sz w:val="20"/>
                <w:szCs w:val="20"/>
              </w:rPr>
            </w:pPr>
            <w:r>
              <w:rPr>
                <w:rFonts w:ascii="Calibri" w:hAnsi="Calibri" w:cs="Calibri" w:eastAsia="Calibri"/>
                <w:i/>
                <w:iCs/>
                <w:sz w:val="20"/>
                <w:szCs w:val="20"/>
              </w:rPr>
              <w:t>(30 jours à compter de la dernière insertion au BODACC – hypothèse : parution le 27 novembre 2026)</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L’opposition est portée devant le tribunal de commerce et n’interdit pas la poursuite de la fusion (C. com., art. L. 236</w:t>
              <w:noBreakHyphen/>
              <w:t>15 et R. 236</w:t>
              <w:noBreakHyphen/>
              <w:t>11).</w:t>
            </w:r>
          </w:p>
          <w:p>
            <w:pPr>
              <w:jc w:val="both"/>
              <w:rPr>
                <w:rFonts w:ascii="Calibri" w:hAnsi="Calibri" w:cs="Calibri" w:eastAsia="Calibri"/>
                <w:sz w:val="20"/>
                <w:szCs w:val="20"/>
              </w:rPr>
            </w:pPr>
            <w:r>
              <w:rPr>
                <w:rFonts w:ascii="Calibri" w:hAnsi="Calibri" w:cs="Calibri" w:eastAsia="Calibri"/>
                <w:sz w:val="20"/>
                <w:szCs w:val="20"/>
              </w:rPr>
              <w:t>Dates à recalculer selon la parution effective au BODACC (échéance tombant un dimanche reportée au premier jour ouvrable).</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Transmission à l’associé unique (AEMIS) du projet de décisions de l’associé unique de AMCAD et, le cas échéant, information du commissaire aux comptes de AMCAD</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Président de AMCAD</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Mercredi 16 décembre 2026</w:t>
            </w:r>
          </w:p>
          <w:p>
            <w:pPr>
              <w:jc w:val="center"/>
              <w:rPr>
                <w:rFonts w:ascii="Calibri" w:hAnsi="Calibri" w:cs="Calibri" w:eastAsia="Calibri"/>
                <w:i/>
                <w:iCs/>
                <w:sz w:val="20"/>
                <w:szCs w:val="20"/>
              </w:rPr>
            </w:pPr>
            <w:r>
              <w:rPr>
                <w:rFonts w:ascii="Calibri" w:hAnsi="Calibri" w:cs="Calibri" w:eastAsia="Calibri"/>
                <w:i/>
                <w:iCs/>
                <w:sz w:val="20"/>
                <w:szCs w:val="20"/>
              </w:rPr>
              <w:t>(J – 15)</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Délai de 15 jours prévu pour la convocation des associés et du commissaire aux comptes lorsqu’une décision collective est organisée. En présence d’un associé unique, la décision est prise par acte unilatéral, sans convocation formelle.</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Le cas échéant, dépôt au siège social de AMCAD du rapport du commissaire aux apports</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Commissaire aux apports</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Mercredi 23 décembre 2026</w:t>
            </w:r>
          </w:p>
          <w:p>
            <w:pPr>
              <w:jc w:val="center"/>
              <w:rPr>
                <w:rFonts w:ascii="Calibri" w:hAnsi="Calibri" w:cs="Calibri" w:eastAsia="Calibri"/>
                <w:i/>
                <w:iCs/>
                <w:sz w:val="20"/>
                <w:szCs w:val="20"/>
              </w:rPr>
            </w:pPr>
            <w:r>
              <w:rPr>
                <w:rFonts w:ascii="Calibri" w:hAnsi="Calibri" w:cs="Calibri" w:eastAsia="Calibri"/>
                <w:i/>
                <w:iCs/>
                <w:sz w:val="20"/>
                <w:szCs w:val="20"/>
              </w:rPr>
              <w:t>(J – 8)</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Uniquement si ITEST a émis des valeurs mobilières donnant accès au capital (cf. audit préalable). Le dépôt au greffe n’est pas nécessaire.</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Vérification de l’absence d’opposition et obtention d’un certificat de non-opposition auprès du greffe de chaque société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Confirmation du maintien de la détention de 100 % du capital de AMCAD et de ITEST par AEMIS</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29 et 30 décembre 2026</w:t>
            </w:r>
          </w:p>
          <w:p>
            <w:pPr>
              <w:jc w:val="center"/>
              <w:rPr>
                <w:rFonts w:ascii="Calibri" w:hAnsi="Calibri" w:cs="Calibri" w:eastAsia="Calibri"/>
                <w:i/>
                <w:iCs/>
                <w:sz w:val="20"/>
                <w:szCs w:val="20"/>
              </w:rPr>
            </w:pPr>
            <w:r>
              <w:rPr>
                <w:rFonts w:ascii="Calibri" w:hAnsi="Calibri" w:cs="Calibri" w:eastAsia="Calibri"/>
                <w:i/>
                <w:iCs/>
                <w:sz w:val="20"/>
                <w:szCs w:val="20"/>
              </w:rPr>
              <w:t>(J – 2 à J – 1)</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En cas d’opposition, le tribunal la rejette ou ordonne le remboursement de la créance ou la constitution de garanties ; à défaut, la fusion est inopposable au créancier concerné (C. com., art. L. 236</w:t>
              <w:noBreakHyphen/>
              <w:t>15).</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3.3 Réalisation définitive de la Fusion (Jour J)</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Décisions de l’associé unique (AEMIS) de AMCAD</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Approbation de la fusion et de l’évaluation des apports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Constatation de la réalisation définitive de la fusion et de la dissolution sans liquidation de ITEST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Modification corrélative des statuts de AMCAD</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AEMIS</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Jeudi 31 décembre 2026</w:t>
            </w:r>
          </w:p>
          <w:p>
            <w:pPr>
              <w:jc w:val="center"/>
              <w:rPr>
                <w:rFonts w:ascii="Calibri" w:hAnsi="Calibri" w:cs="Calibri" w:eastAsia="Calibri"/>
                <w:i/>
                <w:iCs/>
                <w:sz w:val="20"/>
                <w:szCs w:val="20"/>
              </w:rPr>
            </w:pPr>
            <w:r>
              <w:rPr>
                <w:rFonts w:ascii="Calibri" w:hAnsi="Calibri" w:cs="Calibri" w:eastAsia="Calibri"/>
                <w:i/>
                <w:iCs/>
                <w:sz w:val="20"/>
                <w:szCs w:val="20"/>
              </w:rPr>
              <w:t>(Jour J)</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Transmission universelle du patrimoine de ITEST à AMCAD et dissolution sans liquidation de ITEST (C. com., art. L. 236</w:t>
              <w:noBreakHyphen/>
              <w:t>3, I).</w:t>
            </w:r>
          </w:p>
          <w:p>
            <w:pPr>
              <w:jc w:val="both"/>
              <w:rPr>
                <w:rFonts w:ascii="Calibri" w:hAnsi="Calibri" w:cs="Calibri" w:eastAsia="Calibri"/>
                <w:sz w:val="20"/>
                <w:szCs w:val="20"/>
              </w:rPr>
            </w:pPr>
            <w:r>
              <w:rPr>
                <w:rFonts w:ascii="Calibri" w:hAnsi="Calibri" w:cs="Calibri" w:eastAsia="Calibri"/>
                <w:sz w:val="20"/>
                <w:szCs w:val="20"/>
              </w:rPr>
              <w:t>Décision facultative : à défaut, la réalisation est constatée par décision du Président de AMCAD.</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Signature de la déclaration de régularité et de conformité par les Présidents de AMCAD et de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Présidents de AMCAD et de ITEST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Jeudi 31 décembre 2026</w:t>
            </w:r>
          </w:p>
          <w:p>
            <w:pPr>
              <w:jc w:val="center"/>
              <w:rPr>
                <w:rFonts w:ascii="Calibri" w:hAnsi="Calibri" w:cs="Calibri" w:eastAsia="Calibri"/>
                <w:i/>
                <w:iCs/>
                <w:sz w:val="20"/>
                <w:szCs w:val="20"/>
              </w:rPr>
            </w:pPr>
            <w:r>
              <w:rPr>
                <w:rFonts w:ascii="Calibri" w:hAnsi="Calibri" w:cs="Calibri" w:eastAsia="Calibri"/>
                <w:i/>
                <w:iCs/>
                <w:sz w:val="20"/>
                <w:szCs w:val="20"/>
              </w:rPr>
              <w:t>(Jour J)</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Déclaration relatant tous les actes effectués en vue de la fusion et affirmant sa conformité aux lois et règlements (C. com., art. L. 236</w:t>
              <w:noBreakHyphen/>
              <w:t>17 et R. 236</w:t>
              <w:noBreakHyphen/>
              <w:t>16).</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Certification conforme des statuts mis à jour de AMCAD et report des décisions aux registres de AMCAD et de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Président de AMCAD</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Jeudi 31 décembre 2026</w:t>
            </w:r>
          </w:p>
          <w:p>
            <w:pPr>
              <w:jc w:val="center"/>
              <w:rPr>
                <w:rFonts w:ascii="Calibri" w:hAnsi="Calibri" w:cs="Calibri" w:eastAsia="Calibri"/>
                <w:i/>
                <w:iCs/>
                <w:sz w:val="20"/>
                <w:szCs w:val="20"/>
              </w:rPr>
            </w:pPr>
            <w:r>
              <w:rPr>
                <w:rFonts w:ascii="Calibri" w:hAnsi="Calibri" w:cs="Calibri" w:eastAsia="Calibri"/>
                <w:i/>
                <w:iCs/>
                <w:sz w:val="20"/>
                <w:szCs w:val="20"/>
              </w:rPr>
              <w:t>(Jour J)</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Statuts certifiés conformes à joindre au dossier d’inscription modificative de AMCAD.</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3.4 Formalités légales : Radiation et post réalisation de la Fusion</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Publication dans un journal d’annonces légales (JAL) du département du siège de chaque société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Avis de fusion pour AMCAD</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Avis de dissolution sans liquidation pour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Du 4 au 8 janvier 2027</w:t>
            </w:r>
          </w:p>
          <w:p>
            <w:pPr>
              <w:jc w:val="center"/>
              <w:rPr>
                <w:rFonts w:ascii="Calibri" w:hAnsi="Calibri" w:cs="Calibri" w:eastAsia="Calibri"/>
                <w:i/>
                <w:iCs/>
                <w:sz w:val="20"/>
                <w:szCs w:val="20"/>
              </w:rPr>
            </w:pPr>
            <w:r>
              <w:rPr>
                <w:rFonts w:ascii="Calibri" w:hAnsi="Calibri" w:cs="Calibri" w:eastAsia="Calibri"/>
                <w:i/>
                <w:iCs/>
                <w:sz w:val="20"/>
                <w:szCs w:val="20"/>
              </w:rPr>
              <w:t>(J + 4 à J + 8)</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Attestations de parution à joindre aux dossiers d’inscription modificative et de radiation.</w:t>
            </w:r>
          </w:p>
          <w:p>
            <w:pPr>
              <w:jc w:val="both"/>
              <w:rPr>
                <w:rFonts w:ascii="Calibri" w:hAnsi="Calibri" w:cs="Calibri" w:eastAsia="Calibri"/>
                <w:sz w:val="20"/>
                <w:szCs w:val="20"/>
              </w:rPr>
            </w:pPr>
            <w:r>
              <w:rPr>
                <w:rFonts w:ascii="Calibri" w:hAnsi="Calibri" w:cs="Calibri" w:eastAsia="Calibri"/>
                <w:sz w:val="20"/>
                <w:szCs w:val="20"/>
              </w:rPr>
              <w:t>La première publication fait courir le délai de 60 jours des obligations déclaratives fiscales de ITEST.</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Le cas échéant, dépôt du traité de fusion au rang des minutes d’un notaire</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Notaire</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Mardi 5 janvier 2027</w:t>
            </w:r>
          </w:p>
          <w:p>
            <w:pPr>
              <w:jc w:val="center"/>
              <w:rPr>
                <w:rFonts w:ascii="Calibri" w:hAnsi="Calibri" w:cs="Calibri" w:eastAsia="Calibri"/>
                <w:i/>
                <w:iCs/>
                <w:sz w:val="20"/>
                <w:szCs w:val="20"/>
              </w:rPr>
            </w:pPr>
            <w:r>
              <w:rPr>
                <w:rFonts w:ascii="Calibri" w:hAnsi="Calibri" w:cs="Calibri" w:eastAsia="Calibri"/>
                <w:i/>
                <w:iCs/>
                <w:sz w:val="20"/>
                <w:szCs w:val="20"/>
              </w:rPr>
              <w:t>(J + 5)</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Uniquement si le patrimoine de ITEST comprend des immeubles ou droits immobiliers : formalités de publicité foncière au nom de AMCAD.</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Enregistrement de l’acte constatant la fusion auprès du service de l’enregistrement compétent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Au plus tard le 29 janvier 2027</w:t>
            </w:r>
          </w:p>
          <w:p>
            <w:pPr>
              <w:jc w:val="center"/>
              <w:rPr>
                <w:rFonts w:ascii="Calibri" w:hAnsi="Calibri" w:cs="Calibri" w:eastAsia="Calibri"/>
                <w:i/>
                <w:iCs/>
                <w:sz w:val="20"/>
                <w:szCs w:val="20"/>
              </w:rPr>
            </w:pPr>
            <w:r>
              <w:rPr>
                <w:rFonts w:ascii="Calibri" w:hAnsi="Calibri" w:cs="Calibri" w:eastAsia="Calibri"/>
                <w:i/>
                <w:iCs/>
                <w:sz w:val="20"/>
                <w:szCs w:val="20"/>
              </w:rPr>
              <w:t>(J + 30)</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Quatre exemplaires ou copies certifiées conformes par le Président du procès-verbal des décisions de l’associé unique de AMCAD (à défaut, du traité de fusion ou de la décision du Président).</w:t>
            </w:r>
          </w:p>
          <w:p>
            <w:pPr>
              <w:jc w:val="both"/>
              <w:rPr>
                <w:rFonts w:ascii="Calibri" w:hAnsi="Calibri" w:cs="Calibri" w:eastAsia="Calibri"/>
                <w:sz w:val="20"/>
                <w:szCs w:val="20"/>
              </w:rPr>
            </w:pPr>
            <w:r>
              <w:rPr>
                <w:rFonts w:ascii="Calibri" w:hAnsi="Calibri" w:cs="Calibri" w:eastAsia="Calibri"/>
                <w:sz w:val="20"/>
                <w:szCs w:val="20"/>
              </w:rPr>
              <w:t>Enregistrement gratuit (CGI, art. 816).</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Dépôt au greffe du tribunal de commerce du siège de AMCAD – inscription modificative au RCS (Guichet unique)</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Déclaration de régularité et de conformité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Exemplaire du traité de fusion et de ses annexes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Procès-verbal enregistré des décisions de l’associé unique (le cas échéant)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Statuts mis à jour certifiés conformes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Attestation de parution de l’avis de fusion dans un JAL</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Au plus tard le 29 janvier 2027</w:t>
            </w:r>
          </w:p>
          <w:p>
            <w:pPr>
              <w:jc w:val="center"/>
              <w:rPr>
                <w:rFonts w:ascii="Calibri" w:hAnsi="Calibri" w:cs="Calibri" w:eastAsia="Calibri"/>
                <w:i/>
                <w:iCs/>
                <w:sz w:val="20"/>
                <w:szCs w:val="20"/>
              </w:rPr>
            </w:pPr>
            <w:r>
              <w:rPr>
                <w:rFonts w:ascii="Calibri" w:hAnsi="Calibri" w:cs="Calibri" w:eastAsia="Calibri"/>
                <w:i/>
                <w:iCs/>
                <w:sz w:val="20"/>
                <w:szCs w:val="20"/>
              </w:rPr>
              <w:t>(J + 30)</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Déclaration de conformité déposée avec la demande d’inscription modificative de la société absorbante (C. com., art. R. 236</w:t>
              <w:noBreakHyphen/>
              <w:t>16).</w:t>
            </w:r>
          </w:p>
          <w:p>
            <w:pPr>
              <w:jc w:val="both"/>
              <w:rPr>
                <w:rFonts w:ascii="Calibri" w:hAnsi="Calibri" w:cs="Calibri" w:eastAsia="Calibri"/>
                <w:sz w:val="20"/>
                <w:szCs w:val="20"/>
              </w:rPr>
            </w:pPr>
            <w:r>
              <w:rPr>
                <w:rFonts w:ascii="Calibri" w:hAnsi="Calibri" w:cs="Calibri" w:eastAsia="Calibri"/>
                <w:sz w:val="20"/>
                <w:szCs w:val="20"/>
              </w:rPr>
              <w:t>Mêmes pièces, que les sièges de AMCAD et de ITEST relèvent ou non du même greffe.</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Radiation de ITEST du RCS (Guichet unique)</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Copie de la déclaration de régularité et de conformité</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Attestation de parution de l’avis de dissolution dans un JAL</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Au plus tard le 29 janvier 2027</w:t>
            </w:r>
          </w:p>
          <w:p>
            <w:pPr>
              <w:jc w:val="center"/>
              <w:rPr>
                <w:rFonts w:ascii="Calibri" w:hAnsi="Calibri" w:cs="Calibri" w:eastAsia="Calibri"/>
                <w:i/>
                <w:iCs/>
                <w:sz w:val="20"/>
                <w:szCs w:val="20"/>
              </w:rPr>
            </w:pPr>
            <w:r>
              <w:rPr>
                <w:rFonts w:ascii="Calibri" w:hAnsi="Calibri" w:cs="Calibri" w:eastAsia="Calibri"/>
                <w:i/>
                <w:iCs/>
                <w:sz w:val="20"/>
                <w:szCs w:val="20"/>
              </w:rPr>
              <w:t>(J + 30)</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Copie de la déclaration de conformité déposée au greffe du siège de ITEST (C. com., art. R. 236</w:t>
              <w:noBreakHyphen/>
              <w:t>16).</w:t>
            </w:r>
          </w:p>
          <w:p>
            <w:pPr>
              <w:jc w:val="both"/>
              <w:rPr>
                <w:rFonts w:ascii="Calibri" w:hAnsi="Calibri" w:cs="Calibri" w:eastAsia="Calibri"/>
                <w:sz w:val="20"/>
                <w:szCs w:val="20"/>
              </w:rPr>
            </w:pPr>
            <w:r>
              <w:rPr>
                <w:rFonts w:ascii="Calibri" w:hAnsi="Calibri" w:cs="Calibri" w:eastAsia="Calibri"/>
                <w:sz w:val="20"/>
                <w:szCs w:val="20"/>
              </w:rPr>
              <w:t>La formalité dématérialisée sur le Guichet unique remplace l’ancien imprimé M4.</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Réception de l’extrait Kbis à jour de AMCAD et de la confirmation de radiation de ITEST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Greffe / Cabinet</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Février 2027</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Insertions au BODACC effectuées par le greffe (modification de AMCAD, radiation de ITEST).</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jc w:val="center"/>
        </w:trPr>
        <w:tc>
          <w:tcPr>
            <w:tcW w:w="576" w:type="dxa"/>
            <w:shd w:val="clear" w:color="auto" w:fill="A0A1B2"/>
          </w:tcPr>
          <w:p>
            <w:pPr>
              <w:keepNext/>
              <w:jc w:val="center"/>
              <w:rPr>
                <w:rFonts w:ascii="Calibri" w:hAnsi="Calibri" w:cs="Calibri" w:eastAsia="Calibri"/>
                <w:b/>
                <w:bCs/>
                <w:color w:val="FFFFFF"/>
                <w:sz w:val="20"/>
                <w:szCs w:val="20"/>
              </w:rPr>
            </w:pPr>
          </w:p>
        </w:tc>
        <w:tc>
          <w:tcPr>
            <w:tcW w:w="14303" w:type="dxa"/>
            <w:gridSpan w:val="5"/>
            <w:shd w:val="clear" w:color="auto" w:fill="A0A1B2"/>
          </w:tcPr>
          <w:p>
            <w:pPr>
              <w:keepNext/>
              <w:jc w:val="center"/>
              <w:rPr>
                <w:rFonts w:ascii="Calibri" w:hAnsi="Calibri" w:cs="Calibri" w:eastAsia="Calibri"/>
                <w:b/>
                <w:bCs/>
                <w:color w:val="FFFFFF"/>
                <w:sz w:val="20"/>
                <w:szCs w:val="20"/>
              </w:rPr>
            </w:pPr>
            <w:r>
              <w:rPr>
                <w:rFonts w:ascii="Calibri" w:hAnsi="Calibri" w:cs="Calibri" w:eastAsia="Calibri"/>
                <w:b/>
                <w:bCs/>
                <w:color w:val="FFFFFF"/>
                <w:sz w:val="20"/>
                <w:szCs w:val="20"/>
              </w:rPr>
              <w:t>4. Suites de l’opération : obligations fiscales, comptables, sociales et opérationnelles</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Obligations déclaratives fiscales de ITEST consécutives à la fusion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Déclaration de résultats de cessation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Déclarations de TVA de clôture et, le cas échéant, transfert du crédit de TVA à AMCAD</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Expert-comptable</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Début mars 2027</w:t>
            </w:r>
          </w:p>
          <w:p>
            <w:pPr>
              <w:jc w:val="center"/>
              <w:rPr>
                <w:rFonts w:ascii="Calibri" w:hAnsi="Calibri" w:cs="Calibri" w:eastAsia="Calibri"/>
                <w:i/>
                <w:iCs/>
                <w:sz w:val="20"/>
                <w:szCs w:val="20"/>
              </w:rPr>
            </w:pPr>
            <w:r>
              <w:rPr>
                <w:rFonts w:ascii="Calibri" w:hAnsi="Calibri" w:cs="Calibri" w:eastAsia="Calibri"/>
                <w:i/>
                <w:iCs/>
                <w:sz w:val="20"/>
                <w:szCs w:val="20"/>
              </w:rPr>
              <w:t>(60 jours à compter de la première publication au JAL)</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Déclaration à souscrire dans les 60 jours de la première publication au JAL (CGI, art. 201, 3 et 221, 2). Compte tenu de l’effet rétroactif, les résultats de ITEST réalisés depuis le 1</w:t>
            </w:r>
            <w:r>
              <w:rPr>
                <w:rFonts w:ascii="Calibri" w:hAnsi="Calibri" w:cs="Calibri" w:eastAsia="Calibri"/>
                <w:sz w:val="20"/>
                <w:szCs w:val="20"/>
                <w:vertAlign w:val="superscript"/>
              </w:rPr>
              <w:t>er</w:t>
            </w:r>
            <w:r>
              <w:rPr>
                <w:rFonts w:ascii="Calibri" w:hAnsi="Calibri" w:cs="Calibri" w:eastAsia="Calibri"/>
                <w:sz w:val="20"/>
                <w:szCs w:val="20"/>
              </w:rPr>
              <w:t xml:space="preserve"> janvier 2026 sont compris dans ceux de AMCAD.</w:t>
            </w:r>
          </w:p>
          <w:p>
            <w:pPr>
              <w:jc w:val="both"/>
              <w:rPr>
                <w:rFonts w:ascii="Calibri" w:hAnsi="Calibri" w:cs="Calibri" w:eastAsia="Calibri"/>
                <w:sz w:val="20"/>
                <w:szCs w:val="20"/>
              </w:rPr>
            </w:pPr>
            <w:r>
              <w:rPr>
                <w:rFonts w:ascii="Calibri" w:hAnsi="Calibri" w:cs="Calibri" w:eastAsia="Calibri"/>
                <w:sz w:val="20"/>
                <w:szCs w:val="20"/>
              </w:rPr>
              <w:t>Date à recalculer selon la parution effective au JAL.</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Suivi du régime de faveur (CGI, art. 210 A) par AMCAD</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État de suivi des valeurs fiscales (CGI, art. 54 septies, I) joint à la déclaration de résultats de l’exercice 2026 de AMCAD</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Registre des plus-values en sursis d’imposition (CGI, art. 54 septies, II)</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Expert-comptable / AMCAD</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Mai 2027</w:t>
            </w:r>
          </w:p>
          <w:p>
            <w:pPr>
              <w:jc w:val="center"/>
              <w:rPr>
                <w:rFonts w:ascii="Calibri" w:hAnsi="Calibri" w:cs="Calibri" w:eastAsia="Calibri"/>
                <w:i/>
                <w:iCs/>
                <w:sz w:val="20"/>
                <w:szCs w:val="20"/>
              </w:rPr>
            </w:pPr>
            <w:r>
              <w:rPr>
                <w:rFonts w:ascii="Calibri" w:hAnsi="Calibri" w:cs="Calibri" w:eastAsia="Calibri"/>
                <w:i/>
                <w:iCs/>
                <w:sz w:val="20"/>
                <w:szCs w:val="20"/>
              </w:rPr>
              <w:t>(liasse fiscale 2026), puis chaque année</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Le défaut de production de l’état de suivi est sanctionné par une amende égale à 5 % des sommes omises (CGI, art. 1763, I).</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Comptabilisation de la fusion</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Chez AMCAD : reprise des actifs et passifs de ITEST à leur valeur comptable ; contrepartie inscrite en capitaux propres (fusion sans échange de titres)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Chez AEMIS : report de la valeur comptable des titres ITEST sur les titres AMCAD</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Expert-comptable</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Arrêté des comptes 2026</w:t>
            </w:r>
          </w:p>
          <w:p>
            <w:pPr>
              <w:jc w:val="center"/>
              <w:rPr>
                <w:rFonts w:ascii="Calibri" w:hAnsi="Calibri" w:cs="Calibri" w:eastAsia="Calibri"/>
                <w:i/>
                <w:iCs/>
                <w:sz w:val="20"/>
                <w:szCs w:val="20"/>
              </w:rPr>
            </w:pPr>
            <w:r>
              <w:rPr>
                <w:rFonts w:ascii="Calibri" w:hAnsi="Calibri" w:cs="Calibri" w:eastAsia="Calibri"/>
                <w:i/>
                <w:iCs/>
                <w:sz w:val="20"/>
                <w:szCs w:val="20"/>
              </w:rPr>
              <w:t>(1</w:t>
            </w:r>
            <w:r>
              <w:rPr>
                <w:rFonts w:ascii="Calibri" w:hAnsi="Calibri" w:cs="Calibri" w:eastAsia="Calibri"/>
                <w:i/>
                <w:iCs/>
                <w:sz w:val="20"/>
                <w:szCs w:val="20"/>
                <w:vertAlign w:val="superscript"/>
              </w:rPr>
              <w:t>er</w:t>
            </w:r>
            <w:r>
              <w:rPr>
                <w:rFonts w:ascii="Calibri" w:hAnsi="Calibri" w:cs="Calibri" w:eastAsia="Calibri"/>
                <w:i/>
                <w:iCs/>
                <w:sz w:val="20"/>
                <w:szCs w:val="20"/>
              </w:rPr>
              <w:t xml:space="preserve"> trimestre 2027)</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Traitement à valider avec l’expert-comptable et, le cas échéant, le commissaire aux comptes (PCG, titre VII – règlement ANC n° 2014</w:t>
              <w:noBreakHyphen/>
              <w:t>03 modifié).</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Suites sociales du transfert des salariés de ITEST à AMCAD</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Information des salariés, mise à jour de la DSN et du registre unique du personnel</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Transfert des contrats de mutuelle et de prévoyance</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Sort des accords collectifs de ITEST (C. trav., art. L. 2261</w:t>
              <w:noBreakHyphen/>
              <w:t>14)</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AMCAD / Expert-comptable</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Janvier 2027</w:t>
            </w:r>
          </w:p>
          <w:p>
            <w:pPr>
              <w:jc w:val="center"/>
              <w:rPr>
                <w:rFonts w:ascii="Calibri" w:hAnsi="Calibri" w:cs="Calibri" w:eastAsia="Calibri"/>
                <w:i/>
                <w:iCs/>
                <w:sz w:val="20"/>
                <w:szCs w:val="20"/>
              </w:rPr>
            </w:pPr>
            <w:r>
              <w:rPr>
                <w:rFonts w:ascii="Calibri" w:hAnsi="Calibri" w:cs="Calibri" w:eastAsia="Calibri"/>
                <w:i/>
                <w:iCs/>
                <w:sz w:val="20"/>
                <w:szCs w:val="20"/>
              </w:rPr>
              <w:t>(J + 1 à J + 30)</w:t>
            </w:r>
          </w:p>
        </w:tc>
        <w:tc>
          <w:tcPr>
            <w:tcW w:w="3924" w:type="dxa"/>
            <w:vAlign w:val="center"/>
          </w:tcPr>
          <w:p>
            <w:pPr>
              <w:spacing w:after="60"/>
              <w:jc w:val="both"/>
              <w:rPr>
                <w:rFonts w:ascii="Calibri" w:hAnsi="Calibri" w:cs="Calibri" w:eastAsia="Calibri"/>
                <w:sz w:val="20"/>
                <w:szCs w:val="20"/>
              </w:rPr>
            </w:pPr>
            <w:r>
              <w:rPr>
                <w:rFonts w:ascii="Calibri" w:hAnsi="Calibri" w:cs="Calibri" w:eastAsia="Calibri"/>
                <w:sz w:val="20"/>
                <w:szCs w:val="20"/>
              </w:rPr>
              <w:t>Transfert de plein droit des contrats de travail en cours (C. trav., art. L. 1224</w:t>
              <w:noBreakHyphen/>
              <w:t>1).</w:t>
            </w:r>
          </w:p>
          <w:p>
            <w:pPr>
              <w:jc w:val="both"/>
              <w:rPr>
                <w:rFonts w:ascii="Calibri" w:hAnsi="Calibri" w:cs="Calibri" w:eastAsia="Calibri"/>
                <w:sz w:val="20"/>
                <w:szCs w:val="20"/>
              </w:rPr>
            </w:pPr>
            <w:r>
              <w:rPr>
                <w:rFonts w:ascii="Calibri" w:hAnsi="Calibri" w:cs="Calibri" w:eastAsia="Calibri"/>
                <w:sz w:val="20"/>
                <w:szCs w:val="20"/>
              </w:rPr>
              <w:t>Les accords collectifs de ITEST mis en cause continuent de produire effet pendant 15 mois au plus, à défaut d’accord de substitution.</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Information des tiers et transfert opérationnel</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Clients, fournisseurs, bailleurs, assureurs et administrations</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Banques : transfert ou clôture des comptes bancaires de ITEST</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Mise à jour des mentions légales (factures, site internet, documents commerciaux)</w:t>
            </w:r>
          </w:p>
          <w:p>
            <w:pPr>
              <w:pStyle w:val="Paragraphedeliste"/>
              <w:numPr>
                <w:ilvl w:val="0"/>
                <w:numId w:val="9"/>
              </w:numPr>
              <w:ind w:left="304" w:hanging="304"/>
              <w:jc w:val="both"/>
              <w:rPr>
                <w:rFonts w:ascii="Calibri" w:hAnsi="Calibri" w:cs="Calibri" w:eastAsia="Calibri"/>
                <w:sz w:val="20"/>
                <w:szCs w:val="20"/>
              </w:rPr>
            </w:pPr>
            <w:r>
              <w:rPr>
                <w:rFonts w:ascii="Calibri" w:hAnsi="Calibri" w:cs="Calibri" w:eastAsia="Calibri"/>
                <w:sz w:val="20"/>
                <w:szCs w:val="20"/>
              </w:rPr>
              <w:t>Inscription à l’INPI de la transmission des droits de propriété intellectuelle de ITEST (le cas échéant)</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AMCAD</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Janvier à mars 2027</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Par l’effet de la transmission universelle du patrimoine, les contrats de ITEST sont transférés à AMCAD, sous réserve des clauses intuitu personae identifiées lors de l’audit.</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trHeight w:val="418"/>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left"/>
              <w:rPr>
                <w:rFonts w:ascii="Calibri" w:hAnsi="Calibri" w:cs="Calibri" w:eastAsia="Calibri"/>
                <w:b/>
                <w:bCs/>
                <w:sz w:val="20"/>
                <w:szCs w:val="20"/>
              </w:rPr>
            </w:pPr>
            <w:r>
              <w:rPr>
                <w:rFonts w:ascii="Calibri" w:hAnsi="Calibri" w:cs="Calibri" w:eastAsia="Calibri"/>
                <w:b/>
                <w:bCs/>
                <w:sz w:val="20"/>
                <w:szCs w:val="20"/>
              </w:rPr>
              <w:t>Approbation des comptes de l’exercice 2026 de AMCAD, intégrant les opérations de ITEST depuis le 1</w:t>
            </w:r>
            <w:r>
              <w:rPr>
                <w:rFonts w:ascii="Calibri" w:hAnsi="Calibri" w:cs="Calibri" w:eastAsia="Calibri"/>
                <w:b/>
                <w:bCs/>
                <w:sz w:val="20"/>
                <w:szCs w:val="20"/>
                <w:vertAlign w:val="superscript"/>
              </w:rPr>
              <w:t>er</w:t>
            </w:r>
            <w:r>
              <w:rPr>
                <w:rFonts w:ascii="Calibri" w:hAnsi="Calibri" w:cs="Calibri" w:eastAsia="Calibri"/>
                <w:b/>
                <w:bCs/>
                <w:sz w:val="20"/>
                <w:szCs w:val="20"/>
              </w:rPr>
              <w:t xml:space="preserve"> janvier 2026</w:t>
            </w:r>
          </w:p>
        </w:tc>
        <w:tc>
          <w:tcPr>
            <w:tcW w:w="1417" w:type="dxa"/>
            <w:vAlign w:val="center"/>
          </w:tcPr>
          <w:p>
            <w:pPr>
              <w:jc w:val="center"/>
              <w:rPr>
                <w:rFonts w:ascii="Calibri" w:hAnsi="Calibri" w:cs="Calibri" w:eastAsia="Calibri"/>
                <w:sz w:val="20"/>
                <w:szCs w:val="20"/>
              </w:rPr>
            </w:pPr>
            <w:r>
              <w:rPr>
                <w:rFonts w:ascii="Calibri" w:hAnsi="Calibri" w:cs="Calibri" w:eastAsia="Calibri"/>
                <w:sz w:val="20"/>
                <w:szCs w:val="20"/>
              </w:rPr>
              <w:t>AEMIS (associé unique)</w:t>
            </w:r>
          </w:p>
        </w:tc>
        <w:tc>
          <w:tcPr>
            <w:tcW w:w="2446" w:type="dxa"/>
            <w:vAlign w:val="center"/>
          </w:tcPr>
          <w:p>
            <w:pPr>
              <w:jc w:val="center"/>
              <w:rPr>
                <w:rFonts w:ascii="Calibri" w:hAnsi="Calibri" w:cs="Calibri" w:eastAsia="Calibri"/>
                <w:b/>
                <w:bCs/>
                <w:sz w:val="20"/>
                <w:szCs w:val="20"/>
              </w:rPr>
            </w:pPr>
            <w:r>
              <w:rPr>
                <w:rFonts w:ascii="Calibri" w:hAnsi="Calibri" w:cs="Calibri" w:eastAsia="Calibri"/>
                <w:b/>
                <w:bCs/>
                <w:sz w:val="20"/>
                <w:szCs w:val="20"/>
              </w:rPr>
              <w:t>Au plus tard le 30 juin 2027</w:t>
            </w:r>
          </w:p>
        </w:tc>
        <w:tc>
          <w:tcPr>
            <w:tcW w:w="3924" w:type="dxa"/>
            <w:vAlign w:val="center"/>
          </w:tcPr>
          <w:p>
            <w:pPr>
              <w:jc w:val="both"/>
              <w:rPr>
                <w:rFonts w:ascii="Calibri" w:hAnsi="Calibri" w:cs="Calibri" w:eastAsia="Calibri"/>
                <w:sz w:val="20"/>
                <w:szCs w:val="20"/>
              </w:rPr>
            </w:pPr>
            <w:r>
              <w:rPr>
                <w:rFonts w:ascii="Calibri" w:hAnsi="Calibri" w:cs="Calibri" w:eastAsia="Calibri"/>
                <w:sz w:val="20"/>
                <w:szCs w:val="20"/>
              </w:rPr>
              <w:t>Conservation par AMCAD des archives, registres et documents comptables de ITEST (10 ans pour les documents comptables – C. com., art. L. 123</w:t>
              <w:noBreakHyphen/>
              <w:t>22).</w:t>
            </w:r>
          </w:p>
        </w:tc>
        <w:tc>
          <w:tcPr>
            <w:tcW w:w="1568" w:type="dxa"/>
            <w:vAlign w:val="center"/>
          </w:tcPr>
          <w:p>
            <w:pPr>
              <w:jc w:val="center"/>
              <w:rPr>
                <w:rFonts w:ascii="Calibri" w:hAnsi="Calibri" w:cs="Calibri" w:eastAsia="Calibri"/>
                <w:i/>
                <w:iCs/>
                <w:color w:val="FF0000"/>
                <w:sz w:val="20"/>
                <w:szCs w:val="20"/>
              </w:rPr>
            </w:pPr>
            <w:r>
              <w:rPr>
                <w:rFonts w:ascii="Calibri" w:hAnsi="Calibri" w:cs="Calibri" w:eastAsia="Calibri"/>
                <w:i/>
                <w:iCs/>
                <w:color w:val="FF0000"/>
                <w:sz w:val="20"/>
                <w:szCs w:val="20"/>
              </w:rPr>
              <w:t>A faire</w:t>
            </w:r>
          </w:p>
        </w:tc>
      </w:tr>
      <w:tr>
        <w:trPr>
          <w:cantSplit/>
          <w:jc w:val="center"/>
        </w:trPr>
        <w:tc>
          <w:tcPr>
            <w:tcW w:w="576" w:type="dxa"/>
            <w:vAlign w:val="center"/>
          </w:tcPr>
          <w:p>
            <w:pPr>
              <w:pStyle w:val="Paragraphedeliste"/>
              <w:numPr>
                <w:ilvl w:val="0"/>
                <w:numId w:val="4"/>
              </w:numPr>
              <w:jc w:val="both"/>
              <w:rPr>
                <w:rFonts w:ascii="Calibri" w:hAnsi="Calibri" w:cs="Calibri" w:eastAsia="Calibri"/>
                <w:sz w:val="20"/>
                <w:szCs w:val="20"/>
              </w:rPr>
            </w:pPr>
          </w:p>
        </w:tc>
        <w:tc>
          <w:tcPr>
            <w:tcW w:w="4948" w:type="dxa"/>
            <w:vAlign w:val="center"/>
          </w:tcPr>
          <w:p>
            <w:pPr>
              <w:jc w:val="both"/>
              <w:rPr>
                <w:rFonts w:ascii="Calibri" w:hAnsi="Calibri" w:cs="Calibri" w:eastAsia="Calibri"/>
                <w:i/>
                <w:iCs/>
                <w:color w:val="000000"/>
                <w:sz w:val="20"/>
                <w:szCs w:val="20"/>
              </w:rPr>
            </w:pPr>
            <w:r>
              <w:rPr>
                <w:rFonts w:ascii="Calibri" w:hAnsi="Calibri" w:cs="Calibri" w:eastAsia="Calibri"/>
                <w:i/>
                <w:iCs/>
                <w:color w:val="000000"/>
                <w:sz w:val="20"/>
                <w:szCs w:val="20"/>
              </w:rPr>
              <w:t>Réservé</w:t>
            </w:r>
          </w:p>
        </w:tc>
        <w:tc>
          <w:tcPr>
            <w:tcW w:w="1417" w:type="dxa"/>
            <w:vAlign w:val="center"/>
          </w:tcPr>
          <w:p>
            <w:pPr>
              <w:jc w:val="center"/>
              <w:rPr>
                <w:rFonts w:ascii="Calibri" w:hAnsi="Calibri" w:cs="Calibri" w:eastAsia="Calibri"/>
                <w:sz w:val="20"/>
                <w:szCs w:val="20"/>
              </w:rPr>
            </w:pPr>
          </w:p>
        </w:tc>
        <w:tc>
          <w:tcPr>
            <w:tcW w:w="2446" w:type="dxa"/>
            <w:vAlign w:val="center"/>
          </w:tcPr>
          <w:p>
            <w:pPr>
              <w:jc w:val="center"/>
              <w:rPr>
                <w:rFonts w:ascii="Calibri" w:hAnsi="Calibri" w:cs="Calibri" w:eastAsia="Calibri"/>
                <w:sz w:val="20"/>
                <w:szCs w:val="20"/>
              </w:rPr>
            </w:pPr>
          </w:p>
        </w:tc>
        <w:tc>
          <w:tcPr>
            <w:tcW w:w="3924" w:type="dxa"/>
            <w:vAlign w:val="center"/>
          </w:tcPr>
          <w:p>
            <w:pPr>
              <w:jc w:val="center"/>
              <w:rPr>
                <w:rFonts w:ascii="Calibri" w:hAnsi="Calibri" w:cs="Calibri" w:eastAsia="Calibri"/>
                <w:sz w:val="20"/>
                <w:szCs w:val="20"/>
              </w:rPr>
            </w:pPr>
          </w:p>
        </w:tc>
        <w:tc>
          <w:tcPr>
            <w:tcW w:w="1568" w:type="dxa"/>
            <w:vAlign w:val="center"/>
          </w:tcPr>
          <w:p>
            <w:pPr>
              <w:jc w:val="center"/>
              <w:rPr>
                <w:rFonts w:ascii="Calibri" w:hAnsi="Calibri" w:cs="Calibri" w:eastAsia="Calibri"/>
                <w:sz w:val="20"/>
                <w:szCs w:val="20"/>
              </w:rPr>
            </w:pPr>
          </w:p>
        </w:tc>
      </w:tr>
    </w:tbl>
    <w:p w14:paraId="33C94B02" w14:textId="77777777" w:rsidR="00D9711D" w:rsidRPr="00EF450F" w:rsidRDefault="00D9711D" w:rsidP="00EC4896">
      <w:pPr>
        <w:pStyle w:val="Sansinterligne"/>
        <w:rPr>
          <w:rFonts w:ascii="Calibri" w:hAnsi="Calibri" w:cs="Calibri"/>
          <w:sz w:val="20"/>
          <w:szCs w:val="20"/>
        </w:rPr>
      </w:pPr>
    </w:p>
    <w:p w14:paraId="1BC4AB30" w14:textId="77777777" w:rsidR="00D9711D" w:rsidRPr="00EF450F" w:rsidRDefault="00D9711D" w:rsidP="00EC4896">
      <w:pPr>
        <w:pStyle w:val="Sansinterligne"/>
        <w:rPr>
          <w:rFonts w:ascii="Calibri" w:hAnsi="Calibri" w:cs="Calibri"/>
          <w:sz w:val="20"/>
          <w:szCs w:val="20"/>
        </w:rPr>
      </w:pPr>
    </w:p>
    <w:sectPr w:rsidR="00D9711D" w:rsidRPr="00EF450F" w:rsidSect="006760D3">
      <w:headerReference w:type="first" r:id="rId8"/>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E1C88" w14:textId="77777777" w:rsidR="00CB5B6C" w:rsidRDefault="00CB5B6C" w:rsidP="00FB040F">
      <w:pPr>
        <w:spacing w:after="0" w:line="240" w:lineRule="auto"/>
      </w:pPr>
      <w:r>
        <w:separator/>
      </w:r>
    </w:p>
  </w:endnote>
  <w:endnote w:type="continuationSeparator" w:id="0">
    <w:p w14:paraId="07FF8F81" w14:textId="77777777" w:rsidR="00CB5B6C" w:rsidRDefault="00CB5B6C" w:rsidP="00FB0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3662" w14:textId="77777777" w:rsidR="00CB5B6C" w:rsidRDefault="00CB5B6C" w:rsidP="00FB040F">
      <w:pPr>
        <w:spacing w:after="0" w:line="240" w:lineRule="auto"/>
      </w:pPr>
      <w:r>
        <w:separator/>
      </w:r>
    </w:p>
  </w:footnote>
  <w:footnote w:type="continuationSeparator" w:id="0">
    <w:p w14:paraId="797B3221" w14:textId="77777777" w:rsidR="00CB5B6C" w:rsidRDefault="00CB5B6C" w:rsidP="00FB0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EE87" w14:textId="77777777" w:rsidR="00711C3E" w:rsidRDefault="00000000">
    <w:pPr>
      <w:pStyle w:val="En-tte"/>
    </w:pPr>
    <w:r>
      <w:rPr>
        <w:noProof/>
      </w:rPr>
      <w:pict w14:anchorId="34663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0;margin-top:0;width:839.4pt;height:594.15pt;z-index:-251653120;mso-position-horizontal:center;mso-position-horizontal-relative:margin;mso-position-vertical:center;mso-position-vertical-relative:margin" o:allowincell="f">
          <v:imagedata r:id="rId1" o:title="Page de garde"/>
          <o:lock v:ext="edit" aspectratio="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E350D"/>
    <w:multiLevelType w:val="hybridMultilevel"/>
    <w:tmpl w:val="E85A828C"/>
    <w:lvl w:ilvl="0" w:tplc="22B85C92">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572037F"/>
    <w:multiLevelType w:val="hybridMultilevel"/>
    <w:tmpl w:val="D0CCBD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4B46D74"/>
    <w:multiLevelType w:val="hybridMultilevel"/>
    <w:tmpl w:val="B6009DD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4CA058F7"/>
    <w:multiLevelType w:val="hybridMultilevel"/>
    <w:tmpl w:val="6F24255C"/>
    <w:lvl w:ilvl="0" w:tplc="040C0001">
      <w:start w:val="1"/>
      <w:numFmt w:val="bullet"/>
      <w:lvlText w:val=""/>
      <w:lvlJc w:val="left"/>
      <w:pPr>
        <w:ind w:left="360" w:hanging="360"/>
      </w:pPr>
      <w:rPr>
        <w:rFonts w:ascii="Symbol" w:hAnsi="Symbol"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591A71F5"/>
    <w:multiLevelType w:val="hybridMultilevel"/>
    <w:tmpl w:val="164839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77B22FF2"/>
    <w:multiLevelType w:val="hybridMultilevel"/>
    <w:tmpl w:val="DE2E1A56"/>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7A0E34F6"/>
    <w:multiLevelType w:val="hybridMultilevel"/>
    <w:tmpl w:val="1ABAC3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7A8047A7"/>
    <w:multiLevelType w:val="hybridMultilevel"/>
    <w:tmpl w:val="A586A53A"/>
    <w:lvl w:ilvl="0" w:tplc="040C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7D6313F4"/>
    <w:multiLevelType w:val="hybridMultilevel"/>
    <w:tmpl w:val="72EE735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592857990">
    <w:abstractNumId w:val="4"/>
  </w:num>
  <w:num w:numId="2" w16cid:durableId="1318925557">
    <w:abstractNumId w:val="3"/>
  </w:num>
  <w:num w:numId="3" w16cid:durableId="454447662">
    <w:abstractNumId w:val="6"/>
  </w:num>
  <w:num w:numId="4" w16cid:durableId="476336391">
    <w:abstractNumId w:val="7"/>
  </w:num>
  <w:num w:numId="5" w16cid:durableId="264120221">
    <w:abstractNumId w:val="5"/>
  </w:num>
  <w:num w:numId="6" w16cid:durableId="2125072220">
    <w:abstractNumId w:val="8"/>
  </w:num>
  <w:num w:numId="7" w16cid:durableId="1344820364">
    <w:abstractNumId w:val="2"/>
  </w:num>
  <w:num w:numId="8" w16cid:durableId="134839182">
    <w:abstractNumId w:val="1"/>
  </w:num>
  <w:num w:numId="9" w16cid:durableId="136748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0F"/>
    <w:rsid w:val="000303F5"/>
    <w:rsid w:val="000759B9"/>
    <w:rsid w:val="00080BB4"/>
    <w:rsid w:val="00091372"/>
    <w:rsid w:val="001344CD"/>
    <w:rsid w:val="00136087"/>
    <w:rsid w:val="0016456C"/>
    <w:rsid w:val="00195EEC"/>
    <w:rsid w:val="001C6964"/>
    <w:rsid w:val="0022447C"/>
    <w:rsid w:val="00254CFE"/>
    <w:rsid w:val="002D01E3"/>
    <w:rsid w:val="00307C8D"/>
    <w:rsid w:val="0031783C"/>
    <w:rsid w:val="003D00A3"/>
    <w:rsid w:val="00441171"/>
    <w:rsid w:val="004E7B27"/>
    <w:rsid w:val="004E7B6E"/>
    <w:rsid w:val="005271E7"/>
    <w:rsid w:val="005B228E"/>
    <w:rsid w:val="005C702D"/>
    <w:rsid w:val="006048AD"/>
    <w:rsid w:val="00613439"/>
    <w:rsid w:val="0067323C"/>
    <w:rsid w:val="006760D3"/>
    <w:rsid w:val="006A2427"/>
    <w:rsid w:val="006D46D8"/>
    <w:rsid w:val="006E0598"/>
    <w:rsid w:val="007063FD"/>
    <w:rsid w:val="00711C3E"/>
    <w:rsid w:val="007416FF"/>
    <w:rsid w:val="007505BF"/>
    <w:rsid w:val="007538BE"/>
    <w:rsid w:val="00765728"/>
    <w:rsid w:val="007C2A6B"/>
    <w:rsid w:val="007C39CA"/>
    <w:rsid w:val="008166D9"/>
    <w:rsid w:val="008B70A9"/>
    <w:rsid w:val="00903120"/>
    <w:rsid w:val="00904E7C"/>
    <w:rsid w:val="0093084E"/>
    <w:rsid w:val="00971997"/>
    <w:rsid w:val="009B4130"/>
    <w:rsid w:val="009F4DCE"/>
    <w:rsid w:val="00A142F9"/>
    <w:rsid w:val="00A50E1E"/>
    <w:rsid w:val="00A65A86"/>
    <w:rsid w:val="00A65AA2"/>
    <w:rsid w:val="00A722B1"/>
    <w:rsid w:val="00A8008C"/>
    <w:rsid w:val="00A85E79"/>
    <w:rsid w:val="00AA4A83"/>
    <w:rsid w:val="00AC08B8"/>
    <w:rsid w:val="00AE2C17"/>
    <w:rsid w:val="00B50434"/>
    <w:rsid w:val="00B809CF"/>
    <w:rsid w:val="00BB30E6"/>
    <w:rsid w:val="00BE6D4D"/>
    <w:rsid w:val="00BF332E"/>
    <w:rsid w:val="00C10B14"/>
    <w:rsid w:val="00C864FC"/>
    <w:rsid w:val="00C921C6"/>
    <w:rsid w:val="00CB5B6C"/>
    <w:rsid w:val="00CF025A"/>
    <w:rsid w:val="00D06034"/>
    <w:rsid w:val="00D5770C"/>
    <w:rsid w:val="00D91882"/>
    <w:rsid w:val="00D9711D"/>
    <w:rsid w:val="00DA51BF"/>
    <w:rsid w:val="00DC5B2B"/>
    <w:rsid w:val="00DD229B"/>
    <w:rsid w:val="00E23579"/>
    <w:rsid w:val="00E56681"/>
    <w:rsid w:val="00E612E9"/>
    <w:rsid w:val="00EC4896"/>
    <w:rsid w:val="00EC6698"/>
    <w:rsid w:val="00EF3F8A"/>
    <w:rsid w:val="00EF450F"/>
    <w:rsid w:val="00F27D22"/>
    <w:rsid w:val="00F5127C"/>
    <w:rsid w:val="00F51698"/>
    <w:rsid w:val="00F65D9C"/>
    <w:rsid w:val="00FB040F"/>
    <w:rsid w:val="00FD59DD"/>
    <w:rsid w:val="00FD71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984AB"/>
  <w15:chartTrackingRefBased/>
  <w15:docId w15:val="{E11AEDA2-7EFC-41FB-8FE6-D75F0A7F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0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B0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B04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04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04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040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040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040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040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04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04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04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04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04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04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04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04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040F"/>
    <w:rPr>
      <w:rFonts w:eastAsiaTheme="majorEastAsia" w:cstheme="majorBidi"/>
      <w:color w:val="272727" w:themeColor="text1" w:themeTint="D8"/>
    </w:rPr>
  </w:style>
  <w:style w:type="paragraph" w:styleId="Titre">
    <w:name w:val="Title"/>
    <w:basedOn w:val="Normal"/>
    <w:next w:val="Normal"/>
    <w:link w:val="TitreCar"/>
    <w:uiPriority w:val="10"/>
    <w:qFormat/>
    <w:rsid w:val="00FB0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04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04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04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040F"/>
    <w:pPr>
      <w:spacing w:before="160"/>
      <w:jc w:val="center"/>
    </w:pPr>
    <w:rPr>
      <w:i/>
      <w:iCs/>
      <w:color w:val="404040" w:themeColor="text1" w:themeTint="BF"/>
    </w:rPr>
  </w:style>
  <w:style w:type="character" w:customStyle="1" w:styleId="CitationCar">
    <w:name w:val="Citation Car"/>
    <w:basedOn w:val="Policepardfaut"/>
    <w:link w:val="Citation"/>
    <w:uiPriority w:val="29"/>
    <w:rsid w:val="00FB040F"/>
    <w:rPr>
      <w:i/>
      <w:iCs/>
      <w:color w:val="404040" w:themeColor="text1" w:themeTint="BF"/>
    </w:rPr>
  </w:style>
  <w:style w:type="paragraph" w:styleId="Paragraphedeliste">
    <w:name w:val="List Paragraph"/>
    <w:basedOn w:val="Normal"/>
    <w:uiPriority w:val="34"/>
    <w:qFormat/>
    <w:rsid w:val="00FB040F"/>
    <w:pPr>
      <w:ind w:left="720"/>
      <w:contextualSpacing/>
    </w:pPr>
  </w:style>
  <w:style w:type="character" w:styleId="Accentuationintense">
    <w:name w:val="Intense Emphasis"/>
    <w:basedOn w:val="Policepardfaut"/>
    <w:uiPriority w:val="21"/>
    <w:qFormat/>
    <w:rsid w:val="00FB040F"/>
    <w:rPr>
      <w:i/>
      <w:iCs/>
      <w:color w:val="0F4761" w:themeColor="accent1" w:themeShade="BF"/>
    </w:rPr>
  </w:style>
  <w:style w:type="paragraph" w:styleId="Citationintense">
    <w:name w:val="Intense Quote"/>
    <w:basedOn w:val="Normal"/>
    <w:next w:val="Normal"/>
    <w:link w:val="CitationintenseCar"/>
    <w:uiPriority w:val="30"/>
    <w:qFormat/>
    <w:rsid w:val="00FB0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040F"/>
    <w:rPr>
      <w:i/>
      <w:iCs/>
      <w:color w:val="0F4761" w:themeColor="accent1" w:themeShade="BF"/>
    </w:rPr>
  </w:style>
  <w:style w:type="character" w:styleId="Rfrenceintense">
    <w:name w:val="Intense Reference"/>
    <w:basedOn w:val="Policepardfaut"/>
    <w:uiPriority w:val="32"/>
    <w:qFormat/>
    <w:rsid w:val="00FB040F"/>
    <w:rPr>
      <w:b/>
      <w:bCs/>
      <w:smallCaps/>
      <w:color w:val="0F4761" w:themeColor="accent1" w:themeShade="BF"/>
      <w:spacing w:val="5"/>
    </w:rPr>
  </w:style>
  <w:style w:type="paragraph" w:styleId="En-tte">
    <w:name w:val="header"/>
    <w:basedOn w:val="Normal"/>
    <w:link w:val="En-tteCar"/>
    <w:uiPriority w:val="99"/>
    <w:unhideWhenUsed/>
    <w:rsid w:val="00FB040F"/>
    <w:pPr>
      <w:tabs>
        <w:tab w:val="center" w:pos="4536"/>
        <w:tab w:val="right" w:pos="9072"/>
      </w:tabs>
      <w:spacing w:after="0" w:line="240" w:lineRule="auto"/>
    </w:pPr>
  </w:style>
  <w:style w:type="character" w:customStyle="1" w:styleId="En-tteCar">
    <w:name w:val="En-tête Car"/>
    <w:basedOn w:val="Policepardfaut"/>
    <w:link w:val="En-tte"/>
    <w:uiPriority w:val="99"/>
    <w:rsid w:val="00FB040F"/>
  </w:style>
  <w:style w:type="paragraph" w:styleId="Pieddepage">
    <w:name w:val="footer"/>
    <w:basedOn w:val="Normal"/>
    <w:link w:val="PieddepageCar"/>
    <w:uiPriority w:val="99"/>
    <w:unhideWhenUsed/>
    <w:rsid w:val="00FB04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040F"/>
  </w:style>
  <w:style w:type="table" w:styleId="Grilledutableau">
    <w:name w:val="Table Grid"/>
    <w:basedOn w:val="TableauNormal"/>
    <w:uiPriority w:val="39"/>
    <w:rsid w:val="00711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D9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EC4896"/>
    <w:pPr>
      <w:spacing w:after="0" w:line="240" w:lineRule="auto"/>
    </w:pPr>
  </w:style>
  <w:style w:type="paragraph" w:customStyle="1" w:styleId="Default">
    <w:name w:val="Default"/>
    <w:rsid w:val="00B50434"/>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F5C00-7687-4FBD-8117-6E3718B33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150</Words>
  <Characters>826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Calendrier de restructuration – Groupe AEMIS – Fusion simplifiée AMCAD / ITEST</dc:title>
  <dc:subject/>
  <dc:creator>Hugo HENRY</dc:creator>
  <cp:keywords/>
  <dc:description/>
  <cp:lastModifiedBy>Corporate BDX</cp:lastModifiedBy>
  <cp:revision>3</cp:revision>
  <cp:lastPrinted>2025-09-19T10:52:00Z</cp:lastPrinted>
  <dcterms:created xsi:type="dcterms:W3CDTF">2026-09-25T14:30:00Z</dcterms:created>
  <dcterms:modified xsi:type="dcterms:W3CDTF">2026-09-25T14:32:00Z</dcterms:modified>
</cp:coreProperties>
</file>