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rFonts w:ascii="Times New Roman" w:cs="Times New Roman" w:eastAsia="Times New Roman" w:hAnsi="Times New Roman"/>
          <w:i/>
          <w:iCs/>
          <w:color w:val="666666"/>
          <w:sz w:val="20"/>
          <w:szCs w:val="20"/>
        </w:rPr>
        <w:t xml:space="preserve">Note — Ce document reprend intégralement le Titre 1 de la Partie 2 du mémoire, prêt à être inséré à la suite du chapeau introductif déjà existant de la Partie 2 (« Seront présentées ici deux missions représentatives des stages... »). La numérotation des notes de bas de page repart de 1 et devra être fusionnée avec celle du document principal lors de l'intégration.</w:t>
      </w:r>
    </w:p>
    <w:p>
      <w:pPr>
        <w:spacing w:after="200" w:before="300" w:line="360" w:lineRule="auto"/>
      </w:pPr>
      <w:r>
        <w:rPr>
          <w:rFonts w:ascii="Times New Roman" w:cs="Times New Roman" w:eastAsia="Times New Roman" w:hAnsi="Times New Roman"/>
          <w:b/>
          <w:bCs/>
          <w:sz w:val="30"/>
          <w:szCs w:val="30"/>
        </w:rPr>
        <w:t xml:space="preserve">Titre 1 : Le dossier de restructuration d'un groupe familial (cabinet Delcade)</w:t>
      </w:r>
    </w:p>
    <w:p>
      <w:pPr>
        <w:spacing w:after="180" w:before="260" w:line="360" w:lineRule="auto"/>
      </w:pPr>
      <w:r>
        <w:rPr>
          <w:rFonts w:ascii="Times New Roman" w:cs="Times New Roman" w:eastAsia="Times New Roman" w:hAnsi="Times New Roman"/>
          <w:b/>
          <w:bCs/>
          <w:i/>
          <w:iCs/>
          <w:sz w:val="26"/>
          <w:szCs w:val="26"/>
        </w:rPr>
        <w:t xml:space="preserve">Chapitre 1 : Présentation du dossier</w:t>
      </w:r>
    </w:p>
    <w:p>
      <w:pPr>
        <w:spacing w:after="200" w:line="360" w:lineRule="auto"/>
        <w:jc w:val="both"/>
      </w:pPr>
      <w:r>
        <w:rPr>
          <w:rFonts w:ascii="Times New Roman" w:cs="Times New Roman" w:eastAsia="Times New Roman" w:hAnsi="Times New Roman"/>
          <w:sz w:val="24"/>
          <w:szCs w:val="24"/>
        </w:rPr>
        <w:t xml:space="preserve">Le cabinet Delcade s'est vu confier, au cours de l'année 2025, la restructuration juridique d'un groupe de sociétés à caractère familial et patrimonial (ci-après le « Groupe »), composé de plusieurs sociétés commerciales d'exploitation et d'une société civile assurant la détention et la gestion du patrimoine immobilier et financier de la famille. Cette restructuration, motivée par des considérations de simplification de l'organigramme du Groupe, de transmission patrimoniale entre générations et d'optimisation de la gouvernance, s'est traduite par la réalisation successive de plusieurs opérations juridiques distinctes mais coordonnées : une fusion par absorption, une acquisition de titres, une transmission universelle de patrimoine consécutive à une dissolution sans liquidation, une augmentation de capital réalisée par compensation avec une créance de compte courant d'associé détenue en indivision entre plusieurs héritiers, ainsi qu'un abandon de créance intragroupe assorti d'une clause de retour à meilleure fortune.</w:t>
      </w:r>
    </w:p>
    <w:p>
      <w:pPr>
        <w:spacing w:after="200" w:line="360" w:lineRule="auto"/>
        <w:jc w:val="both"/>
      </w:pPr>
      <w:r>
        <w:rPr>
          <w:rFonts w:ascii="Times New Roman" w:cs="Times New Roman" w:eastAsia="Times New Roman" w:hAnsi="Times New Roman"/>
          <w:sz w:val="24"/>
          <w:szCs w:val="24"/>
        </w:rPr>
        <w:t xml:space="preserve">Le contexte patrimonial de cette restructuration mérite d'être brièvement précisé, dans les limites permises par le secret professionnel. Le Groupe résultait d'une constitution progressive, sur plusieurs décennies, d'un ensemble de sociétés d'exploitation détenues directement par les membres d'une même fratrie, sans société holding fédératrice — structure fréquente pour les groupes familiaux constitués avant la généralisation des schémas de détention par l'intermédiaire de sociétés holding. L'ouverture d'une succession au sein de la famille, ainsi que l'anticipation d'une transmission à la génération suivante, ont conduit les associés à souhaiter simplifier cet organigramme éclaté, en réunissant plusieurs entités sous une même société civile faîtière, mieux à même d'accueillir de futures donations-partages de titres et de faciliter la gouvernance collective du patrimoine familial. C'est dans ce contexte que s'inscrivait la fusion par absorption d'une des sociétés commerciales d'exploitation par la société civile faîtière, permettant de simplifier l'organigramme tout en conservant, au niveau de la société civile, la souplesse statutaire propre à cette forme sociale pour l'organisation des pouvoirs entre les membres de la famille.</w:t>
      </w:r>
    </w:p>
    <w:p>
      <w:pPr>
        <w:spacing w:after="200" w:line="360" w:lineRule="auto"/>
        <w:jc w:val="both"/>
      </w:pPr>
      <w:r>
        <w:rPr>
          <w:rFonts w:ascii="Times New Roman" w:cs="Times New Roman" w:eastAsia="Times New Roman" w:hAnsi="Times New Roman"/>
          <w:sz w:val="24"/>
          <w:szCs w:val="24"/>
        </w:rPr>
        <w:t xml:space="preserve">Il convient de signaler, à titre incident et sans que cette dimension n'ait constitué l'objet direct de la mission confiée, que la fusion s'inscrivait également dans une réflexion fiscale conduite en parallèle par l'expert-comptable du Groupe, tenant au bénéfice du régime de faveur des fusions prévu par l'article 210 A du Code général des impôts, lequel neutralise, sous certaines conditions, l'imposition immédiate des plus-values latentes constatées à l'occasion de l'opération. Cette dimension fiscale, pour n'avoir pas relevé du périmètre de la mission juridique confiée, n'en illustre pas moins un trait caractéristique des opérations de restructuration en pratique : la solution juridique retenue quant au régime de fusion applicable ne pouvait être arrêtée sans considération de ses conséquences fiscales, ce qui a imposé une coordination étroite entre le cabinet d'avocats et le conseil fiscal du Groupe tout au long du dossier.</w:t>
      </w:r>
    </w:p>
    <w:p>
      <w:pPr>
        <w:spacing w:after="200" w:line="360" w:lineRule="auto"/>
        <w:jc w:val="both"/>
      </w:pPr>
      <w:r>
        <w:rPr>
          <w:rFonts w:ascii="Times New Roman" w:cs="Times New Roman" w:eastAsia="Times New Roman" w:hAnsi="Times New Roman"/>
          <w:sz w:val="24"/>
          <w:szCs w:val="24"/>
        </w:rPr>
        <w:t xml:space="preserve">Au sein de cet ensemble d'opérations, une question de recherche juridique m'a spécifiquement été confiée par Maître Sophie Coignat : celle du régime juridique applicable à la fusion par absorption d'une société commerciale — revêtant la forme d'une société par actions simplifiée — par une société civile du Groupe, appelée à devenir la société absorbante à l'issue de l'opération. Cette configuration — une société civile absorbant une société commerciale, et non l'inverse — est peu fréquente en pratique. Les développements doctrinaux consacrés aux fusions inter-formes envisagent en effet le plus souvent l'hypothèse inverse, celle d'une société commerciale absorbant une société civile immobilière porteuse d'un actif isolé ; la configuration inverse, où c'est la structure civile qui survit à l'opération et recueille une activité commerciale, demeure, comme il sera montré, à la fois moins documentée et porteuse d'un enjeu supplémentaire, tenant au régime de responsabilité auquel se trouvent alors soumis les associés de la société absorbée.</w:t>
      </w:r>
    </w:p>
    <w:p>
      <w:pPr>
        <w:spacing w:after="200" w:line="360" w:lineRule="auto"/>
        <w:jc w:val="both"/>
      </w:pPr>
      <w:r>
        <w:rPr>
          <w:rFonts w:ascii="Times New Roman" w:cs="Times New Roman" w:eastAsia="Times New Roman" w:hAnsi="Times New Roman"/>
          <w:sz w:val="24"/>
          <w:szCs w:val="24"/>
        </w:rPr>
        <w:t xml:space="preserve">D'un point de vue technique, l'opération envisagée relevait de ce que la pratique désigne comme une fusion simplifiée au sens large — la société absorbante ne détenant toutefois pas, à la date du projet, la totalité des parts de la société absorbée, de sorte qu'aucun des régimes de fusion simplifiée stricto sensu que connaît le droit positif (dispense d'assemblée générale extraordinaire prévue pour les sociétés par actions détenues à 100 %, ou dispense de consultation prévue pour les sociétés civiles détenues à 90 % au moins) ne pouvait recevoir application. Les formalités de droit commun — établissement d'un projet de fusion, information des associés, approbation de l'opération par chacune des sociétés participantes selon les modalités propres à sa forme sociale — demeuraient donc en tout état de cause requises, indépendamment même de la question du régime spécifiquement applicable. C'est cette dernière question — celle de savoir si, au-delà de ces formalités de droit commun incontestées, les formalités supplémentaires propres au régime du Code de commerce devaient également être respectées — qui a constitué le cœur de la mission de recherche confiée.</w:t>
      </w:r>
    </w:p>
    <w:p>
      <w:pPr>
        <w:spacing w:after="200" w:line="360" w:lineRule="auto"/>
        <w:jc w:val="both"/>
      </w:pPr>
      <w:r>
        <w:rPr>
          <w:rFonts w:ascii="Times New Roman" w:cs="Times New Roman" w:eastAsia="Times New Roman" w:hAnsi="Times New Roman"/>
          <w:sz w:val="24"/>
          <w:szCs w:val="24"/>
        </w:rPr>
        <w:t xml:space="preserve">Le rôle confié dans ce dossier a consisté à déterminer, à l'issue d'une recherche documentaire approfondie dans les bases de données juridiques disponibles (Lexis 360, Dalloz.fr, Lamyline, ainsi que le fonds Légifrance), quel corps de règles devait gouverner cette opération : celui, général, de l'article 1844-4 du Code civil, ou celui, plus détaillé et en apparence plus protecteur des tiers, des articles L. 236-1 et suivants du Code de commerce relatifs aux fusions entre sociétés commerciales.</w:t>
      </w:r>
    </w:p>
    <w:p>
      <w:pPr>
        <w:spacing w:after="180" w:before="260" w:line="360" w:lineRule="auto"/>
      </w:pPr>
      <w:r>
        <w:rPr>
          <w:rFonts w:ascii="Times New Roman" w:cs="Times New Roman" w:eastAsia="Times New Roman" w:hAnsi="Times New Roman"/>
          <w:b/>
          <w:bCs/>
          <w:i/>
          <w:iCs/>
          <w:sz w:val="26"/>
          <w:szCs w:val="26"/>
        </w:rPr>
        <w:t xml:space="preserve">Chapitre 2 : Intérêt du dossier</w:t>
      </w:r>
    </w:p>
    <w:p>
      <w:pPr>
        <w:spacing w:after="200" w:line="360" w:lineRule="auto"/>
        <w:jc w:val="both"/>
      </w:pPr>
      <w:r>
        <w:rPr>
          <w:rFonts w:ascii="Times New Roman" w:cs="Times New Roman" w:eastAsia="Times New Roman" w:hAnsi="Times New Roman"/>
          <w:sz w:val="24"/>
          <w:szCs w:val="24"/>
        </w:rPr>
        <w:t xml:space="preserve">L'intérêt de ce dossier réside précisément dans l'absence de texte clairement applicable à la situation rencontrée. Ni le Code civil ni le Code de commerce ne comportent, à l'heure actuelle, de disposition réglant explicitement et sans ambiguïté le cas d'une fusion par absorption d'une société commerciale par une société civile. Cette lacune apparente contraint le juriste à un exercice qui dépasse la simple recherche documentaire : il lui appartient de construire, à partir des textes existants, de leur économie générale et des principes qui les sous-tendent, une solution juridiquement soutenable, tout en évaluant le niveau de risque associé à chacune des solutions envisageables.</w:t>
      </w:r>
    </w:p>
    <w:p>
      <w:pPr>
        <w:spacing w:after="200" w:line="360" w:lineRule="auto"/>
        <w:jc w:val="both"/>
      </w:pPr>
      <w:r>
        <w:rPr>
          <w:rFonts w:ascii="Times New Roman" w:cs="Times New Roman" w:eastAsia="Times New Roman" w:hAnsi="Times New Roman"/>
          <w:sz w:val="24"/>
          <w:szCs w:val="24"/>
        </w:rPr>
        <w:t xml:space="preserve">Ce dossier a ainsi constitué une mise en situation particulièrement formatrice de ce que recouvre, en pratique, le métier de juriste d'affaires : non pas l'application mécanique d'un texte préexistant à une situation qu'il régirait sans discussion possible, mais la construction argumentée d'une position, opposable aux tiers et défendable devant un juge le cas échéant, dans un contexte d'incertitude textuelle apparente. C'est cette dimension — la nécessité de « se faire une propre idée en maîtrisant la science juridique », au-delà de la seule recherche d'une réponse déjà écrite — qui a justifié le choix de ce dossier pour illustrer le présent mémoire, et qui fait directement écho à la réflexion menée en conclusion sur la place du juriste face aux outils d'intelligence artificielle générative.</w:t>
      </w:r>
    </w:p>
    <w:p>
      <w:pPr>
        <w:spacing w:after="200" w:line="360" w:lineRule="auto"/>
        <w:jc w:val="both"/>
      </w:pPr>
      <w:r>
        <w:rPr>
          <w:rFonts w:ascii="Times New Roman" w:cs="Times New Roman" w:eastAsia="Times New Roman" w:hAnsi="Times New Roman"/>
          <w:sz w:val="24"/>
          <w:szCs w:val="24"/>
        </w:rPr>
        <w:t xml:space="preserve">La recherche a mobilisé environ une semaine de travail, au cours de laquelle l'ensemble des bases de données juridiques disponibles a été systématiquement interrogé, sans qu'aucune réponse univoque n'ait pu être identifiée ni dans les textes, ni dans une jurisprudence publiée directement transposable. Cette situation a imposé de proposer, dans un premier temps, une analyse personnelle étayée par les principes généraux du droit des sociétés — analyse dont les développements qui suivent montreront qu'elle appelait, pour être pleinement sécurisée, un approfondissement que le seul temps imparti au dossier ne permettait pas.</w:t>
      </w:r>
    </w:p>
    <w:p>
      <w:pPr>
        <w:spacing w:after="200" w:line="360" w:lineRule="auto"/>
        <w:jc w:val="both"/>
      </w:pPr>
      <w:r>
        <w:rPr>
          <w:rFonts w:ascii="Times New Roman" w:cs="Times New Roman" w:eastAsia="Times New Roman" w:hAnsi="Times New Roman"/>
          <w:sz w:val="24"/>
          <w:szCs w:val="24"/>
        </w:rPr>
        <w:t xml:space="preserve">Cette absence de réponse univoque dans les bases de données de jurisprudence et de doctrine universitaire a conduit à élargir la recherche à la doctrine notariale, laquelle joue en pratique, sur les questions de restructuration patrimoniale les plus techniques, un rôle de source de droit non écrite mais largement suivie par les praticiens, à mi-chemin entre la doctrine savante et la coutume professionnelle. Les publications du Centre de recherche, d'information et de documentation notariales, ainsi que les analyses diffusées par certains cabinets de conseil spécialisés en ingénierie patrimoniale, offrent ainsi fréquemment des prises de position motivées sur des questions que le législateur n'a pas expressément tranchées — prises de position dont l'autorité, bien que dépourvue de toute force contraignante, n'en oriente pas moins fortement la pratique, faute d'alternative plus autorisée. Le recours à ces sources, complémentaire de la recherche dans les bases de données classiques, a permis d'enrichir utilement l'analyse du dossier de restructuration, tout en illustrant la porosité des sources du droit en matière de pratique notariale et sociétaire, domaine où le texte légal, la jurisprudence, la doctrine universitaire et la pratique professionnelle s'entremêlent plus étroitement que dans nombre d'autres branches du droit.</w:t>
      </w:r>
    </w:p>
    <w:p>
      <w:pPr>
        <w:spacing w:after="200" w:line="360" w:lineRule="auto"/>
        <w:jc w:val="both"/>
      </w:pPr>
      <w:r>
        <w:rPr>
          <w:rFonts w:ascii="Times New Roman" w:cs="Times New Roman" w:eastAsia="Times New Roman" w:hAnsi="Times New Roman"/>
          <w:sz w:val="24"/>
          <w:szCs w:val="24"/>
        </w:rPr>
        <w:t xml:space="preserve">Cette expérience a également permis de mesurer, très concrètement, la différence entre la recherche juridique telle qu'elle est pratiquée à l'université — le plus souvent guidée par un sujet ou une problématique déjà circonscrite par l'enseignant — et la recherche juridique telle qu'elle se pratique en cabinet, où c'est au juriste lui-même qu'il revient, dans un premier temps, de qualifier juridiquement une situation de fait avant même de pouvoir engager une recherche utile. En l'espèce, il a fallu, avant toute consultation des bases de données, déterminer que la question portait moins sur le droit des fusions en général que sur l'articulation entre deux corps de règles concurrents, ce qui a orienté la recherche vers les commentaires d'articles consacrés aux fusions transformantes et aux fusions entre sociétés de forme différente, plutôt que vers les seuls commentaires de synthèse du droit des fusions. C'est cette même logique de qualification préalable qui, poursuivie au-delà du temps imparti au dossier pour les besoins du présent mémoire, a permis d'aboutir aux développements exposés ci-après.</w:t>
      </w:r>
    </w:p>
    <w:p>
      <w:pPr>
        <w:spacing w:after="180" w:before="260" w:line="360" w:lineRule="auto"/>
      </w:pPr>
      <w:r>
        <w:rPr>
          <w:rFonts w:ascii="Times New Roman" w:cs="Times New Roman" w:eastAsia="Times New Roman" w:hAnsi="Times New Roman"/>
          <w:b/>
          <w:bCs/>
          <w:i/>
          <w:iCs/>
          <w:sz w:val="26"/>
          <w:szCs w:val="26"/>
        </w:rPr>
        <w:t xml:space="preserve">Chapitre 3 : Proposition d'analyse</w:t>
      </w:r>
    </w:p>
    <w:p>
      <w:pPr>
        <w:spacing w:after="160" w:before="220" w:line="360" w:lineRule="auto"/>
      </w:pPr>
      <w:r>
        <w:rPr>
          <w:rFonts w:ascii="Times New Roman" w:cs="Times New Roman" w:eastAsia="Times New Roman" w:hAnsi="Times New Roman"/>
          <w:b/>
          <w:bCs/>
          <w:sz w:val="24"/>
          <w:szCs w:val="24"/>
        </w:rPr>
        <w:t xml:space="preserve">A. Les enjeux juridiques : une incertitude apparente entre deux corps de règles</w:t>
      </w:r>
    </w:p>
    <w:p>
      <w:pPr>
        <w:spacing w:after="200" w:line="360" w:lineRule="auto"/>
        <w:jc w:val="both"/>
      </w:pPr>
      <w:r>
        <w:rPr>
          <w:rFonts w:ascii="Times New Roman" w:cs="Times New Roman" w:eastAsia="Times New Roman" w:hAnsi="Times New Roman"/>
          <w:sz w:val="24"/>
          <w:szCs w:val="24"/>
        </w:rPr>
        <w:t xml:space="preserve">L'article 1844-4 du Code civil dispose, en des termes généraux applicables à toute société quelle que soit sa forme, civile ou commerciale, qu'« une société [...] peut être absorbée par une autre société ou participer à la constitution d'une société nouvelle, par voie de fusion [...]. Ces opérations peuvent intervenir entre des sociétés de forme différente. Elles sont décidées, par chacune des sociétés intéressées, dans les conditions requises pour la modification de ses statuts. »</w:t>
      </w:r>
      <w:r>
        <w:rPr>
          <w:rStyle w:val="FootnoteReference"/>
        </w:rPr>
        <w:footnoteReference w:id="1"/>
      </w:r>
      <w:r>
        <w:rPr>
          <w:rFonts w:ascii="Times New Roman" w:cs="Times New Roman" w:eastAsia="Times New Roman" w:hAnsi="Times New Roman"/>
          <w:sz w:val="24"/>
          <w:szCs w:val="24"/>
        </w:rPr>
        <w:t xml:space="preserve"> Ce texte, placé au sein du titre du Code civil consacré à la société en général, constitue le droit commun de la fusion, applicable à toute société — y compris, donc, à une société civile absorbante. Sous cet angle, la fusion litigieuse pouvait valablement être réalisée par la seule application de ce texte : chaque société participante prendrait sa décision de fusion dans les conditions de modification de ses propres statuts (assemblée générale extraordinaire pour la société par actions simplifiée absorbée, décision collective des associés selon les modalités statutaires pour la société civile absorbante), sans qu'aucune formalité supplémentaire ne soit légalement exigée.</w:t>
      </w:r>
    </w:p>
    <w:p>
      <w:pPr>
        <w:spacing w:after="200" w:line="360" w:lineRule="auto"/>
        <w:jc w:val="both"/>
      </w:pPr>
      <w:r>
        <w:rPr>
          <w:rFonts w:ascii="Times New Roman" w:cs="Times New Roman" w:eastAsia="Times New Roman" w:hAnsi="Times New Roman"/>
          <w:sz w:val="24"/>
          <w:szCs w:val="24"/>
        </w:rPr>
        <w:t xml:space="preserve">À l'inverse, les articles L. 236-1 et L. 236-2 du Code de commerce, issus de la refonte opérée par l'ordonnance n° 2023-393 du 24 mai 2023, organisent un régime spécial dont l'article L. 236-2 précise qu'« une fusion peut être réalisée entre des sociétés de forme différente »</w:t>
      </w:r>
      <w:r>
        <w:rPr>
          <w:rStyle w:val="FootnoteReference"/>
        </w:rPr>
        <w:footnoteReference w:id="2"/>
      </w:r>
      <w:r>
        <w:rPr>
          <w:rFonts w:ascii="Times New Roman" w:cs="Times New Roman" w:eastAsia="Times New Roman" w:hAnsi="Times New Roman"/>
          <w:sz w:val="24"/>
          <w:szCs w:val="24"/>
        </w:rPr>
        <w:t xml:space="preserve">. Ce régime, plus exigeant, impose notamment l'établissement d'un projet de fusion déposé au greffe du tribunal de commerce et publié</w:t>
      </w:r>
      <w:r>
        <w:rPr>
          <w:rStyle w:val="FootnoteReference"/>
        </w:rPr>
        <w:footnoteReference w:id="3"/>
      </w:r>
      <w:r>
        <w:rPr>
          <w:rFonts w:ascii="Times New Roman" w:cs="Times New Roman" w:eastAsia="Times New Roman" w:hAnsi="Times New Roman"/>
          <w:sz w:val="24"/>
          <w:szCs w:val="24"/>
        </w:rPr>
        <w:t xml:space="preserve">, ainsi que, surtout, un droit d'opposition ouvert aux créanciers non obligataires des sociétés participantes pendant un délai de trente jours à compter de la publicité du projet de fusion, à l'issue duquel, à défaut de remboursement de leur créance ou de constitution de garanties suffisantes, la fusion leur est rendue inopposable</w:t>
      </w:r>
      <w:r>
        <w:rPr>
          <w:rStyle w:val="FootnoteReference"/>
        </w:rPr>
        <w:footnoteReference w:id="4"/>
      </w:r>
      <w:r>
        <w:rPr>
          <w:rFonts w:ascii="Times New Roman" w:cs="Times New Roman" w:eastAsia="Times New Roman" w:hAnsi="Times New Roman"/>
          <w:sz w:val="24"/>
          <w:szCs w:val="24"/>
        </w:rPr>
        <w:t xml:space="preserve">. Ce mécanisme d'opposition constitue la contrepartie de la transmission universelle de patrimoine réalisée sans liquidation : il protège les créanciers de la société absorbée, qui perdent leur débiteur d'origine sans être consultés sur l'opération, en leur offrant un recours judiciaire préventif. Ce même régime prévoit par ailleurs, sous certaines conditions, l'intervention d'un commissaire à la fusion chargé d'apprécier le caractère équitable du rapport d'échange des droits sociaux.</w:t>
      </w:r>
    </w:p>
    <w:p>
      <w:pPr>
        <w:spacing w:after="200" w:line="360" w:lineRule="auto"/>
        <w:jc w:val="both"/>
      </w:pPr>
      <w:r>
        <w:rPr>
          <w:rFonts w:ascii="Times New Roman" w:cs="Times New Roman" w:eastAsia="Times New Roman" w:hAnsi="Times New Roman"/>
          <w:sz w:val="24"/>
          <w:szCs w:val="24"/>
        </w:rPr>
        <w:t xml:space="preserve">Une première lecture, fondée sur la seule consultation des bases de données de jurisprudence et de doctrine généralistes, fait apparaître une incertitude entre deux thèses. Le régime des articles L. 236-1 et suivants du Code de commerce est, par son intitulé et sa place dans le plan du code, présenté comme cantonné aux « sociétés commerciales » ; une société civile n'étant pas, par hypothèse, une société commerciale par sa forme, une lecture stricte de la lettre du texte pourrait conduire à exclure du champ d'application de ce régime protecteur toute fusion à laquelle participe une société civile — y compris, donc, celle où une société civile est absorbante et une société commerciale absorbée, de sorte que seul l'article 1844-4 du Code civil trouverait à s'appliquer. À l'inverse, une partie de la doctrine notariale et de la pratique des cabinets d'affaires soutient que ce régime protecteur devrait être étendu, par analogie, à toute fusion à laquelle participe une société commerciale, quelle que soit la forme de l'autre société participante — extension dont le fondement textuel résiderait dans la généralité de la formule de l'article L. 236-2 du Code de commerce (« sociétés de forme différente », admise sans exclusion expresse des sociétés civiles), et le fondement téléologique dans la nécessité de protéger les créanciers de la société commerciale absorbée, qui ne sauraient être privés du droit d'opposition que leur reconnaît le Code de commerce au seul motif que la société bénéficiaire de la fusion revêt une forme civile — argument que renforcerait, par comparaison, l'article 1844-5 du Code civil qui, pour l'hypothèse voisine de la transmission universelle de patrimoine consécutive à la réunion de toutes les parts sociales d'une société en une seule main, reconnaît expressément aux créanciers un droit d'opposition de trente jours</w:t>
      </w:r>
      <w:r>
        <w:rPr>
          <w:rStyle w:val="FootnoteReference"/>
        </w:rPr>
        <w:footnoteReference w:id="5"/>
      </w:r>
      <w:r>
        <w:rPr>
          <w:rFonts w:ascii="Times New Roman" w:cs="Times New Roman" w:eastAsia="Times New Roman" w:hAnsi="Times New Roman"/>
          <w:sz w:val="24"/>
          <w:szCs w:val="24"/>
        </w:rPr>
        <w:t xml:space="preserve">.</w:t>
      </w:r>
    </w:p>
    <w:p>
      <w:pPr>
        <w:spacing w:after="200" w:line="360" w:lineRule="auto"/>
        <w:jc w:val="both"/>
      </w:pPr>
      <w:r>
        <w:rPr>
          <w:rFonts w:ascii="Times New Roman" w:cs="Times New Roman" w:eastAsia="Times New Roman" w:hAnsi="Times New Roman"/>
          <w:sz w:val="24"/>
          <w:szCs w:val="24"/>
        </w:rPr>
        <w:t xml:space="preserve">Cette présentation binaire, telle qu'elle ressort des sources immédiatement accessibles, invitait cependant à un examen plus approfondi. D'une part, elle repose sur une lecture isolée de l'article L. 236-2 du Code de commerce, sans que soit interrogée la portée exacte de sa formule au regard de l'économie d'ensemble du chapitre dans lequel il s'insère. D'autre part, elle ignore l'existence d'une prise de position institutionnelle, émanant de l'organe même chargé de coordonner la pratique des greffes de tribunaux de commerce en la matière, qui tranche directement la difficulté. C'est cet approfondissement, mené au-delà du délai imparti à la mission initiale, qui est exposé ci-après.</w:t>
      </w:r>
    </w:p>
    <w:p>
      <w:pPr>
        <w:spacing w:after="160" w:before="220" w:line="360" w:lineRule="auto"/>
      </w:pPr>
      <w:r>
        <w:rPr>
          <w:rFonts w:ascii="Times New Roman" w:cs="Times New Roman" w:eastAsia="Times New Roman" w:hAnsi="Times New Roman"/>
          <w:b/>
          <w:bCs/>
          <w:sz w:val="24"/>
          <w:szCs w:val="24"/>
        </w:rPr>
        <w:t xml:space="preserve">B. Le rattachement exclusif de l'opération au droit commun des fusions de l'article 1844-4 du Code civil</w:t>
      </w:r>
    </w:p>
    <w:p>
      <w:pPr>
        <w:spacing w:after="200" w:line="360" w:lineRule="auto"/>
        <w:jc w:val="both"/>
      </w:pPr>
      <w:r>
        <w:rPr>
          <w:rFonts w:ascii="Times New Roman" w:cs="Times New Roman" w:eastAsia="Times New Roman" w:hAnsi="Times New Roman"/>
          <w:sz w:val="24"/>
          <w:szCs w:val="24"/>
        </w:rPr>
        <w:t xml:space="preserve">Un examen attentif de la lettre et de l'histoire des articles L. 236-1 et suivants du Code de commerce conduit à écarter la thèse de l'extension par analogie. Ces dispositions figurent au chapitre du Code de commerce consacré aux « dispositions communes aux diverses sociétés commerciales », au sein d'un livre lui-même consacré aux « sociétés commerciales et aux groupements d'intérêt économique ». Cette localisation n'est pas fortuite : elle procède de l'article 372 de la loi n° 66-537 du 24 juillet 1966 sur les sociétés commerciales, dont les travaux préparatoires ne laissent place à aucune ambiguïté. Le sénateur rapporteur du texte l'exposait en ces termes : « il ne peut être contesté que toute société, quelle qu'en soit la forme, a le droit d'absorber une société, d'être absorbée par elle ou de se scinder. Il est donc apparu nécessaire d'insérer dans le projet des dispositions qui régissent la matière — à propos de toutes les formes de sociétés — et il n'est pas de meilleure place à cet égard que le chapitre [...] qui traite des "dispositions communes aux diverses sociétés commerciales dotées de la personnalité morale" », l'exemple donné à l'appui de la démonstration étant précisément celui d'une fusion entre une société anonyme et une société en nom collectif — deux formes commerciales</w:t>
      </w:r>
      <w:r>
        <w:rPr>
          <w:rStyle w:val="FootnoteReference"/>
        </w:rPr>
        <w:footnoteReference w:id="6"/>
      </w:r>
      <w:r>
        <w:rPr>
          <w:rFonts w:ascii="Times New Roman" w:cs="Times New Roman" w:eastAsia="Times New Roman" w:hAnsi="Times New Roman"/>
          <w:sz w:val="24"/>
          <w:szCs w:val="24"/>
        </w:rPr>
        <w:t xml:space="preserve">. L'objet de la loi de 1966, la place de ces dispositions au sein d'une section relative « aux diverses sociétés commerciales » et l'exemple retenu par le rapporteur convergent ainsi vers une même conclusion : ce texte n'a jamais eu vocation à régir que les fusions entre sociétés commerciales de forme différente, à l'exclusion de toute fusion impliquant, à quelque titre que ce soit, une société civile.</w:t>
      </w:r>
    </w:p>
    <w:p>
      <w:pPr>
        <w:spacing w:after="200" w:line="360" w:lineRule="auto"/>
        <w:jc w:val="both"/>
      </w:pPr>
      <w:r>
        <w:rPr>
          <w:rFonts w:ascii="Times New Roman" w:cs="Times New Roman" w:eastAsia="Times New Roman" w:hAnsi="Times New Roman"/>
          <w:sz w:val="24"/>
          <w:szCs w:val="24"/>
        </w:rPr>
        <w:t xml:space="preserve">La codification de ces dispositions au sein du Code de commerce, opérée « à droit constant » par l'ordonnance n° 2000-912 du 18 septembre 2000, n'a pu, par construction, en élargir silencieusement le champ d'application : le rapport au Président de la République qui l'accompagne rappelle expressément que le titre ainsi créé demeure « consacré aux dispositions communes aux diverses sociétés commerciales »</w:t>
      </w:r>
      <w:r>
        <w:rPr>
          <w:rStyle w:val="FootnoteReference"/>
        </w:rPr>
        <w:footnoteReference w:id="7"/>
      </w:r>
      <w:r>
        <w:rPr>
          <w:rFonts w:ascii="Times New Roman" w:cs="Times New Roman" w:eastAsia="Times New Roman" w:hAnsi="Times New Roman"/>
          <w:sz w:val="24"/>
          <w:szCs w:val="24"/>
        </w:rPr>
        <w:t xml:space="preserve">. Il en va nécessairement de même de la réécriture de ces dispositions par l'ordonnance du 24 mai 2023, laquelle n'a ni renommé ce titre ni modifié le périmètre du livre II du Code de commerce.</w:t>
      </w:r>
    </w:p>
    <w:p>
      <w:pPr>
        <w:spacing w:after="200" w:line="360" w:lineRule="auto"/>
        <w:jc w:val="both"/>
      </w:pPr>
      <w:r>
        <w:rPr>
          <w:rFonts w:ascii="Times New Roman" w:cs="Times New Roman" w:eastAsia="Times New Roman" w:hAnsi="Times New Roman"/>
          <w:sz w:val="24"/>
          <w:szCs w:val="24"/>
        </w:rPr>
        <w:t xml:space="preserve">Cette lecture, loin d'être une reconstruction doctrinale isolée, est celle que retient la pratique institutionnelle elle-même — ce que la seule interrogation des bases de données généralistes n'avait pas permis de mettre en évidence lors de la recherche initiale. Le Comité de coordination du registre du commerce et des sociétés, organe chargé d'harmoniser la pratique des greffes de tribunaux de commerce, a ainsi jugé qu'« une opération réalisée entre une société commerciale et une ou plusieurs sociétés civiles n'est pas régie par les dispositions du code de commerce mais par le droit commun des fusions (article 1844-4 du code civil) »</w:t>
      </w:r>
      <w:r>
        <w:rPr>
          <w:rStyle w:val="FootnoteReference"/>
        </w:rPr>
        <w:footnoteReference w:id="8"/>
      </w:r>
      <w:r>
        <w:rPr>
          <w:rFonts w:ascii="Times New Roman" w:cs="Times New Roman" w:eastAsia="Times New Roman" w:hAnsi="Times New Roman"/>
          <w:sz w:val="24"/>
          <w:szCs w:val="24"/>
        </w:rPr>
        <w:t xml:space="preserve"> — solution que reprend également la doctrine administrative fiscale</w:t>
      </w:r>
      <w:r>
        <w:rPr>
          <w:rStyle w:val="FootnoteReference"/>
        </w:rPr>
        <w:footnoteReference w:id="9"/>
      </w:r>
      <w:r>
        <w:rPr>
          <w:rFonts w:ascii="Times New Roman" w:cs="Times New Roman" w:eastAsia="Times New Roman" w:hAnsi="Times New Roman"/>
          <w:sz w:val="24"/>
          <w:szCs w:val="24"/>
        </w:rPr>
        <w:t xml:space="preserve">. Ce sont donc les dispositions de l'article 1844-4 du Code civil qui ont seules vocation à régir, en tant que droit commun, l'opération de fusion objet du dossier — non le régime spécial du Code de commerce, quand bien même celui-ci proclamerait par ailleurs, pour les seules sociétés commerciales, le même principe de neutralité de la forme.</w:t>
      </w:r>
    </w:p>
    <w:p>
      <w:pPr>
        <w:spacing w:after="200" w:line="360" w:lineRule="auto"/>
        <w:jc w:val="both"/>
      </w:pPr>
      <w:r>
        <w:rPr>
          <w:rFonts w:ascii="Times New Roman" w:cs="Times New Roman" w:eastAsia="Times New Roman" w:hAnsi="Times New Roman"/>
          <w:sz w:val="24"/>
          <w:szCs w:val="24"/>
        </w:rPr>
        <w:t xml:space="preserve">Ce rattachement exclusif emportait, dans le dossier traité, des conséquences concrètes que la recherche a permis d'identifier avec précision. La dispense d'échange de titres que prévoit le Code de commerce dans certaines hypothèses de détention ne pouvait s'appliquer de plein droit et aurait dû, le cas échéant, être stipulée expressément dans le traité de fusion. La rétroactivité de l'opération ne pouvait davantage être présumée, faute de texte l'autorisant pour cette opération hybride — seule une date d'effet différée demeurant envisageable sur le fondement du droit commun des obligations à terme</w:t>
      </w:r>
      <w:r>
        <w:rPr>
          <w:rStyle w:val="FootnoteReference"/>
        </w:rPr>
        <w:footnoteReference w:id="10"/>
      </w:r>
      <w:r>
        <w:rPr>
          <w:rFonts w:ascii="Times New Roman" w:cs="Times New Roman" w:eastAsia="Times New Roman" w:hAnsi="Times New Roman"/>
          <w:sz w:val="24"/>
          <w:szCs w:val="24"/>
        </w:rPr>
        <w:t xml:space="preserve">. Enfin, et c'est là le point le plus directement utile au dossier, les formalités de dépôt, de publicité et le droit d'opposition des créanciers propres aux fusions entre sociétés commerciales ne s'imposaient pas davantage. Il en allait de même, plus spécifiquement, de la désignation d'un commissaire à la fusion, dont l'intervention avait pourtant été envisagée comme une garantie possible lors de la recherche initiale : le Comité de coordination du registre du commerce et des sociétés a expressément affirmé que les dispositions du Code de commerce relatives à cette désignation ne sont pas applicables à la fusion d'une société commerciale avec une société civile</w:t>
      </w:r>
      <w:r>
        <w:rPr>
          <w:rStyle w:val="FootnoteReference"/>
        </w:rPr>
        <w:footnoteReference w:id="11"/>
      </w:r>
      <w:r>
        <w:rPr>
          <w:rFonts w:ascii="Times New Roman" w:cs="Times New Roman" w:eastAsia="Times New Roman" w:hAnsi="Times New Roman"/>
          <w:sz w:val="24"/>
          <w:szCs w:val="24"/>
        </w:rPr>
        <w:t xml:space="preserve">.</w:t>
      </w:r>
    </w:p>
    <w:p>
      <w:pPr>
        <w:spacing w:after="200" w:line="360" w:lineRule="auto"/>
        <w:jc w:val="both"/>
      </w:pPr>
      <w:r>
        <w:rPr>
          <w:rFonts w:ascii="Times New Roman" w:cs="Times New Roman" w:eastAsia="Times New Roman" w:hAnsi="Times New Roman"/>
          <w:sz w:val="24"/>
          <w:szCs w:val="24"/>
        </w:rPr>
        <w:t xml:space="preserve">Cette exclusion du régime spécial du Code de commerce, aussi nécessaire soit-elle à la juste qualification de l'opération, ne dit encore rien des conséquences qu'elle emporte, sur le fond, pour les associés de la société absorbée. Contrairement à ce que pourrait laisser craindre l'absence de tout régime spécial, cette exclusion n'était cependant pas synonyme, dans le dossier traité, d'absence totale de protection.</w:t>
      </w:r>
    </w:p>
    <w:p>
      <w:pPr>
        <w:spacing w:after="160" w:before="220" w:line="360" w:lineRule="auto"/>
      </w:pPr>
      <w:r>
        <w:rPr>
          <w:rFonts w:ascii="Times New Roman" w:cs="Times New Roman" w:eastAsia="Times New Roman" w:hAnsi="Times New Roman"/>
          <w:b/>
          <w:bCs/>
          <w:sz w:val="24"/>
          <w:szCs w:val="24"/>
        </w:rPr>
        <w:t xml:space="preserve">C. Les conséquences protectrices de ce rattachement pour les associés de la société absorbée</w:t>
      </w:r>
    </w:p>
    <w:p>
      <w:pPr>
        <w:spacing w:after="200" w:line="360" w:lineRule="auto"/>
        <w:jc w:val="both"/>
      </w:pPr>
      <w:r>
        <w:rPr>
          <w:rFonts w:ascii="Times New Roman" w:cs="Times New Roman" w:eastAsia="Times New Roman" w:hAnsi="Times New Roman"/>
          <w:sz w:val="24"/>
          <w:szCs w:val="24"/>
        </w:rPr>
        <w:t xml:space="preserve">Le droit commun des sociétés comporte en effet un principe général, indépendant du droit spécial des fusions commerciales, qui trouvait à s'appliquer avec une acuité particulière dans le dossier traité : nul associé ne peut voir ses engagements augmentés sans son consentement. L'article 1836, alinéa 2, du Code civil dispose ainsi, en des termes qui ne souffrent aucune dérogation statutaire, qu'« en aucun cas, les engagements d'un associé ne peuvent être augmentés sans le consentement de celui-ci »</w:t>
      </w:r>
      <w:r>
        <w:rPr>
          <w:rStyle w:val="FootnoteReference"/>
        </w:rPr>
        <w:footnoteReference w:id="12"/>
      </w:r>
      <w:r>
        <w:rPr>
          <w:rFonts w:ascii="Times New Roman" w:cs="Times New Roman" w:eastAsia="Times New Roman" w:hAnsi="Times New Roman"/>
          <w:sz w:val="24"/>
          <w:szCs w:val="24"/>
        </w:rPr>
        <w:t xml:space="preserve">. La Cour de cassation a précisé la portée de cette règle, d'ordre public et sanctionnée par la nullité absolue de la décision qui la méconnaît, invocable par tout associé y compris celui qui aurait voté en faveur de la résolution litigieuse</w:t>
      </w:r>
      <w:r>
        <w:rPr>
          <w:rStyle w:val="FootnoteReference"/>
        </w:rPr>
        <w:footnoteReference w:id="13"/>
      </w:r>
      <w:r>
        <w:rPr>
          <w:rFonts w:ascii="Times New Roman" w:cs="Times New Roman" w:eastAsia="Times New Roman" w:hAnsi="Times New Roman"/>
          <w:sz w:val="24"/>
          <w:szCs w:val="24"/>
        </w:rPr>
        <w:t xml:space="preserve"> ; elle a par ailleurs été jugée expressément applicable aux sociétés civiles immobilières « comme aux autres sociétés »</w:t>
      </w:r>
      <w:r>
        <w:rPr>
          <w:rStyle w:val="FootnoteReference"/>
        </w:rPr>
        <w:footnoteReference w:id="14"/>
      </w:r>
      <w:r>
        <w:rPr>
          <w:rFonts w:ascii="Times New Roman" w:cs="Times New Roman" w:eastAsia="Times New Roman" w:hAnsi="Times New Roman"/>
          <w:sz w:val="24"/>
          <w:szCs w:val="24"/>
        </w:rPr>
        <w:t xml:space="preserve">.</w:t>
      </w:r>
    </w:p>
    <w:p>
      <w:pPr>
        <w:spacing w:after="200" w:line="360" w:lineRule="auto"/>
        <w:jc w:val="both"/>
      </w:pPr>
      <w:r>
        <w:rPr>
          <w:rFonts w:ascii="Times New Roman" w:cs="Times New Roman" w:eastAsia="Times New Roman" w:hAnsi="Times New Roman"/>
          <w:sz w:val="24"/>
          <w:szCs w:val="24"/>
        </w:rPr>
        <w:t xml:space="preserve">Cette règle prenait, dans le dossier traité, une portée directe. Les actionnaires de la société par actions simplifiée absorbée ne répondaient, avant l'opération, des dettes sociales qu'à concurrence de leurs apports</w:t>
      </w:r>
      <w:r>
        <w:rPr>
          <w:rStyle w:val="FootnoteReference"/>
        </w:rPr>
        <w:footnoteReference w:id="15"/>
      </w:r>
      <w:r>
        <w:rPr>
          <w:rFonts w:ascii="Times New Roman" w:cs="Times New Roman" w:eastAsia="Times New Roman" w:hAnsi="Times New Roman"/>
          <w:sz w:val="24"/>
          <w:szCs w:val="24"/>
        </w:rPr>
        <w:t xml:space="preserve">. Or, en devenant, par l'effet de la transmission universelle de patrimoine, associés de la société civile absorbante, ils se trouvaient soumis à l'obligation, indéfinie quoique non solidaire, de répondre des dettes sociales à proportion de leur participation dans le capital</w:t>
      </w:r>
      <w:r>
        <w:rPr>
          <w:rStyle w:val="FootnoteReference"/>
        </w:rPr>
        <w:footnoteReference w:id="16"/>
      </w:r>
      <w:r>
        <w:rPr>
          <w:rFonts w:ascii="Times New Roman" w:cs="Times New Roman" w:eastAsia="Times New Roman" w:hAnsi="Times New Roman"/>
          <w:sz w:val="24"/>
          <w:szCs w:val="24"/>
        </w:rPr>
        <w:t xml:space="preserve">. Le passage d'une responsabilité limitée aux apports à une responsabilité indéfinie constitue, par excellence, l'aggravation des engagements que vise l'article 1836, alinéa 2 : la fusion ne pouvait donc être valablement décidée, du côté de la société absorbée, qu'à l'unanimité de ses actionnaires — exigence qui rejoint, sans s'y réduire, celle que pose désormais l'article L. 236-5 du Code de commerce pour les seules fusions relevant de son champ d'application</w:t>
      </w:r>
      <w:r>
        <w:rPr>
          <w:rStyle w:val="FootnoteReference"/>
        </w:rPr>
        <w:footnoteReference w:id="17"/>
      </w:r>
      <w:r>
        <w:rPr>
          <w:rFonts w:ascii="Times New Roman" w:cs="Times New Roman" w:eastAsia="Times New Roman" w:hAnsi="Times New Roman"/>
          <w:sz w:val="24"/>
          <w:szCs w:val="24"/>
        </w:rPr>
        <w:t xml:space="preserve">, et qui prive au demeurant d'intérêt pratique la question, un temps envisagée dans la recherche initiale, de l'applicabilité éventuelle des régimes de fusion simplifiée : ceux-ci ne dispensent en effet leurs bénéficiaires que d'une formalité de convocation ou de consultation, non de l'exigence de fond que pose l'article 1836, alinéa 2, laquelle est indisponible.</w:t>
      </w:r>
    </w:p>
    <w:p>
      <w:pPr>
        <w:spacing w:after="200" w:line="360" w:lineRule="auto"/>
        <w:jc w:val="both"/>
      </w:pPr>
      <w:r>
        <w:rPr>
          <w:rFonts w:ascii="Times New Roman" w:cs="Times New Roman" w:eastAsia="Times New Roman" w:hAnsi="Times New Roman"/>
          <w:sz w:val="24"/>
          <w:szCs w:val="24"/>
        </w:rPr>
        <w:t xml:space="preserve">Un second risque, plus radical, méritait également d'être signalé, quoiqu'il ne se soit pas concrétisé dans le dossier traité, la société civile faîtière ayant vocation à poursuivre une activité de gestion patrimoniale strictement civile : celui d'une requalification de la société absorbante en société commerciale créée de fait, dans l'hypothèse où l'activité commerciale de la société absorbée se serait poursuivie, après la fusion, au sein de la société civile bénéficiaire. Les dispositions relatives à la société en participation auraient alors été rendues applicables</w:t>
      </w:r>
      <w:r>
        <w:rPr>
          <w:rStyle w:val="FootnoteReference"/>
        </w:rPr>
        <w:footnoteReference w:id="18"/>
      </w:r>
      <w:r>
        <w:rPr>
          <w:rFonts w:ascii="Times New Roman" w:cs="Times New Roman" w:eastAsia="Times New Roman" w:hAnsi="Times New Roman"/>
          <w:sz w:val="24"/>
          <w:szCs w:val="24"/>
        </w:rPr>
        <w:t xml:space="preserve">, avec une conséquence potentiellement sévère pour les associés : chaque associé répond, avec les autres, des engagements nés des actes accomplis par l'un d'eux en cette qualité au vu et au su des tiers, avec solidarité si la société est commerciale — solidarité qui aurait alors excédé la seule obligation proportionnelle examinée ci-dessus. Ce risque, resté théorique en l'espèce compte tenu de l'objet purement patrimonial conservé par la société absorbante, méritait néanmoins d'être identifié et documenté à l'attention du client, dans la mesure où il aurait pu se matérialiser si l'activité commerciale de la filiale absorbée avait dû, pour quelque raison que ce soit, être poursuivie au sein de la structure civile plutôt que cédée ou apportée séparément.</w:t>
      </w:r>
    </w:p>
    <w:p>
      <w:pPr>
        <w:spacing w:after="160" w:before="220" w:line="360" w:lineRule="auto"/>
      </w:pPr>
      <w:r>
        <w:rPr>
          <w:rFonts w:ascii="Times New Roman" w:cs="Times New Roman" w:eastAsia="Times New Roman" w:hAnsi="Times New Roman"/>
          <w:b/>
          <w:bCs/>
          <w:sz w:val="24"/>
          <w:szCs w:val="24"/>
        </w:rPr>
        <w:t xml:space="preserve">D. Les solutions retenues dans le dossier</w:t>
      </w:r>
    </w:p>
    <w:p>
      <w:pPr>
        <w:spacing w:after="200" w:line="360" w:lineRule="auto"/>
        <w:jc w:val="both"/>
      </w:pPr>
      <w:r>
        <w:rPr>
          <w:rFonts w:ascii="Times New Roman" w:cs="Times New Roman" w:eastAsia="Times New Roman" w:hAnsi="Times New Roman"/>
          <w:sz w:val="24"/>
          <w:szCs w:val="24"/>
        </w:rPr>
        <w:t xml:space="preserve">Au terme de la recherche menée dans le délai imparti à la mission, ma recommandation, formulée à l'attention de Maître Sophie Coignat, a consisté à privilégier, par prudence, l'application volontaire des formalités du régime du Code de commerce — dépôt et publicité du projet de fusion, respect du délai d'opposition des créanciers —, alors même que leur caractère obligatoire n'avait pu être établi avec certitude dans le temps imparti. Cette recommandation reposait sur une analyse en termes de risque plus qu'en termes de certitude théorique : à supposer que le régime du Code de commerce fût, contrairement à ce que suggérait une lecture stricte de son champ d'application, effectivement applicable par analogie, son inapplication aurait exposé la fusion à un risque d'inopposabilité aux créanciers non désintéressés de la société absorbée.</w:t>
      </w:r>
    </w:p>
    <w:p>
      <w:pPr>
        <w:spacing w:after="200" w:line="360" w:lineRule="auto"/>
        <w:jc w:val="both"/>
      </w:pPr>
      <w:r>
        <w:rPr>
          <w:rFonts w:ascii="Times New Roman" w:cs="Times New Roman" w:eastAsia="Times New Roman" w:hAnsi="Times New Roman"/>
          <w:sz w:val="24"/>
          <w:szCs w:val="24"/>
        </w:rPr>
        <w:t xml:space="preserve">Il convient de rappeler, sur ce point, que l'avocat, dans sa mission de conseil et de rédaction d'actes, est tenu d'une obligation de moyens : il doit conseiller son client avec diligence, compétence et loyauté, sans pour autant garantir un résultat juridique certain lorsque l'état du droit est lui-même incertain — ce qui, au regard des seules sources mobilisables dans le temps imparti au dossier, était le cas en l'espèce. Cette obligation de moyens ne dispense cependant pas l'avocat d'exposer clairement à son client l'existence de l'incertitude et les risques respectifs attachés à chacune des options envisageables, afin que ce dernier puisse exercer un choix éclairé — ce qui a été fait.</w:t>
      </w:r>
    </w:p>
    <w:p>
      <w:pPr>
        <w:spacing w:after="200" w:line="360" w:lineRule="auto"/>
        <w:jc w:val="both"/>
      </w:pPr>
      <w:r>
        <w:rPr>
          <w:rFonts w:ascii="Times New Roman" w:cs="Times New Roman" w:eastAsia="Times New Roman" w:hAnsi="Times New Roman"/>
          <w:sz w:val="24"/>
          <w:szCs w:val="24"/>
        </w:rPr>
        <w:t xml:space="preserve">Informé de cette analyse, le client a en définitive fait le choix, en toute connaissance de cause, de retenir le régime plus souple du Code civil, privilégiant la rapidité d'exécution de l'opération dans le calendrier contraint de la restructuration familiale, et acceptant le risque résiduel d'inopposabilité aux créanciers non désintéressés — risque au demeurant limité en pratique, la société absorbée n'étant débitrice, à la date de l'opération, que d'un nombre restreint de créanciers, tous parfaitement identifiés et dont l'accord de principe avait pu être recueilli en amont de l'opération.</w:t>
      </w:r>
    </w:p>
    <w:p>
      <w:pPr>
        <w:spacing w:after="200" w:line="360" w:lineRule="auto"/>
        <w:jc w:val="both"/>
      </w:pPr>
      <w:r>
        <w:rPr>
          <w:rFonts w:ascii="Times New Roman" w:cs="Times New Roman" w:eastAsia="Times New Roman" w:hAnsi="Times New Roman"/>
          <w:sz w:val="24"/>
          <w:szCs w:val="24"/>
        </w:rPr>
        <w:t xml:space="preserve">La recherche complémentaire conduite pour les besoins du présent mémoire permet, avec le recul, d'apporter un éclairage supplémentaire sur ce choix. Elle confirme que la position retenue par le client ne reposait pas seulement sur un arbitrage pragmatique entre sécurité juridique et opérationnalité, comme cela pouvait apparaître au moment de la décision, mais rejoignait en réalité la position la mieux établie en droit positif — celle que consacre l'avis précité du Comité de coordination du registre du commerce et des sociétés. Cette convergence, pour fortuite qu'elle ait été à l'époque de l'opération, n'en illustre pas moins une réalité que la pratique enseigne fréquemment : la solution la plus prudente en apparence — ici, l'application cumulative des deux régimes — n'est pas toujours la mieux fondée en droit, et l'analyse la plus sécurisante pour le client peut, à l'examen approfondi, rejoindre celle qui lui avait été présentée comme la plus rapide. Ce constat ne retire rien à la légitimité de la recommandation initiale, formulée dans un contexte de délai contraint et sur la base des seules sources alors mobilisables : il illustre plutôt les limites inhérentes à tout exercice de recherche juridique conduit sous la double contrainte du temps et de l'accès aux seules bases de données généralistes, et la valeur ajoutée que peut apporter, en aval, un travail de recherche plus approfondi.</w:t>
      </w:r>
    </w:p>
    <w:p>
      <w:pPr>
        <w:spacing w:after="160" w:before="220" w:line="360" w:lineRule="auto"/>
      </w:pPr>
      <w:r>
        <w:rPr>
          <w:rFonts w:ascii="Times New Roman" w:cs="Times New Roman" w:eastAsia="Times New Roman" w:hAnsi="Times New Roman"/>
          <w:b/>
          <w:bCs/>
          <w:sz w:val="24"/>
          <w:szCs w:val="24"/>
        </w:rPr>
        <w:t xml:space="preserve">E. Une difficulté connexe : l'augmentation de capital par compensation d'une créance de compte courant détenue en indivision</w:t>
      </w:r>
    </w:p>
    <w:p>
      <w:pPr>
        <w:spacing w:after="200" w:line="360" w:lineRule="auto"/>
        <w:jc w:val="both"/>
      </w:pPr>
      <w:r>
        <w:rPr>
          <w:rFonts w:ascii="Times New Roman" w:cs="Times New Roman" w:eastAsia="Times New Roman" w:hAnsi="Times New Roman"/>
          <w:sz w:val="24"/>
          <w:szCs w:val="24"/>
        </w:rPr>
        <w:t xml:space="preserve">La restructuration du Groupe comportait, ainsi qu'il a été indiqué, une seconde opération dont l'analyse a été menée en parallèle de la question principale de la fusion, et qui présentait sa propre difficulté juridique : une augmentation de capital de l'une des sociétés du Groupe devait être libérée, non par un apport en numéraire, mais par compensation avec une créance de compte courant d'associé, cette créance étant elle-même détenue en indivision par plusieurs héritiers à la suite d'une succession antérieure. Se posait alors la question de savoir si une telle opération pouvait être valablement décidée et exécutée sans le consentement unanime de l'ensemble des indivisaires titulaires de la créance.</w:t>
      </w:r>
    </w:p>
    <w:p>
      <w:pPr>
        <w:spacing w:after="200" w:line="360" w:lineRule="auto"/>
        <w:jc w:val="both"/>
      </w:pPr>
      <w:r>
        <w:rPr>
          <w:rFonts w:ascii="Times New Roman" w:cs="Times New Roman" w:eastAsia="Times New Roman" w:hAnsi="Times New Roman"/>
          <w:sz w:val="24"/>
          <w:szCs w:val="24"/>
        </w:rPr>
        <w:t xml:space="preserve">L'article 815-3 du Code civil distingue, en matière de gestion des biens indivis, les actes d'administration, que les indivisaires titulaires d'au moins deux tiers des droits indivis peuvent accomplir à cette majorité qualifiée, et les actes de disposition, pour lesquels le texte exige, sauf exception limitativement énumérée, « le consentement de tous les indivisaires »</w:t>
      </w:r>
      <w:r>
        <w:rPr>
          <w:rStyle w:val="FootnoteReference"/>
        </w:rPr>
        <w:footnoteReference w:id="19"/>
      </w:r>
      <w:r>
        <w:rPr>
          <w:rFonts w:ascii="Times New Roman" w:cs="Times New Roman" w:eastAsia="Times New Roman" w:hAnsi="Times New Roman"/>
          <w:sz w:val="24"/>
          <w:szCs w:val="24"/>
        </w:rPr>
        <w:t xml:space="preserve">. La qualification de l'opération envisagée — la compensation de la créance indivise avec le prix de souscription de titres nouvellement émis — déterminait donc directement le régime de majorité applicable.</w:t>
      </w:r>
    </w:p>
    <w:p>
      <w:pPr>
        <w:spacing w:after="200" w:line="360" w:lineRule="auto"/>
        <w:jc w:val="both"/>
      </w:pPr>
      <w:r>
        <w:rPr>
          <w:rFonts w:ascii="Times New Roman" w:cs="Times New Roman" w:eastAsia="Times New Roman" w:hAnsi="Times New Roman"/>
          <w:sz w:val="24"/>
          <w:szCs w:val="24"/>
        </w:rPr>
        <w:t xml:space="preserve">Or, une telle opération ne pouvait raisonnablement être qualifiée de simple acte d'administration. La compensation emporte extinction de la créance de compte courant, bien monétaire liquide et immédiatement exigible, et sa substitution par des titres sociaux, actif de nature radicalement différente, dont la liquidité, le régime juridique et le profil de risque ne sont en rien comparables à ceux d'une créance de compte courant. Une telle transformation de la nature juridique de l'actif indivis excède, par sa portée, la simple gestion courante du bien indivis pour relever de sa disposition, au sens de l'article 815-3, alinéa 2, du Code civil, ainsi que l'admet la doctrine majoritaire pour toute opération ayant pour effet d'échanger un actif indivis contre un actif de nature différente. Il en résulte que l'accord unanime de l'ensemble des indivisaires titulaires de la créance de compte courant, et non la seule majorité des deux tiers, était juridiquement requis pour que l'augmentation de capital par compensation puisse être valablement réalisée.</w:t>
      </w:r>
    </w:p>
    <w:p>
      <w:pPr>
        <w:spacing w:after="200" w:line="360" w:lineRule="auto"/>
        <w:jc w:val="both"/>
      </w:pPr>
      <w:r>
        <w:rPr>
          <w:rFonts w:ascii="Times New Roman" w:cs="Times New Roman" w:eastAsia="Times New Roman" w:hAnsi="Times New Roman"/>
          <w:sz w:val="24"/>
          <w:szCs w:val="24"/>
        </w:rPr>
        <w:t xml:space="preserve">La recommandation formulée sur ce point a en conséquence consisté à recueillir, préalablement à la réalisation de l'opération, un accord écrit et unanime de l'ensemble des indivisaires concernés, matérialisé par un acte de consentement exprès à l'opération de compensation, plutôt que de se contenter de l'accord de la seule majorité des deux tiers requise pour les actes d'administration. Cette précaution, suivie par le client, a permis d'écarter tout risque ultérieur de remise en cause de l'augmentation de capital par un indivisaire minoritaire qui n'y aurait pas expressément consenti — risque d'autant plus sensible dans un contexte familial où les relations entre héritiers, en particulier lorsque la succession est encore récente, peuvent se dégrader et donner lieu à des contestations sur des opérations passées.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line="276" w:lineRule="auto"/>
      </w:pPr>
      <w:r>
        <w:rPr>
          <w:rStyle w:val="FootnoteReference"/>
        </w:rPr>
        <w:footnoteRef/>
      </w:r>
      <w:hyperlink w:history="1" r:id="rIducvucv9mm8lxw1wt8bi5q">
        <w:r>
          <w:rPr>
            <w:rFonts w:ascii="Times New Roman" w:cs="Times New Roman" w:eastAsia="Times New Roman" w:hAnsi="Times New Roman"/>
            <w:color w:val="0563C1"/>
            <w:sz w:val="20"/>
            <w:szCs w:val="20"/>
            <w:u w:val="single"/>
          </w:rPr>
          <w:t xml:space="preserve">Article 1844-4 du Code civil</w:t>
        </w:r>
      </w:hyperlink>
      <w:r>
        <w:rPr>
          <w:rFonts w:ascii="Times New Roman" w:cs="Times New Roman" w:eastAsia="Times New Roman" w:hAnsi="Times New Roman"/>
          <w:sz w:val="20"/>
          <w:szCs w:val="20"/>
        </w:rPr>
        <w:t xml:space="preserve">.</w:t>
      </w:r>
    </w:p>
  </w:footnote>
  <w:footnote w:id="2">
    <w:p>
      <w:pPr>
        <w:spacing w:line="276" w:lineRule="auto"/>
      </w:pPr>
      <w:r>
        <w:rPr>
          <w:rStyle w:val="FootnoteReference"/>
        </w:rPr>
        <w:footnoteRef/>
      </w:r>
      <w:hyperlink w:history="1" r:id="rIdsigyad4ugfpvqljtjqzqk">
        <w:r>
          <w:rPr>
            <w:rFonts w:ascii="Times New Roman" w:cs="Times New Roman" w:eastAsia="Times New Roman" w:hAnsi="Times New Roman"/>
            <w:color w:val="0563C1"/>
            <w:sz w:val="20"/>
            <w:szCs w:val="20"/>
            <w:u w:val="single"/>
          </w:rPr>
          <w:t xml:space="preserve">Article L. 236-2 du Code de commerce</w:t>
        </w:r>
      </w:hyperlink>
      <w:r>
        <w:rPr>
          <w:rFonts w:ascii="Times New Roman" w:cs="Times New Roman" w:eastAsia="Times New Roman" w:hAnsi="Times New Roman"/>
          <w:sz w:val="20"/>
          <w:szCs w:val="20"/>
        </w:rPr>
        <w:t xml:space="preserve">.</w:t>
      </w:r>
    </w:p>
  </w:footnote>
  <w:footnote w:id="3">
    <w:p>
      <w:pPr>
        <w:spacing w:line="276" w:lineRule="auto"/>
      </w:pPr>
      <w:r>
        <w:rPr>
          <w:rStyle w:val="FootnoteReference"/>
        </w:rPr>
        <w:footnoteRef/>
      </w:r>
      <w:hyperlink w:history="1" r:id="rIdz6enebqldcpp2sxohxot9">
        <w:r>
          <w:rPr>
            <w:rFonts w:ascii="Times New Roman" w:cs="Times New Roman" w:eastAsia="Times New Roman" w:hAnsi="Times New Roman"/>
            <w:color w:val="0563C1"/>
            <w:sz w:val="20"/>
            <w:szCs w:val="20"/>
            <w:u w:val="single"/>
          </w:rPr>
          <w:t xml:space="preserve">Article L. 236-6 du Code de commerce</w:t>
        </w:r>
      </w:hyperlink>
      <w:r>
        <w:rPr>
          <w:rFonts w:ascii="Times New Roman" w:cs="Times New Roman" w:eastAsia="Times New Roman" w:hAnsi="Times New Roman"/>
          <w:sz w:val="20"/>
          <w:szCs w:val="20"/>
        </w:rPr>
        <w:t xml:space="preserve">.</w:t>
      </w:r>
    </w:p>
  </w:footnote>
  <w:footnote w:id="4">
    <w:p>
      <w:pPr>
        <w:spacing w:line="276" w:lineRule="auto"/>
      </w:pPr>
      <w:r>
        <w:rPr>
          <w:rStyle w:val="FootnoteReference"/>
        </w:rPr>
        <w:footnoteRef/>
      </w:r>
      <w:hyperlink w:history="1" r:id="rIdw4ujgcsdtsaup1z6acfwo">
        <w:r>
          <w:rPr>
            <w:rFonts w:ascii="Times New Roman" w:cs="Times New Roman" w:eastAsia="Times New Roman" w:hAnsi="Times New Roman"/>
            <w:color w:val="0563C1"/>
            <w:sz w:val="20"/>
            <w:szCs w:val="20"/>
            <w:u w:val="single"/>
          </w:rPr>
          <w:t xml:space="preserve">Article L. 236-15 du Code de commerce</w:t>
        </w:r>
      </w:hyperlink>
      <w:r>
        <w:rPr>
          <w:rFonts w:ascii="Times New Roman" w:cs="Times New Roman" w:eastAsia="Times New Roman" w:hAnsi="Times New Roman"/>
          <w:sz w:val="20"/>
          <w:szCs w:val="20"/>
        </w:rPr>
        <w:t xml:space="preserve">.</w:t>
      </w:r>
    </w:p>
  </w:footnote>
  <w:footnote w:id="5">
    <w:p>
      <w:pPr>
        <w:spacing w:line="276" w:lineRule="auto"/>
      </w:pPr>
      <w:r>
        <w:rPr>
          <w:rStyle w:val="FootnoteReference"/>
        </w:rPr>
        <w:footnoteRef/>
      </w:r>
      <w:hyperlink w:history="1" r:id="rIdib9dc4ab3pm3m5aawwlpl">
        <w:r>
          <w:rPr>
            <w:rFonts w:ascii="Times New Roman" w:cs="Times New Roman" w:eastAsia="Times New Roman" w:hAnsi="Times New Roman"/>
            <w:color w:val="0563C1"/>
            <w:sz w:val="20"/>
            <w:szCs w:val="20"/>
            <w:u w:val="single"/>
          </w:rPr>
          <w:t xml:space="preserve">Article 1844-5 du Code civil</w:t>
        </w:r>
      </w:hyperlink>
      <w:r>
        <w:rPr>
          <w:rFonts w:ascii="Times New Roman" w:cs="Times New Roman" w:eastAsia="Times New Roman" w:hAnsi="Times New Roman"/>
          <w:sz w:val="20"/>
          <w:szCs w:val="20"/>
        </w:rPr>
        <w:t xml:space="preserve">.</w:t>
      </w:r>
    </w:p>
  </w:footnote>
  <w:footnote w:id="6">
    <w:p>
      <w:pPr>
        <w:spacing w:line="276" w:lineRule="auto"/>
      </w:pPr>
      <w:r>
        <w:rPr>
          <w:rStyle w:val="FootnoteReference"/>
        </w:rPr>
        <w:footnoteRef/>
      </w:r>
      <w:r>
        <w:rPr>
          <w:rFonts w:ascii="Times New Roman" w:cs="Times New Roman" w:eastAsia="Times New Roman" w:hAnsi="Times New Roman"/>
          <w:sz w:val="20"/>
          <w:szCs w:val="20"/>
        </w:rPr>
        <w:t xml:space="preserve">Rapport Molle, fait au nom de la commission des lois constitutionnelles, de la législation, du suffrage universel, du règlement et de l'administration générale, sur le projet de loi, adopté par l'Assemblée nationale, sur les sociétés commerciales, Sénat, session 1965-1966, n° 81, p. 341 et s.</w:t>
      </w:r>
    </w:p>
  </w:footnote>
  <w:footnote w:id="7">
    <w:p>
      <w:pPr>
        <w:spacing w:line="276" w:lineRule="auto"/>
      </w:pPr>
      <w:r>
        <w:rPr>
          <w:rStyle w:val="FootnoteReference"/>
        </w:rPr>
        <w:footnoteRef/>
      </w:r>
      <w:r>
        <w:rPr>
          <w:rFonts w:ascii="Times New Roman" w:cs="Times New Roman" w:eastAsia="Times New Roman" w:hAnsi="Times New Roman"/>
          <w:sz w:val="20"/>
          <w:szCs w:val="20"/>
        </w:rPr>
        <w:t xml:space="preserve">Rapport au Président de la République relatif à l'ordonnance n° 2000-912 du 18 septembre 2000 relative à la partie législative du Code de commerce, JORF n° 219 du 21 septembre 2000, p. 14779.</w:t>
      </w:r>
    </w:p>
  </w:footnote>
  <w:footnote w:id="8">
    <w:p>
      <w:pPr>
        <w:spacing w:line="276" w:lineRule="auto"/>
      </w:pPr>
      <w:r>
        <w:rPr>
          <w:rStyle w:val="FootnoteReference"/>
        </w:rPr>
        <w:footnoteRef/>
      </w:r>
      <w:r>
        <w:rPr>
          <w:rFonts w:ascii="Times New Roman" w:cs="Times New Roman" w:eastAsia="Times New Roman" w:hAnsi="Times New Roman"/>
          <w:sz w:val="20"/>
          <w:szCs w:val="20"/>
        </w:rPr>
        <w:t xml:space="preserve">Comité de coordination du registre du commerce et des sociétés, avis n° 08-08 du 10 février 2009.</w:t>
      </w:r>
    </w:p>
  </w:footnote>
  <w:footnote w:id="9">
    <w:p>
      <w:pPr>
        <w:spacing w:line="276" w:lineRule="auto"/>
      </w:pPr>
      <w:r>
        <w:rPr>
          <w:rStyle w:val="FootnoteReference"/>
        </w:rPr>
        <w:footnoteRef/>
      </w:r>
      <w:r>
        <w:rPr>
          <w:rFonts w:ascii="Times New Roman" w:cs="Times New Roman" w:eastAsia="Times New Roman" w:hAnsi="Times New Roman"/>
          <w:sz w:val="20"/>
          <w:szCs w:val="20"/>
        </w:rPr>
        <w:t xml:space="preserve">Bulletin officiel des finances publiques, BOI-ENR-AVS-20-60, § 1.</w:t>
      </w:r>
    </w:p>
  </w:footnote>
  <w:footnote w:id="10">
    <w:p>
      <w:pPr>
        <w:spacing w:line="276" w:lineRule="auto"/>
      </w:pPr>
      <w:r>
        <w:rPr>
          <w:rStyle w:val="FootnoteReference"/>
        </w:rPr>
        <w:footnoteRef/>
      </w:r>
      <w:hyperlink w:history="1" r:id="rIds59dnbfkv3ufij04azexx">
        <w:r>
          <w:rPr>
            <w:rFonts w:ascii="Times New Roman" w:cs="Times New Roman" w:eastAsia="Times New Roman" w:hAnsi="Times New Roman"/>
            <w:color w:val="0563C1"/>
            <w:sz w:val="20"/>
            <w:szCs w:val="20"/>
            <w:u w:val="single"/>
          </w:rPr>
          <w:t xml:space="preserve">Article 1305 du Code civil</w:t>
        </w:r>
      </w:hyperlink>
      <w:r>
        <w:rPr>
          <w:rFonts w:ascii="Times New Roman" w:cs="Times New Roman" w:eastAsia="Times New Roman" w:hAnsi="Times New Roman"/>
          <w:sz w:val="20"/>
          <w:szCs w:val="20"/>
        </w:rPr>
        <w:t xml:space="preserve">.</w:t>
      </w:r>
    </w:p>
  </w:footnote>
  <w:footnote w:id="11">
    <w:p>
      <w:pPr>
        <w:spacing w:line="276" w:lineRule="auto"/>
      </w:pPr>
      <w:r>
        <w:rPr>
          <w:rStyle w:val="FootnoteReference"/>
        </w:rPr>
        <w:footnoteRef/>
      </w:r>
      <w:r>
        <w:rPr>
          <w:rFonts w:ascii="Times New Roman" w:cs="Times New Roman" w:eastAsia="Times New Roman" w:hAnsi="Times New Roman"/>
          <w:sz w:val="20"/>
          <w:szCs w:val="20"/>
        </w:rPr>
        <w:t xml:space="preserve">Comité de coordination du registre du commerce et des sociétés, avis n° 08-08 du 10 février 2009, préc.</w:t>
      </w:r>
    </w:p>
  </w:footnote>
  <w:footnote w:id="12">
    <w:p>
      <w:pPr>
        <w:spacing w:line="276" w:lineRule="auto"/>
      </w:pPr>
      <w:r>
        <w:rPr>
          <w:rStyle w:val="FootnoteReference"/>
        </w:rPr>
        <w:footnoteRef/>
      </w:r>
      <w:hyperlink w:history="1" r:id="rIdeeslp4pldtkifquu2rx0l">
        <w:r>
          <w:rPr>
            <w:rFonts w:ascii="Times New Roman" w:cs="Times New Roman" w:eastAsia="Times New Roman" w:hAnsi="Times New Roman"/>
            <w:color w:val="0563C1"/>
            <w:sz w:val="20"/>
            <w:szCs w:val="20"/>
            <w:u w:val="single"/>
          </w:rPr>
          <w:t xml:space="preserve">Article 1836 du Code civil</w:t>
        </w:r>
      </w:hyperlink>
      <w:r>
        <w:rPr>
          <w:rFonts w:ascii="Times New Roman" w:cs="Times New Roman" w:eastAsia="Times New Roman" w:hAnsi="Times New Roman"/>
          <w:sz w:val="20"/>
          <w:szCs w:val="20"/>
        </w:rPr>
        <w:t xml:space="preserve">.</w:t>
      </w:r>
    </w:p>
  </w:footnote>
  <w:footnote w:id="13">
    <w:p>
      <w:pPr>
        <w:spacing w:line="276" w:lineRule="auto"/>
      </w:pPr>
      <w:r>
        <w:rPr>
          <w:rStyle w:val="FootnoteReference"/>
        </w:rPr>
        <w:footnoteRef/>
      </w:r>
      <w:hyperlink w:history="1" r:id="rIdlmnviv_as47oyp-8lvx3c">
        <w:r>
          <w:rPr>
            <w:rFonts w:ascii="Times New Roman" w:cs="Times New Roman" w:eastAsia="Times New Roman" w:hAnsi="Times New Roman"/>
            <w:color w:val="0563C1"/>
            <w:sz w:val="20"/>
            <w:szCs w:val="20"/>
            <w:u w:val="single"/>
          </w:rPr>
          <w:t xml:space="preserve">Cass. com., 13 novembre 2003, n° 00-20.646</w:t>
        </w:r>
      </w:hyperlink>
      <w:r>
        <w:rPr>
          <w:rFonts w:ascii="Times New Roman" w:cs="Times New Roman" w:eastAsia="Times New Roman" w:hAnsi="Times New Roman"/>
          <w:sz w:val="20"/>
          <w:szCs w:val="20"/>
        </w:rPr>
        <w:t xml:space="preserve">, Bull. 2003, IV, n° 171.</w:t>
      </w:r>
    </w:p>
  </w:footnote>
  <w:footnote w:id="14">
    <w:p>
      <w:pPr>
        <w:spacing w:line="276" w:lineRule="auto"/>
      </w:pPr>
      <w:r>
        <w:rPr>
          <w:rStyle w:val="FootnoteReference"/>
        </w:rPr>
        <w:footnoteRef/>
      </w:r>
      <w:hyperlink w:history="1" r:id="rId4fwg4guz-9y1f2qbl769t">
        <w:r>
          <w:rPr>
            <w:rFonts w:ascii="Times New Roman" w:cs="Times New Roman" w:eastAsia="Times New Roman" w:hAnsi="Times New Roman"/>
            <w:color w:val="0563C1"/>
            <w:sz w:val="20"/>
            <w:szCs w:val="20"/>
            <w:u w:val="single"/>
          </w:rPr>
          <w:t xml:space="preserve">Cass. 1re civ., 8 novembre 1988, n° 87-10.514</w:t>
        </w:r>
      </w:hyperlink>
      <w:r>
        <w:rPr>
          <w:rFonts w:ascii="Times New Roman" w:cs="Times New Roman" w:eastAsia="Times New Roman" w:hAnsi="Times New Roman"/>
          <w:sz w:val="20"/>
          <w:szCs w:val="20"/>
        </w:rPr>
        <w:t xml:space="preserve">, Bull. 1988, I, n° 313.</w:t>
      </w:r>
    </w:p>
  </w:footnote>
  <w:footnote w:id="15">
    <w:p>
      <w:pPr>
        <w:spacing w:line="276" w:lineRule="auto"/>
      </w:pPr>
      <w:r>
        <w:rPr>
          <w:rStyle w:val="FootnoteReference"/>
        </w:rPr>
        <w:footnoteRef/>
      </w:r>
      <w:hyperlink w:history="1" r:id="rIdm84fnb4tiqsa4-3su3zrm">
        <w:r>
          <w:rPr>
            <w:rFonts w:ascii="Times New Roman" w:cs="Times New Roman" w:eastAsia="Times New Roman" w:hAnsi="Times New Roman"/>
            <w:color w:val="0563C1"/>
            <w:sz w:val="20"/>
            <w:szCs w:val="20"/>
            <w:u w:val="single"/>
          </w:rPr>
          <w:t xml:space="preserve">Article L. 227-1 du Code de commerce</w:t>
        </w:r>
      </w:hyperlink>
      <w:r>
        <w:rPr>
          <w:rFonts w:ascii="Times New Roman" w:cs="Times New Roman" w:eastAsia="Times New Roman" w:hAnsi="Times New Roman"/>
          <w:sz w:val="20"/>
          <w:szCs w:val="20"/>
        </w:rPr>
        <w:t xml:space="preserve">.</w:t>
      </w:r>
    </w:p>
  </w:footnote>
  <w:footnote w:id="16">
    <w:p>
      <w:pPr>
        <w:spacing w:line="276" w:lineRule="auto"/>
      </w:pPr>
      <w:r>
        <w:rPr>
          <w:rStyle w:val="FootnoteReference"/>
        </w:rPr>
        <w:footnoteRef/>
      </w:r>
      <w:hyperlink w:history="1" r:id="rId29x9srh3gl4gjt-h4gy5m">
        <w:r>
          <w:rPr>
            <w:rFonts w:ascii="Times New Roman" w:cs="Times New Roman" w:eastAsia="Times New Roman" w:hAnsi="Times New Roman"/>
            <w:color w:val="0563C1"/>
            <w:sz w:val="20"/>
            <w:szCs w:val="20"/>
            <w:u w:val="single"/>
          </w:rPr>
          <w:t xml:space="preserve">Article 1857 du Code civil</w:t>
        </w:r>
      </w:hyperlink>
      <w:r>
        <w:rPr>
          <w:rFonts w:ascii="Times New Roman" w:cs="Times New Roman" w:eastAsia="Times New Roman" w:hAnsi="Times New Roman"/>
          <w:sz w:val="20"/>
          <w:szCs w:val="20"/>
        </w:rPr>
        <w:t xml:space="preserve"> ; sur le bénéfice de discussion, </w:t>
      </w:r>
      <w:hyperlink w:history="1" r:id="rIdkhrksnohzxozntvu1gk9m">
        <w:r>
          <w:rPr>
            <w:rFonts w:ascii="Times New Roman" w:cs="Times New Roman" w:eastAsia="Times New Roman" w:hAnsi="Times New Roman"/>
            <w:color w:val="0563C1"/>
            <w:sz w:val="20"/>
            <w:szCs w:val="20"/>
            <w:u w:val="single"/>
          </w:rPr>
          <w:t xml:space="preserve">article 1858 du Code civil</w:t>
        </w:r>
      </w:hyperlink>
      <w:r>
        <w:rPr>
          <w:rFonts w:ascii="Times New Roman" w:cs="Times New Roman" w:eastAsia="Times New Roman" w:hAnsi="Times New Roman"/>
          <w:sz w:val="20"/>
          <w:szCs w:val="20"/>
        </w:rPr>
        <w:t xml:space="preserve">.</w:t>
      </w:r>
    </w:p>
  </w:footnote>
  <w:footnote w:id="17">
    <w:p>
      <w:pPr>
        <w:spacing w:line="276" w:lineRule="auto"/>
      </w:pPr>
      <w:r>
        <w:rPr>
          <w:rStyle w:val="FootnoteReference"/>
        </w:rPr>
        <w:footnoteRef/>
      </w:r>
      <w:hyperlink w:history="1" r:id="rIdqrgyxg98vmjb1iet03nbn">
        <w:r>
          <w:rPr>
            <w:rFonts w:ascii="Times New Roman" w:cs="Times New Roman" w:eastAsia="Times New Roman" w:hAnsi="Times New Roman"/>
            <w:color w:val="0563C1"/>
            <w:sz w:val="20"/>
            <w:szCs w:val="20"/>
            <w:u w:val="single"/>
          </w:rPr>
          <w:t xml:space="preserve">Article L. 236-5 du Code de commerce</w:t>
        </w:r>
      </w:hyperlink>
      <w:r>
        <w:rPr>
          <w:rFonts w:ascii="Times New Roman" w:cs="Times New Roman" w:eastAsia="Times New Roman" w:hAnsi="Times New Roman"/>
          <w:sz w:val="20"/>
          <w:szCs w:val="20"/>
        </w:rPr>
        <w:t xml:space="preserve">.</w:t>
      </w:r>
    </w:p>
  </w:footnote>
  <w:footnote w:id="18">
    <w:p>
      <w:pPr>
        <w:spacing w:line="276" w:lineRule="auto"/>
      </w:pPr>
      <w:r>
        <w:rPr>
          <w:rStyle w:val="FootnoteReference"/>
        </w:rPr>
        <w:footnoteRef/>
      </w:r>
      <w:r>
        <w:rPr>
          <w:rFonts w:ascii="Times New Roman" w:cs="Times New Roman" w:eastAsia="Times New Roman" w:hAnsi="Times New Roman"/>
          <w:sz w:val="20"/>
          <w:szCs w:val="20"/>
        </w:rPr>
        <w:t xml:space="preserve">L'</w:t>
      </w:r>
      <w:hyperlink w:history="1" r:id="rIdf648q0eynnecxxgjo-epm">
        <w:r>
          <w:rPr>
            <w:rFonts w:ascii="Times New Roman" w:cs="Times New Roman" w:eastAsia="Times New Roman" w:hAnsi="Times New Roman"/>
            <w:color w:val="0563C1"/>
            <w:sz w:val="20"/>
            <w:szCs w:val="20"/>
            <w:u w:val="single"/>
          </w:rPr>
          <w:t xml:space="preserve">article 1873 du Code civil</w:t>
        </w:r>
      </w:hyperlink>
      <w:r>
        <w:rPr>
          <w:rFonts w:ascii="Times New Roman" w:cs="Times New Roman" w:eastAsia="Times New Roman" w:hAnsi="Times New Roman"/>
          <w:sz w:val="20"/>
          <w:szCs w:val="20"/>
        </w:rPr>
        <w:t xml:space="preserve"> rend le chapitre consacré à la société en participation « applicable aux sociétés créées de fait » ; sur le régime de responsabilité en résultant, </w:t>
      </w:r>
      <w:hyperlink w:history="1" r:id="rId1io4ffugdxza8qbgxzblk">
        <w:r>
          <w:rPr>
            <w:rFonts w:ascii="Times New Roman" w:cs="Times New Roman" w:eastAsia="Times New Roman" w:hAnsi="Times New Roman"/>
            <w:color w:val="0563C1"/>
            <w:sz w:val="20"/>
            <w:szCs w:val="20"/>
            <w:u w:val="single"/>
          </w:rPr>
          <w:t xml:space="preserve">article 1872-1 du Code civil</w:t>
        </w:r>
      </w:hyperlink>
      <w:r>
        <w:rPr>
          <w:rFonts w:ascii="Times New Roman" w:cs="Times New Roman" w:eastAsia="Times New Roman" w:hAnsi="Times New Roman"/>
          <w:sz w:val="20"/>
          <w:szCs w:val="20"/>
        </w:rPr>
        <w:t xml:space="preserve">.</w:t>
      </w:r>
    </w:p>
  </w:footnote>
  <w:footnote w:id="19">
    <w:p>
      <w:pPr>
        <w:spacing w:line="276" w:lineRule="auto"/>
      </w:pPr>
      <w:r>
        <w:rPr>
          <w:rStyle w:val="FootnoteReference"/>
        </w:rPr>
        <w:footnoteRef/>
      </w:r>
      <w:hyperlink w:history="1" r:id="rIdd614y3g4eqp8whf25dsdz">
        <w:r>
          <w:rPr>
            <w:rFonts w:ascii="Times New Roman" w:cs="Times New Roman" w:eastAsia="Times New Roman" w:hAnsi="Times New Roman"/>
            <w:color w:val="0563C1"/>
            <w:sz w:val="20"/>
            <w:szCs w:val="20"/>
            <w:u w:val="single"/>
          </w:rPr>
          <w:t xml:space="preserve">Article 815-3 du Code civil</w:t>
        </w:r>
      </w:hyperlink>
      <w:r>
        <w:rPr>
          <w:rFonts w:ascii="Times New Roman" w:cs="Times New Roman" w:eastAsia="Times New Roman" w:hAnsi="Times New Roman"/>
          <w:sz w:val="20"/>
          <w:szCs w:val="20"/>
        </w:rPr>
        <w:t xml:space="preserv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Relationship Id="rIducvucv9mm8lxw1wt8bi5q" Type="http://schemas.openxmlformats.org/officeDocument/2006/relationships/hyperlink" Target="https://www.legifrance.gouv.fr/codes/article_lc/LEGIARTI000006444161" TargetMode="External"/><Relationship Id="rIdsigyad4ugfpvqljtjqzqk" Type="http://schemas.openxmlformats.org/officeDocument/2006/relationships/hyperlink" Target="https://www.legifrance.gouv.fr/codes/article_lc/LEGIARTI000047590806" TargetMode="External"/><Relationship Id="rIdz6enebqldcpp2sxohxot9" Type="http://schemas.openxmlformats.org/officeDocument/2006/relationships/hyperlink" Target="https://www.legifrance.gouv.fr/codes/article_lc/LEGIARTI000047590775" TargetMode="External"/><Relationship Id="rIdw4ujgcsdtsaup1z6acfwo" Type="http://schemas.openxmlformats.org/officeDocument/2006/relationships/hyperlink" Target="https://www.legifrance.gouv.fr/codes/article_lc/LEGIARTI000047590897" TargetMode="External"/><Relationship Id="rIdib9dc4ab3pm3m5aawwlpl" Type="http://schemas.openxmlformats.org/officeDocument/2006/relationships/hyperlink" Target="https://www.legifrance.gouv.fr/codes/article_lc/LEGIARTI000006444165" TargetMode="External"/><Relationship Id="rIds59dnbfkv3ufij04azexx" Type="http://schemas.openxmlformats.org/officeDocument/2006/relationships/hyperlink" Target="https://www.legifrance.gouv.fr/codes/article_lc/LEGIARTI000032041919" TargetMode="External"/><Relationship Id="rIdeeslp4pldtkifquu2rx0l" Type="http://schemas.openxmlformats.org/officeDocument/2006/relationships/hyperlink" Target="https://www.legifrance.gouv.fr/codes/article_lc/LEGIARTI000006444069" TargetMode="External"/><Relationship Id="rIdlmnviv_as47oyp-8lvx3c" Type="http://schemas.openxmlformats.org/officeDocument/2006/relationships/hyperlink" Target="https://www.legifrance.gouv.fr/juri/id/JURITEXT000007049598" TargetMode="External"/><Relationship Id="rId4fwg4guz-9y1f2qbl769t" Type="http://schemas.openxmlformats.org/officeDocument/2006/relationships/hyperlink" Target="https://www.legifrance.gouv.fr/juri/id/JURITEXT000007021761" TargetMode="External"/><Relationship Id="rIdm84fnb4tiqsa4-3su3zrm" Type="http://schemas.openxmlformats.org/officeDocument/2006/relationships/hyperlink" Target="https://www.legifrance.gouv.fr/codes/article_lc/LEGIARTI000048535177" TargetMode="External"/><Relationship Id="rId29x9srh3gl4gjt-h4gy5m" Type="http://schemas.openxmlformats.org/officeDocument/2006/relationships/hyperlink" Target="https://www.legifrance.gouv.fr/codes/article_lc/LEGIARTI000006444321" TargetMode="External"/><Relationship Id="rIdkhrksnohzxozntvu1gk9m" Type="http://schemas.openxmlformats.org/officeDocument/2006/relationships/hyperlink" Target="https://www.legifrance.gouv.fr/codes/article_lc/LEGIARTI000006444322" TargetMode="External"/><Relationship Id="rIdqrgyxg98vmjb1iet03nbn" Type="http://schemas.openxmlformats.org/officeDocument/2006/relationships/hyperlink" Target="https://www.legifrance.gouv.fr/codes/article_lc/LEGIARTI000047590785" TargetMode="External"/><Relationship Id="rIdf648q0eynnecxxgjo-epm" Type="http://schemas.openxmlformats.org/officeDocument/2006/relationships/hyperlink" Target="https://www.legifrance.gouv.fr/codes/article_lc/LEGIARTI000006444477" TargetMode="External"/><Relationship Id="rId1io4ffugdxza8qbgxzblk" Type="http://schemas.openxmlformats.org/officeDocument/2006/relationships/hyperlink" Target="https://www.legifrance.gouv.fr/codes/article_lc/LEGIARTI000006444471" TargetMode="External"/><Relationship Id="rIdd614y3g4eqp8whf25dsdz" Type="http://schemas.openxmlformats.org/officeDocument/2006/relationships/hyperlink" Target="https://www.legifrance.gouv.fr/codes/article_lc/LEGIARTI000006430445"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2026-08-28T15:48:49.058Z</dcterms:created>
  <dcterms:modified xsi:type="dcterms:W3CDTF">2026-08-28T15:48:49.058Z</dcterms:modified>
</cp:coreProperties>
</file>

<file path=docProps/custom.xml><?xml version="1.0" encoding="utf-8"?>
<Properties xmlns="http://schemas.openxmlformats.org/officeDocument/2006/custom-properties" xmlns:vt="http://schemas.openxmlformats.org/officeDocument/2006/docPropsVTypes"/>
</file>