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40" w:line="240" w:lineRule="auto"/>
        <w:jc w:val="center"/>
      </w:pPr>
      <w:r>
        <w:rPr>
          <w:rFonts w:ascii="Calibri" w:hAnsi="Calibri" w:cs="Calibri"/>
          <w:b/>
          <w:bCs/>
          <w:color w:val="3B3D4A"/>
          <w:sz w:val="30"/>
          <w:szCs w:val="30"/>
        </w:rPr>
        <w:t xml:space="preserve">CALENDRIER DE RESTRUCTURATION – GROUPE BERJON</w:t>
      </w:r>
    </w:p>
    <w:p>
      <w:pPr>
        <w:keepNext/>
        <w:spacing w:before="0" w:after="0" w:line="240" w:lineRule="auto"/>
        <w:jc w:val="center"/>
      </w:pPr>
      <w:r>
        <w:rPr>
          <w:rFonts w:ascii="Calibri" w:hAnsi="Calibri" w:cs="Calibri"/>
          <w:i/>
          <w:iCs/>
          <w:color w:val="404040"/>
          <w:sz w:val="20"/>
          <w:szCs w:val="20"/>
        </w:rPr>
        <w:t xml:space="preserve">Étape 1 : absorption de BTD par BDL par voie de fusion simplifiée (sociétés sœurs détenues à 100 % par BERJON HOLDING)</w:t>
      </w:r>
    </w:p>
    <w:p>
      <w:pPr>
        <w:keepNext/>
        <w:spacing w:before="0" w:after="0" w:line="240" w:lineRule="auto"/>
        <w:jc w:val="center"/>
      </w:pPr>
      <w:r>
        <w:rPr>
          <w:rFonts w:ascii="Calibri" w:hAnsi="Calibri" w:cs="Calibri"/>
          <w:i/>
          <w:iCs/>
          <w:color w:val="404040"/>
          <w:sz w:val="20"/>
          <w:szCs w:val="20"/>
        </w:rPr>
        <w:t xml:space="preserve">Étape 2 : absorption de BERJON HOLDING par BDL par voie de fusion de droit commun (fusion « à l'envers »)</w:t>
      </w:r>
    </w:p>
    <w:p>
      <w:pPr>
        <w:keepNext/>
        <w:spacing w:before="120" w:after="0" w:line="240" w:lineRule="auto"/>
        <w:jc w:val="both"/>
      </w:pPr>
      <w:r>
        <w:rPr>
          <w:rFonts w:ascii="Calibri" w:hAnsi="Calibri" w:cs="Calibri"/>
          <w:b/>
          <w:bCs/>
          <w:color w:val="6C6E7E"/>
          <w:sz w:val="17"/>
          <w:szCs w:val="17"/>
        </w:rPr>
        <w:t xml:space="preserve">Hypothèses de travail : </w:t>
      </w:r>
      <w:r>
        <w:rPr>
          <w:rFonts w:ascii="Calibri" w:hAnsi="Calibri" w:cs="Calibri"/>
          <w:i/>
          <w:iCs/>
          <w:color w:val="404040"/>
          <w:sz w:val="17"/>
          <w:szCs w:val="17"/>
        </w:rPr>
        <w:t xml:space="preserve">BERJON HOLDING, BDL et BTD sont des SAS de droit français non cotées dont les actions sont nominatives ; BERJON HOLDING détient 100 % du capital de BDL et de BTD ; projets de fusion déposés après le 1er juillet 2023 (régime issu de l'ordonnance n° 2023-393 du 24 mai 2023).</w:t>
      </w:r>
    </w:p>
    <w:p>
      <w:pPr>
        <w:keepNext/>
        <w:spacing w:before="20" w:after="0" w:line="240" w:lineRule="auto"/>
        <w:jc w:val="both"/>
      </w:pPr>
      <w:r>
        <w:rPr>
          <w:rFonts w:ascii="Calibri" w:hAnsi="Calibri" w:cs="Calibri"/>
          <w:b/>
          <w:bCs/>
          <w:color w:val="6C6E7E"/>
          <w:sz w:val="17"/>
          <w:szCs w:val="17"/>
        </w:rPr>
        <w:t xml:space="preserve">Jours de référence : </w:t>
      </w:r>
      <w:r>
        <w:rPr>
          <w:rFonts w:ascii="Calibri" w:hAnsi="Calibri" w:cs="Calibri"/>
          <w:i/>
          <w:iCs/>
          <w:color w:val="404040"/>
          <w:sz w:val="17"/>
          <w:szCs w:val="17"/>
        </w:rPr>
        <w:t xml:space="preserve">J1 = date de réalisation de la fusion n° 1 (décision de l'associé unique de BDL ou, à défaut, date d'effet fixée par le projet de fusion) ; J2 = date des décisions collectives approuvant la fusion n° 2 (J2 postérieur ou égal à J1). Les délais légaux sont des minima ; les autres délais sont indicatifs.</w:t>
      </w:r>
    </w:p>
    <w:p>
      <w:pPr>
        <w:keepNext/>
        <w:spacing w:before="0" w:after="120" w:line="240" w:lineRule="auto"/>
        <w:jc w:val="center"/>
      </w:pPr>
    </w:p>
    <w:tbl>
      <w:tblPr>
        <w:tblW w:w="15877"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38"/>
        <w:gridCol w:w="7443"/>
        <w:gridCol w:w="1984"/>
        <w:gridCol w:w="1559"/>
        <w:gridCol w:w="1418"/>
        <w:gridCol w:w="2835"/>
      </w:tblGrid>
      <w:tr w:rsidR="00590B10" w:rsidRPr="00627BD8" w14:paraId="28BF4B63" w14:textId="77777777" w:rsidTr="002B68F5">
        <w:trPr>
          <w:trHeight w:val="737"/>
          <w:tblHeader/>
        </w:trPr>
        <w:tc>
          <w:tcPr>
            <w:tcW w:w="638" w:type="dxa"/>
            <w:tcBorders>
              <w:top w:val="single" w:sz="4" w:space="0" w:color="auto"/>
              <w:left w:val="single" w:sz="4" w:space="0" w:color="auto"/>
              <w:bottom w:val="single" w:sz="4" w:space="0" w:color="auto"/>
              <w:right w:val="single" w:sz="4" w:space="0" w:color="auto"/>
            </w:tcBorders>
            <w:shd w:val="clear" w:color="auto" w:fill="6C6E7E"/>
            <w:vAlign w:val="center"/>
          </w:tcPr>
          <w:p w14:paraId="3EC22CF9" w14:textId="67E997DD" w:rsidR="00EC33B9" w:rsidRPr="00627BD8" w:rsidRDefault="00044599" w:rsidP="004A03D2">
            <w:pPr>
              <w:pStyle w:val="ssPara2"/>
              <w:tabs>
                <w:tab w:val="left" w:pos="251"/>
              </w:tabs>
              <w:spacing w:after="0"/>
              <w:ind w:left="0"/>
              <w:jc w:val="center"/>
              <w:rPr>
                <w:rFonts w:ascii="Calibri" w:hAnsi="Calibri" w:cs="Calibri"/>
                <w:b/>
                <w:bCs/>
                <w:color w:val="FFFFFF"/>
                <w:szCs w:val="22"/>
              </w:rPr>
            </w:pPr>
            <w:r w:rsidR="00EC33B9" w:rsidRPr="00627BD8">
              <w:rPr>
                <w:rFonts w:ascii="Calibri" w:hAnsi="Calibri" w:cs="Calibri"/>
                <w:b/>
                <w:bCs/>
                <w:color w:val="FFFFFF"/>
                <w:szCs w:val="22"/>
              </w:rPr>
              <w:t>N°</w:t>
            </w:r>
          </w:p>
        </w:tc>
        <w:tc>
          <w:tcPr>
            <w:tcW w:w="7443" w:type="dxa"/>
            <w:tcBorders>
              <w:top w:val="single" w:sz="4" w:space="0" w:color="auto"/>
              <w:left w:val="single" w:sz="4" w:space="0" w:color="auto"/>
              <w:bottom w:val="single" w:sz="4" w:space="0" w:color="auto"/>
              <w:right w:val="single" w:sz="4" w:space="0" w:color="auto"/>
            </w:tcBorders>
            <w:shd w:val="clear" w:color="auto" w:fill="6C6E7E"/>
            <w:vAlign w:val="center"/>
          </w:tcPr>
          <w:p w14:paraId="3A441643" w14:textId="77777777" w:rsidR="00EC33B9" w:rsidRPr="00627BD8" w:rsidRDefault="00EC33B9" w:rsidP="004A03D2">
            <w:pPr>
              <w:pStyle w:val="ssNoHeading3"/>
              <w:numPr>
                <w:ilvl w:val="0"/>
                <w:numId w:val="0"/>
              </w:numPr>
              <w:spacing w:after="0"/>
              <w:jc w:val="center"/>
              <w:rPr>
                <w:rFonts w:ascii="Calibri" w:hAnsi="Calibri" w:cs="Calibri"/>
                <w:b/>
                <w:bCs/>
                <w:color w:val="FFFFFF"/>
                <w:szCs w:val="22"/>
              </w:rPr>
            </w:pPr>
            <w:r w:rsidRPr="00627BD8">
              <w:rPr>
                <w:rFonts w:ascii="Calibri" w:hAnsi="Calibri" w:cs="Calibri"/>
                <w:b/>
                <w:bCs/>
                <w:color w:val="FFFFFF"/>
                <w:szCs w:val="22"/>
              </w:rPr>
              <w:t>Formalités – Documents</w:t>
            </w:r>
          </w:p>
        </w:tc>
        <w:tc>
          <w:tcPr>
            <w:tcW w:w="1984" w:type="dxa"/>
            <w:tcBorders>
              <w:top w:val="single" w:sz="4" w:space="0" w:color="auto"/>
              <w:left w:val="single" w:sz="4" w:space="0" w:color="auto"/>
              <w:bottom w:val="single" w:sz="4" w:space="0" w:color="auto"/>
              <w:right w:val="single" w:sz="4" w:space="0" w:color="auto"/>
            </w:tcBorders>
            <w:shd w:val="clear" w:color="auto" w:fill="6C6E7E"/>
            <w:vAlign w:val="center"/>
          </w:tcPr>
          <w:p w14:paraId="6116DEF5" w14:textId="77777777" w:rsidR="00EC33B9" w:rsidRPr="00627BD8" w:rsidRDefault="00EC33B9" w:rsidP="004A03D2">
            <w:pPr>
              <w:pStyle w:val="ssPara2"/>
              <w:spacing w:after="0"/>
              <w:ind w:left="0"/>
              <w:jc w:val="center"/>
              <w:rPr>
                <w:rFonts w:ascii="Calibri" w:hAnsi="Calibri" w:cs="Calibri"/>
                <w:b/>
                <w:bCs/>
                <w:color w:val="FFFFFF"/>
                <w:szCs w:val="22"/>
              </w:rPr>
            </w:pPr>
            <w:r w:rsidRPr="00627BD8">
              <w:rPr>
                <w:rFonts w:ascii="Calibri" w:hAnsi="Calibri" w:cs="Calibri"/>
                <w:b/>
                <w:bCs/>
                <w:color w:val="FFFFFF"/>
                <w:szCs w:val="22"/>
              </w:rPr>
              <w:t>Responsable(s)</w:t>
            </w:r>
          </w:p>
        </w:tc>
        <w:tc>
          <w:tcPr>
            <w:tcW w:w="1559" w:type="dxa"/>
            <w:tcBorders>
              <w:top w:val="single" w:sz="4" w:space="0" w:color="auto"/>
              <w:left w:val="single" w:sz="4" w:space="0" w:color="auto"/>
              <w:bottom w:val="single" w:sz="4" w:space="0" w:color="auto"/>
              <w:right w:val="single" w:sz="4" w:space="0" w:color="auto"/>
            </w:tcBorders>
            <w:shd w:val="clear" w:color="auto" w:fill="6C6E7E"/>
            <w:vAlign w:val="center"/>
          </w:tcPr>
          <w:p w14:paraId="457435F2" w14:textId="50A3DE46" w:rsidR="00EC33B9" w:rsidRPr="00627BD8" w:rsidRDefault="00032242" w:rsidP="004A03D2">
            <w:pPr>
              <w:pStyle w:val="ssPara1"/>
              <w:spacing w:after="0"/>
              <w:jc w:val="center"/>
              <w:rPr>
                <w:rFonts w:ascii="Calibri" w:hAnsi="Calibri" w:cs="Calibri"/>
                <w:b/>
                <w:bCs/>
                <w:color w:val="FFFFFF"/>
                <w:szCs w:val="22"/>
              </w:rPr>
            </w:pPr>
            <w:proofErr w:type="gramStart"/>
            <w:r w:rsidRPr="00627BD8">
              <w:rPr>
                <w:rFonts w:ascii="Calibri" w:hAnsi="Calibri" w:cs="Calibri"/>
                <w:b/>
                <w:bCs/>
                <w:color w:val="FFFFFF"/>
                <w:szCs w:val="22"/>
              </w:rPr>
              <w:t>Timing</w:t>
            </w:r>
            <w:proofErr w:type="gramEnd"/>
          </w:p>
        </w:tc>
        <w:tc>
          <w:tcPr>
            <w:tcW w:w="1418" w:type="dxa"/>
            <w:tcBorders>
              <w:top w:val="single" w:sz="4" w:space="0" w:color="auto"/>
              <w:left w:val="single" w:sz="4" w:space="0" w:color="auto"/>
              <w:bottom w:val="single" w:sz="4" w:space="0" w:color="auto"/>
              <w:right w:val="single" w:sz="4" w:space="0" w:color="auto"/>
            </w:tcBorders>
            <w:shd w:val="clear" w:color="auto" w:fill="6C6E7E"/>
            <w:vAlign w:val="center"/>
          </w:tcPr>
          <w:p w14:paraId="16464FB2" w14:textId="77777777" w:rsidR="00EC33B9" w:rsidRPr="00627BD8" w:rsidRDefault="00EC33B9" w:rsidP="004A03D2">
            <w:pPr>
              <w:pStyle w:val="ssPara1"/>
              <w:spacing w:after="0"/>
              <w:jc w:val="center"/>
              <w:rPr>
                <w:rFonts w:ascii="Calibri" w:hAnsi="Calibri" w:cs="Calibri"/>
                <w:b/>
                <w:bCs/>
                <w:color w:val="FFFFFF"/>
                <w:szCs w:val="22"/>
              </w:rPr>
            </w:pPr>
            <w:r w:rsidRPr="00627BD8">
              <w:rPr>
                <w:rFonts w:ascii="Calibri" w:hAnsi="Calibri" w:cs="Calibri"/>
                <w:b/>
                <w:bCs/>
                <w:color w:val="FFFFFF"/>
                <w:szCs w:val="22"/>
              </w:rPr>
              <w:t>Etat</w:t>
            </w:r>
          </w:p>
        </w:tc>
        <w:tc>
          <w:tcPr>
            <w:tcW w:w="2835" w:type="dxa"/>
            <w:tcBorders>
              <w:top w:val="single" w:sz="4" w:space="0" w:color="auto"/>
              <w:left w:val="single" w:sz="4" w:space="0" w:color="auto"/>
              <w:bottom w:val="single" w:sz="4" w:space="0" w:color="auto"/>
              <w:right w:val="single" w:sz="4" w:space="0" w:color="auto"/>
            </w:tcBorders>
            <w:shd w:val="clear" w:color="auto" w:fill="6C6E7E"/>
            <w:vAlign w:val="center"/>
          </w:tcPr>
          <w:p w14:paraId="226C1DC8" w14:textId="77777777" w:rsidR="00EC33B9" w:rsidRPr="00627BD8" w:rsidRDefault="00EC33B9" w:rsidP="004A03D2">
            <w:pPr>
              <w:pStyle w:val="ssPara1"/>
              <w:spacing w:after="0"/>
              <w:jc w:val="center"/>
              <w:rPr>
                <w:rFonts w:ascii="Calibri" w:hAnsi="Calibri" w:cs="Calibri"/>
                <w:b/>
                <w:bCs/>
                <w:color w:val="FFFFFF"/>
                <w:szCs w:val="22"/>
              </w:rPr>
            </w:pPr>
            <w:r w:rsidRPr="00627BD8">
              <w:rPr>
                <w:rFonts w:ascii="Calibri" w:hAnsi="Calibri" w:cs="Calibri"/>
                <w:b/>
                <w:bCs/>
                <w:color w:val="FFFFFF"/>
                <w:szCs w:val="22"/>
              </w:rPr>
              <w:t>Commentaires</w:t>
            </w:r>
          </w:p>
        </w:tc>
      </w:tr>
      <w:tr w:rsidR="00EC33B9" w:rsidRPr="00627BD8" w:rsidTr="002B68F5">
        <w:trPr>
          <w:trHeight w:val="383"/>
        </w:trPr>
        <w:tc>
          <w:tcPr>
            <w:tcW w:w="15877" w:type="dxa"/>
            <w:gridSpan w:val="6"/>
            <w:tcBorders>
              <w:bottom w:val="single" w:sz="4" w:space="0" w:color="auto"/>
            </w:tcBorders>
            <w:shd w:val="clear" w:color="auto" w:fill="D9F2D0"/>
            <w:tcMar>
              <w:top w:w="57" w:type="dxa"/>
              <w:bottom w:w="57" w:type="dxa"/>
            </w:tcMar>
            <w:vAlign w:val="center"/>
          </w:tcPr>
          <w:p w:rsidR="00EC33B9" w:rsidRPr="00627BD8" w:rsidRDefault="00EC33B9" w:rsidP="004A03D2">
            <w:pPr>
              <w:pStyle w:val="ssPara1"/>
              <w:keepNext/>
              <w:tabs>
                <w:tab w:val="left" w:pos="251"/>
              </w:tabs>
              <w:spacing w:after="0"/>
              <w:jc w:val="center"/>
              <w:rPr>
                <w:rFonts w:ascii="Calibri" w:hAnsi="Calibri" w:cs="Calibri"/>
                <w:i/>
                <w:iCs/>
                <w:szCs w:val="22"/>
              </w:rPr>
            </w:pPr>
            <w:r>
              <w:rPr>
                <w:rFonts w:ascii="Calibri" w:hAnsi="Calibri" w:cs="Calibri"/>
                <w:b/>
                <w:bCs/>
                <w:color w:val="1E4620"/>
                <w:sz w:val="22"/>
                <w:szCs w:val="22"/>
              </w:rPr>
              <w:t xml:space="preserve">PHASE PRÉALABLE COMMUNE AUX DEUX OPÉRATIONS</w:t>
            </w:r>
          </w:p>
          <w:p w:rsidR="00EC33B9" w:rsidRPr="00627BD8" w:rsidRDefault="00EC33B9" w:rsidP="004A03D2">
            <w:pPr>
              <w:pStyle w:val="ssPara1"/>
              <w:keepNext/>
              <w:tabs>
                <w:tab w:val="left" w:pos="251"/>
              </w:tabs>
              <w:spacing w:after="0"/>
              <w:jc w:val="center"/>
              <w:rPr>
                <w:rFonts w:ascii="Calibri" w:hAnsi="Calibri" w:cs="Calibri"/>
                <w:i/>
                <w:iCs/>
                <w:szCs w:val="22"/>
              </w:rPr>
            </w:pPr>
            <w:r>
              <w:rPr>
                <w:rFonts w:ascii="Calibri" w:hAnsi="Calibri" w:cs="Calibri"/>
                <w:i/>
                <w:iCs/>
                <w:sz w:val="18"/>
                <w:szCs w:val="18"/>
              </w:rPr>
              <w:t xml:space="preserve">Structuration, audits et rétroplanning</w:t>
            </w:r>
          </w:p>
        </w:tc>
      </w:tr>
      <w:tr w:rsidR="000A1C24" w:rsidRPr="00627BD8" w:rsidTr="002B68F5">
        <w:trPr>
          <w:trHeight w:val="383"/>
        </w:trPr>
        <w:tc>
          <w:tcPr>
            <w:tcW w:w="15877" w:type="dxa"/>
            <w:gridSpan w:val="6"/>
            <w:tcBorders>
              <w:bottom w:val="single" w:sz="4" w:space="0" w:color="auto"/>
            </w:tcBorders>
            <w:shd w:val="clear" w:color="auto" w:fill="E0DECB"/>
            <w:tcMar>
              <w:top w:w="57" w:type="dxa"/>
              <w:bottom w:w="57" w:type="dxa"/>
            </w:tcMar>
            <w:vAlign w:val="center"/>
          </w:tcPr>
          <w:p w:rsidR="000A1C24" w:rsidRPr="00627BD8" w:rsidRDefault="000A1C24" w:rsidP="000A1C24">
            <w:pPr>
              <w:pStyle w:val="ssPara1"/>
              <w:keepNext/>
              <w:tabs>
                <w:tab w:val="left" w:pos="251"/>
              </w:tabs>
              <w:spacing w:after="0"/>
              <w:jc w:val="center"/>
              <w:rPr>
                <w:rFonts w:ascii="Calibri" w:hAnsi="Calibri" w:cs="Calibri"/>
                <w:i/>
                <w:iCs/>
                <w:szCs w:val="22"/>
              </w:rPr>
            </w:pPr>
            <w:r>
              <w:rPr>
                <w:rFonts w:ascii="Calibri" w:hAnsi="Calibri" w:cs="Calibri"/>
                <w:b/>
                <w:bCs/>
                <w:i/>
                <w:iCs/>
                <w:sz w:val="21"/>
                <w:szCs w:val="21"/>
              </w:rPr>
              <w:t xml:space="preserve">Structuration de l'opération globale (J1 – 120 à J1 – 90 – délai indicatif)</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Validation du schéma de restructuration et de son séquencement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étape 1 : fusion simplifiée par absorption de BTD par BDL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étape 2 : fusion par absorption de BERJON HOLDING par BDL (fusion « à l'envers »).</w:t>
            </w:r>
          </w:p>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Vérification de la forme sociale des trois sociétés et de la détention par BERJON HOLDING de la totalité du capital de BDL et de BTD.</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236-1, L. 236-2 et L. 227-1.</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 / Direction du groupe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120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Le régime simplifié de l'étape 1 suppose que BERJON HOLDING détienne en permanence 100 % de BDL et de BTD, du dépôt du projet au greffe jusqu'à la réalisation (C. com., art. L. 236-11).</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Arrêté du rétroplanning global (J1 / J2) et choix de la date d'effet comptable et fiscal de chacune des fusions (effet rétroactif éventuel au premier jour de l'exercice en cours).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236-4 et R. 236-1, 5°.</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 / Expert-comptable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120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La date d'effet ne peut être ni postérieure à la clôture de l'exercice en cours de BDL, ni antérieure à la clôture du dernier exercice clos de la société absorbée.</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Audit juridique préalable de BTD et de BERJON HOLDING : statuts, pactes, clauses d'agrément et de préemption, contrats intuitu personae et clauses de changement de contrôle, baux, contrats de financement et sûretés, autorisations administratives, propriété intellectuelle, immeubles, litiges.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236-3, I (transmission universelle du patrimoine) et L. 236-15, dernier alinéa (clauses d'exigibilité anticipée en cas de fusion).</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120 à J1 – 90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Recenser les accords préalables à obtenir des cocontractants et des établissements bancaires.</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Revue fiscale des deux opérations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option pour le régime de faveur des fusions et engagements à souscrire dans les traités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transfert éventuel des déficits reportables de BTD et de BERJON HOLDING (agrément)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incidences sur un éventuel groupe d'intégration fiscale dont BERJON HOLDING serait la société mère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TVA : dispense de taxation au titre de la transmission d'universalité.</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CGI, art. 210 A, 209, II, 223 A et s. et 257 bis. Conséquences de l'absorption de la société mère intégrante : </w:t>
            </w:r>
            <w:r>
              <w:rPr>
                <w:rFonts w:ascii="Calibri" w:hAnsi="Calibri" w:cs="Calibri"/>
                <w:b/>
                <w:bCs/>
                <w:i/>
                <w:iCs/>
                <w:color w:val="C00000"/>
                <w:sz w:val="18"/>
                <w:szCs w:val="18"/>
              </w:rPr>
              <w:t xml:space="preserve">à compléter</w:t>
            </w:r>
            <w:r>
              <w:rPr>
                <w:rFonts w:ascii="Calibri" w:hAnsi="Calibri" w:cs="Calibri"/>
                <w:i/>
                <w:iCs/>
                <w:color w:val="404040"/>
                <w:sz w:val="18"/>
                <w:szCs w:val="18"/>
              </w:rPr>
              <w:t xml:space="preserve">.</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 fiscalistes / Expert-comptable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120 à J1 – 90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L'agrément de transfert des déficits doit être obtenu avant la réalisation de chaque fusion. Point d'attention : sort du groupe fiscal en cas d'absorption de la société tête de groupe par sa filiale.</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Revue comptable : valorisation des apports à la valeur comptable (sociétés sous contrôle commun), choix des comptes servant de base aux opérations et établissement, le cas échéant, d'un état comptable intermédiaire (dernier exercice clos depuis plus de six mois à la date du projet).</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PCG, art. 743-1 et s. (règlement ANC n° 2014-03) ; C. com., art. R. 236-1, 3° et 6°, et R. 236-4, 4°.</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Expert-comptable / CAC</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120 à J1 – 90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L'état comptable doit être arrêté à une date antérieure de moins de trois mois à la date du projet de fusion.</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Audit social : recensement des effectifs et des institutions représentatives du personnel de chaque société ; transfert de plein droit des contrats de travail des sociétés absorbées ; mise en cause des accords collectifs applicables.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trav., art. L. 1224-1 (transfert des contrats de travail) et L. 2261-14 (mise en cause des accords collectifs).</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 (social) / DRH</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120 à J1 – 90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EC33B9" w:rsidRPr="00627BD8" w:rsidTr="002B68F5">
        <w:trPr>
          <w:trHeight w:val="383"/>
        </w:trPr>
        <w:tc>
          <w:tcPr>
            <w:tcW w:w="15877" w:type="dxa"/>
            <w:gridSpan w:val="6"/>
            <w:tcBorders>
              <w:bottom w:val="single" w:sz="4" w:space="0" w:color="auto"/>
            </w:tcBorders>
            <w:shd w:val="clear" w:color="auto" w:fill="D9F2D0"/>
            <w:tcMar>
              <w:top w:w="57" w:type="dxa"/>
              <w:bottom w:w="57" w:type="dxa"/>
            </w:tcMar>
            <w:vAlign w:val="center"/>
          </w:tcPr>
          <w:p w:rsidR="00EC33B9" w:rsidRPr="00627BD8" w:rsidRDefault="00EC33B9" w:rsidP="004A03D2">
            <w:pPr>
              <w:pStyle w:val="ssPara1"/>
              <w:keepNext/>
              <w:tabs>
                <w:tab w:val="left" w:pos="251"/>
              </w:tabs>
              <w:spacing w:after="0"/>
              <w:jc w:val="center"/>
              <w:rPr>
                <w:rFonts w:ascii="Calibri" w:hAnsi="Calibri" w:cs="Calibri"/>
                <w:i/>
                <w:iCs/>
                <w:szCs w:val="22"/>
              </w:rPr>
            </w:pPr>
            <w:r>
              <w:rPr>
                <w:rFonts w:ascii="Calibri" w:hAnsi="Calibri" w:cs="Calibri"/>
                <w:b/>
                <w:bCs/>
                <w:color w:val="1E4620"/>
                <w:sz w:val="22"/>
                <w:szCs w:val="22"/>
              </w:rPr>
              <w:t xml:space="preserve">ÉTAPE 1 – FUSION SIMPLIFIÉE : ABSORPTION DE BTD PAR BDL</w:t>
            </w:r>
          </w:p>
          <w:p w:rsidR="00EC33B9" w:rsidRPr="00627BD8" w:rsidRDefault="00EC33B9" w:rsidP="004A03D2">
            <w:pPr>
              <w:pStyle w:val="ssPara1"/>
              <w:keepNext/>
              <w:tabs>
                <w:tab w:val="left" w:pos="251"/>
              </w:tabs>
              <w:spacing w:after="0"/>
              <w:jc w:val="center"/>
              <w:rPr>
                <w:rFonts w:ascii="Calibri" w:hAnsi="Calibri" w:cs="Calibri"/>
                <w:i/>
                <w:iCs/>
                <w:szCs w:val="22"/>
              </w:rPr>
            </w:pPr>
            <w:r>
              <w:rPr>
                <w:rFonts w:ascii="Calibri" w:hAnsi="Calibri" w:cs="Calibri"/>
                <w:i/>
                <w:iCs/>
                <w:sz w:val="18"/>
                <w:szCs w:val="18"/>
              </w:rPr>
              <w:t xml:space="preserve">Sociétés sœurs détenues à 100 % par BERJON HOLDING – absence d'échange de titres et d'augmentation de capital de BDL</w:t>
            </w:r>
          </w:p>
          <w:p w:rsidR="00EC33B9" w:rsidRPr="00627BD8" w:rsidRDefault="00EC33B9" w:rsidP="004A03D2">
            <w:pPr>
              <w:pStyle w:val="ssPara1"/>
              <w:keepNext/>
              <w:tabs>
                <w:tab w:val="left" w:pos="251"/>
              </w:tabs>
              <w:spacing w:after="0"/>
              <w:jc w:val="center"/>
              <w:rPr>
                <w:rFonts w:ascii="Calibri" w:hAnsi="Calibri" w:cs="Calibri"/>
                <w:i/>
                <w:iCs/>
                <w:szCs w:val="22"/>
              </w:rPr>
            </w:pPr>
            <w:r>
              <w:rPr>
                <w:rFonts w:ascii="Calibri" w:hAnsi="Calibri" w:cs="Calibri"/>
                <w:i/>
                <w:iCs/>
                <w:sz w:val="18"/>
                <w:szCs w:val="18"/>
              </w:rPr>
              <w:t xml:space="preserve">J1 = date de réalisation de la fusion n° 1</w:t>
            </w:r>
          </w:p>
        </w:tc>
      </w:tr>
      <w:tr w:rsidR="000A1C24" w:rsidRPr="00627BD8" w:rsidTr="002B68F5">
        <w:trPr>
          <w:trHeight w:val="383"/>
        </w:trPr>
        <w:tc>
          <w:tcPr>
            <w:tcW w:w="15877" w:type="dxa"/>
            <w:gridSpan w:val="6"/>
            <w:tcBorders>
              <w:bottom w:val="single" w:sz="4" w:space="0" w:color="auto"/>
            </w:tcBorders>
            <w:shd w:val="clear" w:color="auto" w:fill="E0DECB"/>
            <w:tcMar>
              <w:top w:w="57" w:type="dxa"/>
              <w:bottom w:w="57" w:type="dxa"/>
            </w:tcMar>
            <w:vAlign w:val="center"/>
          </w:tcPr>
          <w:p w:rsidR="000A1C24" w:rsidRPr="00627BD8" w:rsidRDefault="000A1C24" w:rsidP="000A1C24">
            <w:pPr>
              <w:pStyle w:val="ssPara1"/>
              <w:keepNext/>
              <w:tabs>
                <w:tab w:val="left" w:pos="251"/>
              </w:tabs>
              <w:spacing w:after="0"/>
              <w:jc w:val="center"/>
              <w:rPr>
                <w:rFonts w:ascii="Calibri" w:hAnsi="Calibri" w:cs="Calibri"/>
                <w:i/>
                <w:iCs/>
                <w:szCs w:val="22"/>
              </w:rPr>
            </w:pPr>
            <w:r>
              <w:rPr>
                <w:rFonts w:ascii="Calibri" w:hAnsi="Calibri" w:cs="Calibri"/>
                <w:b/>
                <w:bCs/>
                <w:i/>
                <w:iCs/>
                <w:sz w:val="21"/>
                <w:szCs w:val="21"/>
              </w:rPr>
              <w:t xml:space="preserve">Phase préparatoire (J1 – 90 à J1 – 60 – délai indicatif)</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Confirmation de l'éligibilité au régime de la fusion simplifiée « entre sœurs » : détention permanente par BERJON HOLDING de la totalité des actions de BDL et de BTD depuis le dépôt du projet au greffe jusqu'à la réalisation de l'opération.</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236-11 et L. 236-3, II, 3°.</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90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Dispense d'approbation par les associés, de rapport du Président (L. 236-9) et de rapport du commissaire à la fusion (L. 236-10).</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Le cas échéant, si BTD a émis des valeurs mobilières donnant accès à son capital : requête du Président de BDL auprès du Président du tribunal de commerce du siège en vue de la désignation d'un commissaire aux apports.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b/>
                <w:bCs/>
                <w:i/>
                <w:iCs/>
                <w:color w:val="C00000"/>
                <w:sz w:val="18"/>
                <w:szCs w:val="18"/>
              </w:rPr>
              <w:t xml:space="preserve">À compléter</w:t>
            </w:r>
            <w:r>
              <w:rPr>
                <w:rFonts w:ascii="Calibri" w:hAnsi="Calibri" w:cs="Calibri"/>
                <w:i/>
                <w:iCs/>
                <w:color w:val="404040"/>
                <w:sz w:val="18"/>
                <w:szCs w:val="18"/>
              </w:rPr>
              <w:t xml:space="preserve">.</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Président BDL / 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90 à J1 – 60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E97132"/>
                <w:sz w:val="20"/>
                <w:szCs w:val="20"/>
              </w:rPr>
              <w:t xml:space="preserve">A vérifier</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A priori sans objet : à confirmer au vu de l'audit de BTD.</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Information-consultation du Comité social et économique de BDL et de BTD, s'il en existe un, sur le projet de fusion (avis à recueillir avant la signature du projet).</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trav., art. L. 2312-8.</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Présidents BDL et BTD</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90 à J1 – 60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Consultation requise dans les entreprises d'au moins 50 salariés (modification de l'organisation juridique – L. 2312-8, II, 2°).</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Rédaction du projet de fusion simplifiée et de ses annexes : motifs et conditions, désignation et évaluation de l'actif et du passif transmis par BTD, date d'effet comptable et fiscal, engagements fiscaux.</w:t>
            </w:r>
          </w:p>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Le projet ne mentionne ni rapport d'échange, ni modalités de remise des titres, ni date de jouissance.</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236-6 et R. 236-1 (dernier alinéa pour les opérations visées à l'article L. 236-11) ; CGI, art. 210 A.</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 / Expert-comptable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90 à J1 – 60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0A1C24" w:rsidRPr="00627BD8" w:rsidTr="002B68F5">
        <w:trPr>
          <w:trHeight w:val="383"/>
        </w:trPr>
        <w:tc>
          <w:tcPr>
            <w:tcW w:w="15877" w:type="dxa"/>
            <w:gridSpan w:val="6"/>
            <w:tcBorders>
              <w:bottom w:val="single" w:sz="4" w:space="0" w:color="auto"/>
            </w:tcBorders>
            <w:shd w:val="clear" w:color="auto" w:fill="E0DECB"/>
            <w:tcMar>
              <w:top w:w="57" w:type="dxa"/>
              <w:bottom w:w="57" w:type="dxa"/>
            </w:tcMar>
            <w:vAlign w:val="center"/>
          </w:tcPr>
          <w:p w:rsidR="000A1C24" w:rsidRPr="00627BD8" w:rsidRDefault="000A1C24" w:rsidP="000A1C24">
            <w:pPr>
              <w:pStyle w:val="ssPara1"/>
              <w:keepNext/>
              <w:tabs>
                <w:tab w:val="left" w:pos="251"/>
              </w:tabs>
              <w:spacing w:after="0"/>
              <w:jc w:val="center"/>
              <w:rPr>
                <w:rFonts w:ascii="Calibri" w:hAnsi="Calibri" w:cs="Calibri"/>
                <w:i/>
                <w:iCs/>
                <w:szCs w:val="22"/>
              </w:rPr>
            </w:pPr>
            <w:r>
              <w:rPr>
                <w:rFonts w:ascii="Calibri" w:hAnsi="Calibri" w:cs="Calibri"/>
                <w:b/>
                <w:bCs/>
                <w:i/>
                <w:iCs/>
                <w:sz w:val="21"/>
                <w:szCs w:val="21"/>
              </w:rPr>
              <w:t xml:space="preserve">Phase de réalisation</w:t>
            </w:r>
          </w:p>
        </w:tc>
      </w:tr>
      <w:tr w:rsidR="00891537" w:rsidRPr="00627BD8" w:rsidTr="002B68F5">
        <w:trPr>
          <w:trHeight w:val="383"/>
        </w:trPr>
        <w:tc>
          <w:tcPr>
            <w:tcW w:w="15877" w:type="dxa"/>
            <w:gridSpan w:val="6"/>
            <w:tcBorders>
              <w:bottom w:val="single" w:sz="4" w:space="0" w:color="auto"/>
            </w:tcBorders>
            <w:shd w:val="clear" w:color="auto" w:fill="E8E8E8" w:themeFill="background2"/>
            <w:tcMar>
              <w:top w:w="57" w:type="dxa"/>
              <w:bottom w:w="57" w:type="dxa"/>
            </w:tcMar>
            <w:vAlign w:val="center"/>
          </w:tcPr>
          <w:p w:rsidR="00891537" w:rsidRPr="004402B0" w:rsidRDefault="00891537" w:rsidP="00C86AC7">
            <w:pPr>
              <w:pStyle w:val="ssPara1"/>
              <w:keepNext/>
              <w:tabs>
                <w:tab w:val="left" w:pos="251"/>
              </w:tabs>
              <w:spacing w:after="0"/>
              <w:rPr>
                <w:rFonts w:ascii="Calibri" w:hAnsi="Calibri" w:cs="Calibri"/>
                <w:i/>
                <w:iCs/>
                <w:szCs w:val="22"/>
              </w:rPr>
            </w:pPr>
            <w:r>
              <w:rPr>
                <w:rFonts w:ascii="Calibri" w:hAnsi="Calibri" w:cs="Calibri"/>
                <w:b/>
                <w:bCs/>
                <w:i/>
                <w:iCs/>
                <w:color w:val="404040"/>
                <w:sz w:val="20"/>
                <w:szCs w:val="20"/>
              </w:rPr>
              <w:t xml:space="preserve">J1 – 50 à J1 – 45 : arrêté des modalités et signature du projet de fusion (délai indicatif)</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Décisions du Président de BDL et du Président de BTD à l'effet de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arrêter les modalités de la fusion et approuver le projet de fusion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pour BDL : décider, le cas échéant, de consulter l'associé unique (BERJON HOLDING) et préparer le rapport du Président et le projet de décisions.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R. 236-1 (projet arrêté par l'organe de direction de chaque société) et L. 227-9 (décisions de l'associé unique).</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Présidents BDL et BTD / 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50 à J1 – 45</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Décision de l'associé unique de BDL facultative mais conseillée ; elle est requise en cas de modification des statuts de BDL (ex. extension de l'objet social).</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Signature du projet de fusion par les Présidents de BDL et de BTD.</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236-6.</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Présidents BDL et BTD</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50 à J1 – 45</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891537" w:rsidRPr="00627BD8" w:rsidTr="002B68F5">
        <w:trPr>
          <w:trHeight w:val="383"/>
        </w:trPr>
        <w:tc>
          <w:tcPr>
            <w:tcW w:w="15877" w:type="dxa"/>
            <w:gridSpan w:val="6"/>
            <w:tcBorders>
              <w:bottom w:val="single" w:sz="4" w:space="0" w:color="auto"/>
            </w:tcBorders>
            <w:shd w:val="clear" w:color="auto" w:fill="E8E8E8" w:themeFill="background2"/>
            <w:tcMar>
              <w:top w:w="57" w:type="dxa"/>
              <w:bottom w:w="57" w:type="dxa"/>
            </w:tcMar>
            <w:vAlign w:val="center"/>
          </w:tcPr>
          <w:p w:rsidR="00891537" w:rsidRPr="004402B0" w:rsidRDefault="00891537" w:rsidP="00C86AC7">
            <w:pPr>
              <w:pStyle w:val="ssPara1"/>
              <w:keepNext/>
              <w:tabs>
                <w:tab w:val="left" w:pos="251"/>
              </w:tabs>
              <w:spacing w:after="0"/>
              <w:rPr>
                <w:rFonts w:ascii="Calibri" w:hAnsi="Calibri" w:cs="Calibri"/>
                <w:i/>
                <w:iCs/>
                <w:szCs w:val="22"/>
              </w:rPr>
            </w:pPr>
            <w:r>
              <w:rPr>
                <w:rFonts w:ascii="Calibri" w:hAnsi="Calibri" w:cs="Calibri"/>
                <w:b/>
                <w:bCs/>
                <w:i/>
                <w:iCs/>
                <w:color w:val="404040"/>
                <w:sz w:val="20"/>
                <w:szCs w:val="20"/>
              </w:rPr>
              <w:t xml:space="preserve">J1 – 30 au plus tard : dépôt et publicité du projet de fusion (délai légal)</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Dépôt du projet de fusion au greffe du tribunal de commerce du siège de BDL et de BTD, pour annexion au RCS.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236-6 et R. 236-2, dernier alinéa (30 jours au moins avant que l'opération ne prenne effet).</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30 au plus tard</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Dépôt dématérialisé via le guichet unique électronique des formalités d'entreprises (INPI).</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Publication d'un avis de projet de fusion au BODACC pour chacune des sociétés (transmis par le greffe) ou, à défaut, publication du projet sur le site internet de chaque société pendant une période ininterrompue d'au moins 30 jours.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R. 236-2 et R. 236-3.</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Greffe / 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30 au plus tard</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Pas de publication au BALO (sociétés non cotées, actions nominatives).</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Mise à disposition au siège social de BDL et de BTD, 30 jours au moins avant J1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le projet de fusion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les comptes annuels approuvés et les rapports de gestion des trois derniers exercices des deux sociétés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le cas échéant, l'état comptable intermédiaire et le rapport du Président de BDL.</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R. 236-4 et R. 236-5 (mise en ligne sur le site internet).</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Présidents BDL et BTD</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30 au plus tard</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Si la fusion intervient avant l'approbation des comptes du dernier exercice clos ou moins de 30 jours après : mettre à disposition les comptes arrêtés et certifiés (R. 236-4).</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Suivi du délai d'opposition des créanciers non obligataires de BDL et de BTD : 30 jours à compter de la dernière insertion au BODACC (ou de la mise en ligne du projet).</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236-15 et R. 236-11.</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30 à J1</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L'opposition n'interdit pas la poursuite de la fusion. Droit des associés détenant 5 % du capital de BDL (L. 236-11 et R. 236-8) sans objet en présence d'un associé unique.</w:t>
            </w:r>
          </w:p>
        </w:tc>
      </w:tr>
      <w:tr w:rsidR="00891537" w:rsidRPr="00627BD8" w:rsidTr="002B68F5">
        <w:trPr>
          <w:trHeight w:val="383"/>
        </w:trPr>
        <w:tc>
          <w:tcPr>
            <w:tcW w:w="15877" w:type="dxa"/>
            <w:gridSpan w:val="6"/>
            <w:tcBorders>
              <w:bottom w:val="single" w:sz="4" w:space="0" w:color="auto"/>
            </w:tcBorders>
            <w:shd w:val="clear" w:color="auto" w:fill="E8E8E8" w:themeFill="background2"/>
            <w:tcMar>
              <w:top w:w="57" w:type="dxa"/>
              <w:bottom w:w="57" w:type="dxa"/>
            </w:tcMar>
            <w:vAlign w:val="center"/>
          </w:tcPr>
          <w:p w:rsidR="00891537" w:rsidRPr="004402B0" w:rsidRDefault="00891537" w:rsidP="00C86AC7">
            <w:pPr>
              <w:pStyle w:val="ssPara1"/>
              <w:keepNext/>
              <w:tabs>
                <w:tab w:val="left" w:pos="251"/>
              </w:tabs>
              <w:spacing w:after="0"/>
              <w:rPr>
                <w:rFonts w:ascii="Calibri" w:hAnsi="Calibri" w:cs="Calibri"/>
                <w:i/>
                <w:iCs/>
                <w:szCs w:val="22"/>
              </w:rPr>
            </w:pPr>
            <w:r>
              <w:rPr>
                <w:rFonts w:ascii="Calibri" w:hAnsi="Calibri" w:cs="Calibri"/>
                <w:b/>
                <w:bCs/>
                <w:i/>
                <w:iCs/>
                <w:color w:val="404040"/>
                <w:sz w:val="20"/>
                <w:szCs w:val="20"/>
              </w:rPr>
              <w:t xml:space="preserve">J1 – 15 : consultation facultative de l'associé unique de BDL (délai statutaire)</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Le cas échéant, convocation de l'associé unique de BDL (BERJON HOLDING) et du commissaire aux comptes de BDL, dans les formes et délais prévus par les statuts.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227-9 (modalités statutaires) et D. 821-185 (convocation du commissaire aux comptes par LRAR, au plus tard lors de la convocation de l'associé).</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Président BDL</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15</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Uniquement si l'associé unique de BDL est consulté.</w:t>
            </w:r>
          </w:p>
        </w:tc>
      </w:tr>
      <w:tr w:rsidR="00891537" w:rsidRPr="00627BD8" w:rsidTr="002B68F5">
        <w:trPr>
          <w:trHeight w:val="383"/>
        </w:trPr>
        <w:tc>
          <w:tcPr>
            <w:tcW w:w="15877" w:type="dxa"/>
            <w:gridSpan w:val="6"/>
            <w:tcBorders>
              <w:bottom w:val="single" w:sz="4" w:space="0" w:color="auto"/>
            </w:tcBorders>
            <w:shd w:val="clear" w:color="auto" w:fill="E8E8E8" w:themeFill="background2"/>
            <w:tcMar>
              <w:top w:w="57" w:type="dxa"/>
              <w:bottom w:w="57" w:type="dxa"/>
            </w:tcMar>
            <w:vAlign w:val="center"/>
          </w:tcPr>
          <w:p w:rsidR="00891537" w:rsidRPr="004402B0" w:rsidRDefault="00891537" w:rsidP="00C86AC7">
            <w:pPr>
              <w:pStyle w:val="ssPara1"/>
              <w:keepNext/>
              <w:tabs>
                <w:tab w:val="left" w:pos="251"/>
              </w:tabs>
              <w:spacing w:after="0"/>
              <w:rPr>
                <w:rFonts w:ascii="Calibri" w:hAnsi="Calibri" w:cs="Calibri"/>
                <w:i/>
                <w:iCs/>
                <w:szCs w:val="22"/>
              </w:rPr>
            </w:pPr>
            <w:r>
              <w:rPr>
                <w:rFonts w:ascii="Calibri" w:hAnsi="Calibri" w:cs="Calibri"/>
                <w:b/>
                <w:bCs/>
                <w:i/>
                <w:iCs/>
                <w:color w:val="404040"/>
                <w:sz w:val="20"/>
                <w:szCs w:val="20"/>
              </w:rPr>
              <w:t xml:space="preserve">J1 : réalisation de la fusion</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Décision de l'associé unique de BDL (le cas échéant) : approbation de la fusion, modifications statutaires éventuelles et constatation de la réalisation définitive de la fusion.</w:t>
            </w:r>
          </w:p>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À défaut de décision collective : réalisation à la date fixée par le projet de fusion et procès-verbal de constatation établi par le Président de BDL.</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236-4, L. 236-11 et L. 227-9.</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Associé unique BDL / Président BDL</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Aucune augmentation de capital de BDL : pas d'échange des actions BTD détenues par BERJON HOLDING (L. 236-3, II, 3°).</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Dissolution sans liquidation de BTD et transmission universelle de son patrimoine à BDL.</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236-3, I ; C. civ., art. 1844-4.</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Aucune décision de l'associé unique de BTD n'est requise (C. com., art. L. 236-11).</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Déclaration de régularité et de conformité : non requise pour des SAS (obligation désormais réservée aux sociétés anonymes).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236-17 (rédaction issue de l'ordonnance n° 2025-229 du 12 mars 2025, en vigueur au 1er octobre 2025).</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E97132"/>
                <w:sz w:val="20"/>
                <w:szCs w:val="20"/>
              </w:rPr>
              <w:t xml:space="preserve">A vérifier</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Le calendrier ProActa (mis à jour 10/2024) prévoit encore cette déclaration : à confirmer auprès du greffe.</w:t>
            </w:r>
          </w:p>
        </w:tc>
      </w:tr>
      <w:tr w:rsidR="00891537" w:rsidRPr="00627BD8" w:rsidTr="002B68F5">
        <w:trPr>
          <w:trHeight w:val="383"/>
        </w:trPr>
        <w:tc>
          <w:tcPr>
            <w:tcW w:w="15877" w:type="dxa"/>
            <w:gridSpan w:val="6"/>
            <w:tcBorders>
              <w:bottom w:val="single" w:sz="4" w:space="0" w:color="auto"/>
            </w:tcBorders>
            <w:shd w:val="clear" w:color="auto" w:fill="E8E8E8" w:themeFill="background2"/>
            <w:tcMar>
              <w:top w:w="57" w:type="dxa"/>
              <w:bottom w:w="57" w:type="dxa"/>
            </w:tcMar>
            <w:vAlign w:val="center"/>
          </w:tcPr>
          <w:p w:rsidR="00891537" w:rsidRPr="004402B0" w:rsidRDefault="00891537" w:rsidP="00C86AC7">
            <w:pPr>
              <w:pStyle w:val="ssPara1"/>
              <w:keepNext/>
              <w:tabs>
                <w:tab w:val="left" w:pos="251"/>
              </w:tabs>
              <w:spacing w:after="0"/>
              <w:rPr>
                <w:rFonts w:ascii="Calibri" w:hAnsi="Calibri" w:cs="Calibri"/>
                <w:i/>
                <w:iCs/>
                <w:szCs w:val="22"/>
              </w:rPr>
            </w:pPr>
            <w:r>
              <w:rPr>
                <w:rFonts w:ascii="Calibri" w:hAnsi="Calibri" w:cs="Calibri"/>
                <w:b/>
                <w:bCs/>
                <w:i/>
                <w:iCs/>
                <w:color w:val="404040"/>
                <w:sz w:val="20"/>
                <w:szCs w:val="20"/>
              </w:rPr>
              <w:t xml:space="preserve">J1 + 5 : formalités immobilières (le cas échéant)</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Si le patrimoine de BTD comprend des immeubles ou des droits réels immobiliers : dépôt du projet de fusion et de l'acte constatant la réalisation au rang des minutes d'un notaire en vue de la publicité foncière.</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Décret n° 55-22 du 4 janvier 1955, art. 4 et 28.</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Notaire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+ 5</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E97132"/>
                <w:sz w:val="20"/>
                <w:szCs w:val="20"/>
              </w:rPr>
              <w:t xml:space="preserve">A vérifier</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0A1C24" w:rsidRPr="00627BD8" w:rsidTr="002B68F5">
        <w:trPr>
          <w:trHeight w:val="383"/>
        </w:trPr>
        <w:tc>
          <w:tcPr>
            <w:tcW w:w="15877" w:type="dxa"/>
            <w:gridSpan w:val="6"/>
            <w:tcBorders>
              <w:bottom w:val="single" w:sz="4" w:space="0" w:color="auto"/>
            </w:tcBorders>
            <w:shd w:val="clear" w:color="auto" w:fill="E0DECB"/>
            <w:tcMar>
              <w:top w:w="57" w:type="dxa"/>
              <w:bottom w:w="57" w:type="dxa"/>
            </w:tcMar>
            <w:vAlign w:val="center"/>
          </w:tcPr>
          <w:p w:rsidR="000A1C24" w:rsidRPr="00627BD8" w:rsidRDefault="000A1C24" w:rsidP="000A1C24">
            <w:pPr>
              <w:pStyle w:val="ssPara1"/>
              <w:keepNext/>
              <w:tabs>
                <w:tab w:val="left" w:pos="251"/>
              </w:tabs>
              <w:spacing w:after="0"/>
              <w:jc w:val="center"/>
              <w:rPr>
                <w:rFonts w:ascii="Calibri" w:hAnsi="Calibri" w:cs="Calibri"/>
                <w:i/>
                <w:iCs/>
                <w:szCs w:val="22"/>
              </w:rPr>
            </w:pPr>
            <w:r>
              <w:rPr>
                <w:rFonts w:ascii="Calibri" w:hAnsi="Calibri" w:cs="Calibri"/>
                <w:b/>
                <w:bCs/>
                <w:i/>
                <w:iCs/>
                <w:sz w:val="21"/>
                <w:szCs w:val="21"/>
              </w:rPr>
              <w:t xml:space="preserve">Formalités consécutives à l'opération (J1 + 30 au plus tard)</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Présentation à l'enregistrement du procès-verbal de la décision de l'associé unique de BDL ou, à défaut, du projet de fusion ou du procès-verbal du Président de BDL constatant la réalisation (quatre exemplaires ou copies certifiées conformes).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CGI, art. 816 (enregistrement gratuit des actes de fusion entre sociétés soumises à l'IS) ; CGI, art. 635, 1, 5° (obligation d'enregistrement dans le mois limitée aux actes constatant une augmentation de capital autre qu'en numéraire ou par incorporation).</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+ 30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E97132"/>
                <w:sz w:val="20"/>
                <w:szCs w:val="20"/>
              </w:rPr>
              <w:t xml:space="preserve">A vérifier</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Fusion sans augmentation de capital : enregistrement a priori facultatif mais recommandé (date certaine, pièce souvent demandée par le greffe) – à confirmer.</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Publication dans un journal d'annonces légales du département du siège de chaque société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avis de fusion pour BDL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avis de dissolution sans liquidation pour BTD.</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R. 210-9 et R. 210-3.</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+ 30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Formalités au registre du commerce et des sociétés (via le guichet unique)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BDL : inscription modificative (mention de la fusion) ; dépôt du projet de fusion et de ses annexes, du procès-verbal enregistré de la décision de l'associé unique (le cas échéant), des statuts mis à jour certifiés conformes (si modifiés) et de l'attestation de parution au JAL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BTD : demande de radiation, avec l'attestation de parution de l'avis de dissolution.</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R. 123-66 (inscription modificative dans le mois) ; radiation de la société absorbée : C. com., art. R. 123-75 (à confirmer).</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+ 30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Si BDL et BTD relèvent de greffes différents : dépôt au greffe de chacune des sociétés.</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Déclarations fiscales de BTD : déclaration de résultats de cessation dans les 60 jours de la première publication de la fusion ; état de suivi des plus-values en sursis d'imposition joint à la déclaration de BDL ; tenue du registre des plus-values.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CGI, art. 201, 3 et 221, 2 ; CGI, art. 54 septies, I et II.</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Expert-comptable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J1 + 60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Traitement comptable et fiscal chez BERJON HOLDING de la disparition des titres BTD (report de leur valeur comptable sur les titres BDL).</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b/>
                <w:bCs/>
                <w:i/>
                <w:iCs/>
                <w:color w:val="C00000"/>
                <w:sz w:val="18"/>
                <w:szCs w:val="18"/>
              </w:rPr>
              <w:t xml:space="preserve">À compléter</w:t>
            </w:r>
            <w:r>
              <w:rPr>
                <w:rFonts w:ascii="Calibri" w:hAnsi="Calibri" w:cs="Calibri"/>
                <w:i/>
                <w:iCs/>
                <w:color w:val="404040"/>
                <w:sz w:val="18"/>
                <w:szCs w:val="18"/>
              </w:rPr>
              <w:t xml:space="preserve">.</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Expert-comptable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Clôture de l'exercice</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EC33B9" w:rsidRPr="00627BD8" w:rsidTr="002B68F5">
        <w:trPr>
          <w:trHeight w:val="383"/>
        </w:trPr>
        <w:tc>
          <w:tcPr>
            <w:tcW w:w="15877" w:type="dxa"/>
            <w:gridSpan w:val="6"/>
            <w:tcBorders>
              <w:bottom w:val="single" w:sz="4" w:space="0" w:color="auto"/>
            </w:tcBorders>
            <w:shd w:val="clear" w:color="auto" w:fill="D9F2D0"/>
            <w:tcMar>
              <w:top w:w="57" w:type="dxa"/>
              <w:bottom w:w="57" w:type="dxa"/>
            </w:tcMar>
            <w:vAlign w:val="center"/>
          </w:tcPr>
          <w:p w:rsidR="00EC33B9" w:rsidRPr="00627BD8" w:rsidRDefault="00EC33B9" w:rsidP="004A03D2">
            <w:pPr>
              <w:pStyle w:val="ssPara1"/>
              <w:keepNext/>
              <w:tabs>
                <w:tab w:val="left" w:pos="251"/>
              </w:tabs>
              <w:spacing w:after="0"/>
              <w:jc w:val="center"/>
              <w:rPr>
                <w:rFonts w:ascii="Calibri" w:hAnsi="Calibri" w:cs="Calibri"/>
                <w:i/>
                <w:iCs/>
                <w:szCs w:val="22"/>
              </w:rPr>
            </w:pPr>
            <w:r>
              <w:rPr>
                <w:rFonts w:ascii="Calibri" w:hAnsi="Calibri" w:cs="Calibri"/>
                <w:b/>
                <w:bCs/>
                <w:color w:val="1E4620"/>
                <w:sz w:val="22"/>
                <w:szCs w:val="22"/>
              </w:rPr>
              <w:t xml:space="preserve">ÉTAPE 2 – FUSION : ABSORPTION DE BERJON HOLDING PAR BDL</w:t>
            </w:r>
          </w:p>
          <w:p w:rsidR="00EC33B9" w:rsidRPr="00627BD8" w:rsidRDefault="00EC33B9" w:rsidP="004A03D2">
            <w:pPr>
              <w:pStyle w:val="ssPara1"/>
              <w:keepNext/>
              <w:tabs>
                <w:tab w:val="left" w:pos="251"/>
              </w:tabs>
              <w:spacing w:after="0"/>
              <w:jc w:val="center"/>
              <w:rPr>
                <w:rFonts w:ascii="Calibri" w:hAnsi="Calibri" w:cs="Calibri"/>
                <w:i/>
                <w:iCs/>
                <w:szCs w:val="22"/>
              </w:rPr>
            </w:pPr>
            <w:r>
              <w:rPr>
                <w:rFonts w:ascii="Calibri" w:hAnsi="Calibri" w:cs="Calibri"/>
                <w:i/>
                <w:iCs/>
                <w:sz w:val="18"/>
                <w:szCs w:val="18"/>
              </w:rPr>
              <w:t xml:space="preserve">Fusion « à l'envers » : la filiale BDL absorbe sa société mère ; les associés de BERJON HOLDING deviennent associés de BDL</w:t>
            </w:r>
          </w:p>
          <w:p w:rsidR="00EC33B9" w:rsidRPr="00627BD8" w:rsidRDefault="00EC33B9" w:rsidP="004A03D2">
            <w:pPr>
              <w:pStyle w:val="ssPara1"/>
              <w:keepNext/>
              <w:tabs>
                <w:tab w:val="left" w:pos="251"/>
              </w:tabs>
              <w:spacing w:after="0"/>
              <w:jc w:val="center"/>
              <w:rPr>
                <w:rFonts w:ascii="Calibri" w:hAnsi="Calibri" w:cs="Calibri"/>
                <w:i/>
                <w:iCs/>
                <w:szCs w:val="22"/>
              </w:rPr>
            </w:pPr>
            <w:r>
              <w:rPr>
                <w:rFonts w:ascii="Calibri" w:hAnsi="Calibri" w:cs="Calibri"/>
                <w:i/>
                <w:iCs/>
                <w:sz w:val="18"/>
                <w:szCs w:val="18"/>
              </w:rPr>
              <w:t xml:space="preserve">J2 = date des décisions collectives approuvant la fusion n° 2</w:t>
            </w:r>
          </w:p>
        </w:tc>
      </w:tr>
      <w:tr w:rsidR="000A1C24" w:rsidRPr="00627BD8" w:rsidTr="002B68F5">
        <w:trPr>
          <w:trHeight w:val="383"/>
        </w:trPr>
        <w:tc>
          <w:tcPr>
            <w:tcW w:w="15877" w:type="dxa"/>
            <w:gridSpan w:val="6"/>
            <w:tcBorders>
              <w:bottom w:val="single" w:sz="4" w:space="0" w:color="auto"/>
            </w:tcBorders>
            <w:shd w:val="clear" w:color="auto" w:fill="E0DECB"/>
            <w:tcMar>
              <w:top w:w="57" w:type="dxa"/>
              <w:bottom w:w="57" w:type="dxa"/>
            </w:tcMar>
            <w:vAlign w:val="center"/>
          </w:tcPr>
          <w:p w:rsidR="000A1C24" w:rsidRPr="00627BD8" w:rsidRDefault="000A1C24" w:rsidP="000A1C24">
            <w:pPr>
              <w:pStyle w:val="ssPara1"/>
              <w:keepNext/>
              <w:tabs>
                <w:tab w:val="left" w:pos="251"/>
              </w:tabs>
              <w:spacing w:after="0"/>
              <w:jc w:val="center"/>
              <w:rPr>
                <w:rFonts w:ascii="Calibri" w:hAnsi="Calibri" w:cs="Calibri"/>
                <w:i/>
                <w:iCs/>
                <w:szCs w:val="22"/>
              </w:rPr>
            </w:pPr>
            <w:r>
              <w:rPr>
                <w:rFonts w:ascii="Calibri" w:hAnsi="Calibri" w:cs="Calibri"/>
                <w:b/>
                <w:bCs/>
                <w:i/>
                <w:iCs/>
                <w:sz w:val="21"/>
                <w:szCs w:val="21"/>
              </w:rPr>
              <w:t xml:space="preserve">Phase préparatoire (J2 – 90 à J2 – 60 – délai indicatif)</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Évaluation des apports et calcul de la parité d'échange (valeurs réelles de BERJON HOLDING et de BDL après réalisation de l'étape 1) ; choix de la technique de rémunération des associés de BERJON HOLDING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(i) augmentation de capital de BDL au profit des associés de BERJON HOLDING, suivie d'une réduction du capital de BDL par annulation des actions BDL reçues de BERJON HOLDING ; ou</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(ii) attribution directe aux associés de BERJON HOLDING des actions BDL transmises par BERJON HOLDING.</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236-3, I, et R. 236-1, 3°, 4°, 7° et 8° ; L. 225-213 (actions propres reçues par transmission universelle) ; L. 225-204 et L. 225-205 (réduction de capital) ; PCG, art. 743-1 et s.</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 / Expert-comptable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90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Actions propres reçues par transmission universelle représentant plus de 10 % du capital : cession dans un délai de deux ans, à défaut annulation (C. com., art. L. 225-213).</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Analyse du bilan de BERJON HOLDING : endettement (notamment d'acquisition), comptes courants d'associés, actifs autres que les titres BDL, conventions intra-groupe (prestations de services, trésorerie), salariés et contrats en cours.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236-3, I, et L. 236-15 ; assistance financière : C. com., art. L. 225-216.</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 / Expert-comptable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90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La reprise par BDL d'une dette ayant financé l'acquisition de ses propres titres doit être analysée au regard de l'interdiction de l'assistance financière.</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Commissariat à la fusion – deux options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requête conjointe des Présidents de BDL et de BERJON HOLDING auprès du Président du tribunal de commerce du siège de BDL en vue de la désignation d'un commissaire à la fusion ; ou</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décision unanime des associés de BDL et de BERJON HOLDING de ne pas désigner de commissaire à la fusion, et désignation d'un commissaire aux apports (à l'unanimité des associés ou en justice).</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236-10, I à III, R. 236-9 et R. 22-10-7 ; L. 225-147.</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Présidents BDL et BERJON HOLDING / 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90 à J2 – 60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La renonciation doit intervenir avant que ne commence à courir le délai de remise du rapport. Un commissaire aux apports reste requis en présence d'apports en nature (L. 236-10, III).</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Information-consultation du Comité social et économique de BDL et de BERJON HOLDING, s'il en existe un, sur le projet de fusion.</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trav., art. L. 2312-8.</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Présidents BDL et BERJON HOLDING</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90 à J2 – 60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Consultation requise dans les entreprises d'au moins 50 salariés (modification de l'organisation juridique – L. 2312-8, II, 2°).</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Réunion de présentation de l'opération au commissaire à la fusion (ou aux apports) et communication des documents utiles (comptes, évaluations, projet de traité).</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236-10, I (droit de communication du commissaire à la fusion).</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 / Expert-comptable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75</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Rédaction du projet de fusion et de ses annexes : désignation et évaluation de l'actif et du passif de BERJON HOLDING, rapport d'échange, prime de fusion, date d'effet, sort des actions BDL détenues par BERJON HOLDING, engagements fiscaux.</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236-6 et R. 236-1 ; CGI, art. 210 A.</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 / Expert-comptable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90 à J2 – 60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Préparation des rapports des Présidents de BDL et de BERJON HOLDING expliquant et justifiant le projet (rapport d'échange et méthodes d'évaluation).</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236-9, I (4e alinéa) et R. 236-6.</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Présidents / 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60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Renonciation possible à l'unanimité des associés de toutes les sociétés participantes (L. 236-9, I et L. 236-10, II).</w:t>
            </w:r>
          </w:p>
        </w:tc>
      </w:tr>
      <w:tr w:rsidR="000A1C24" w:rsidRPr="00627BD8" w:rsidTr="002B68F5">
        <w:trPr>
          <w:trHeight w:val="383"/>
        </w:trPr>
        <w:tc>
          <w:tcPr>
            <w:tcW w:w="15877" w:type="dxa"/>
            <w:gridSpan w:val="6"/>
            <w:tcBorders>
              <w:bottom w:val="single" w:sz="4" w:space="0" w:color="auto"/>
            </w:tcBorders>
            <w:shd w:val="clear" w:color="auto" w:fill="E0DECB"/>
            <w:tcMar>
              <w:top w:w="57" w:type="dxa"/>
              <w:bottom w:w="57" w:type="dxa"/>
            </w:tcMar>
            <w:vAlign w:val="center"/>
          </w:tcPr>
          <w:p w:rsidR="000A1C24" w:rsidRPr="00627BD8" w:rsidRDefault="000A1C24" w:rsidP="000A1C24">
            <w:pPr>
              <w:pStyle w:val="ssPara1"/>
              <w:keepNext/>
              <w:tabs>
                <w:tab w:val="left" w:pos="251"/>
              </w:tabs>
              <w:spacing w:after="0"/>
              <w:jc w:val="center"/>
              <w:rPr>
                <w:rFonts w:ascii="Calibri" w:hAnsi="Calibri" w:cs="Calibri"/>
                <w:i/>
                <w:iCs/>
                <w:szCs w:val="22"/>
              </w:rPr>
            </w:pPr>
            <w:r>
              <w:rPr>
                <w:rFonts w:ascii="Calibri" w:hAnsi="Calibri" w:cs="Calibri"/>
                <w:b/>
                <w:bCs/>
                <w:i/>
                <w:iCs/>
                <w:sz w:val="21"/>
                <w:szCs w:val="21"/>
              </w:rPr>
              <w:t xml:space="preserve">Phase de réalisation</w:t>
            </w:r>
          </w:p>
        </w:tc>
      </w:tr>
      <w:tr w:rsidR="00891537" w:rsidRPr="00627BD8" w:rsidTr="002B68F5">
        <w:trPr>
          <w:trHeight w:val="383"/>
        </w:trPr>
        <w:tc>
          <w:tcPr>
            <w:tcW w:w="15877" w:type="dxa"/>
            <w:gridSpan w:val="6"/>
            <w:tcBorders>
              <w:bottom w:val="single" w:sz="4" w:space="0" w:color="auto"/>
            </w:tcBorders>
            <w:shd w:val="clear" w:color="auto" w:fill="E8E8E8" w:themeFill="background2"/>
            <w:tcMar>
              <w:top w:w="57" w:type="dxa"/>
              <w:bottom w:w="57" w:type="dxa"/>
            </w:tcMar>
            <w:vAlign w:val="center"/>
          </w:tcPr>
          <w:p w:rsidR="00891537" w:rsidRPr="004402B0" w:rsidRDefault="00891537" w:rsidP="00C86AC7">
            <w:pPr>
              <w:pStyle w:val="ssPara1"/>
              <w:keepNext/>
              <w:tabs>
                <w:tab w:val="left" w:pos="251"/>
              </w:tabs>
              <w:spacing w:after="0"/>
              <w:rPr>
                <w:rFonts w:ascii="Calibri" w:hAnsi="Calibri" w:cs="Calibri"/>
                <w:i/>
                <w:iCs/>
                <w:szCs w:val="22"/>
              </w:rPr>
            </w:pPr>
            <w:r>
              <w:rPr>
                <w:rFonts w:ascii="Calibri" w:hAnsi="Calibri" w:cs="Calibri"/>
                <w:b/>
                <w:bCs/>
                <w:i/>
                <w:iCs/>
                <w:color w:val="404040"/>
                <w:sz w:val="20"/>
                <w:szCs w:val="20"/>
              </w:rPr>
              <w:t xml:space="preserve">J2 – 50 au moins : signature du projet de fusion (délai indicatif)</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Décisions des Présidents de BDL et de BERJON HOLDING arrêtant le projet de fusion ; signature du projet de fusion (le cas échéant sous condition suspensive de la réalisation de l'étape 1).</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236-6 et R. 236-1.</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Présidents BDL et BERJON HOLDING</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50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Une signature sous condition suspensive permet de conduire les deux calendriers en parallèle : à valider.</w:t>
            </w:r>
          </w:p>
        </w:tc>
      </w:tr>
      <w:tr w:rsidR="00891537" w:rsidRPr="00627BD8" w:rsidTr="002B68F5">
        <w:trPr>
          <w:trHeight w:val="383"/>
        </w:trPr>
        <w:tc>
          <w:tcPr>
            <w:tcW w:w="15877" w:type="dxa"/>
            <w:gridSpan w:val="6"/>
            <w:tcBorders>
              <w:bottom w:val="single" w:sz="4" w:space="0" w:color="auto"/>
            </w:tcBorders>
            <w:shd w:val="clear" w:color="auto" w:fill="E8E8E8" w:themeFill="background2"/>
            <w:tcMar>
              <w:top w:w="57" w:type="dxa"/>
              <w:bottom w:w="57" w:type="dxa"/>
            </w:tcMar>
            <w:vAlign w:val="center"/>
          </w:tcPr>
          <w:p w:rsidR="00891537" w:rsidRPr="004402B0" w:rsidRDefault="00891537" w:rsidP="00C86AC7">
            <w:pPr>
              <w:pStyle w:val="ssPara1"/>
              <w:keepNext/>
              <w:tabs>
                <w:tab w:val="left" w:pos="251"/>
              </w:tabs>
              <w:spacing w:after="0"/>
              <w:rPr>
                <w:rFonts w:ascii="Calibri" w:hAnsi="Calibri" w:cs="Calibri"/>
                <w:i/>
                <w:iCs/>
                <w:szCs w:val="22"/>
              </w:rPr>
            </w:pPr>
            <w:r>
              <w:rPr>
                <w:rFonts w:ascii="Calibri" w:hAnsi="Calibri" w:cs="Calibri"/>
                <w:b/>
                <w:bCs/>
                <w:i/>
                <w:iCs/>
                <w:color w:val="404040"/>
                <w:sz w:val="20"/>
                <w:szCs w:val="20"/>
              </w:rPr>
              <w:t xml:space="preserve">J2 – 30 au moins : dépôt, publicité et mise à disposition des documents (délai légal)</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Dépôt du projet de fusion au greffe du tribunal de commerce du siège de BDL et de BERJON HOLDING.</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236-6 et R. 236-2, dernier alinéa (30 jours au moins avant la première décision collective statuant sur l'opération).</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30 au plus tard</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Dépôt dématérialisé via le guichet unique (INPI).</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Publication d'un avis de projet de fusion au BODACC pour chacune des sociétés (ou publication du projet sur le site internet de chaque société).</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R. 236-2 et R. 236-3.</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Greffe / 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30 au plus tard</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Mise à disposition des associés au siège social de BDL et de BERJON HOLDING, 30 jours au moins avant J2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le projet de fusion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le rapport du commissaire à la fusion ou du commissaire aux apports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les rapports des Présidents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les comptes annuels approuvés et les rapports de gestion des trois derniers exercices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le cas échéant, un état comptable intermédiaire.</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R. 236-4 et R. 236-5.</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Présidents BDL et BERJON HOLDING</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30 au plus tard</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Suivi du délai d'opposition des créanciers non obligataires de BDL et de BERJON HOLDING : 30 jours à compter de la dernière insertion au BODACC.</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236-15 et R. 236-11.</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30 à J2</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Information des associés de toute modification importante de l'actif ou du passif intervenue entre la date du projet et J2.</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236-9, I (5e alinéa) et R. 236-7.</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Présidents BDL et BERJON HOLDING</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Jusqu'à J2</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Sauf renonciation unanime des associés (L. 236-10, II).</w:t>
            </w:r>
          </w:p>
        </w:tc>
      </w:tr>
      <w:tr w:rsidR="00891537" w:rsidRPr="00627BD8" w:rsidTr="002B68F5">
        <w:trPr>
          <w:trHeight w:val="383"/>
        </w:trPr>
        <w:tc>
          <w:tcPr>
            <w:tcW w:w="15877" w:type="dxa"/>
            <w:gridSpan w:val="6"/>
            <w:tcBorders>
              <w:bottom w:val="single" w:sz="4" w:space="0" w:color="auto"/>
            </w:tcBorders>
            <w:shd w:val="clear" w:color="auto" w:fill="E8E8E8" w:themeFill="background2"/>
            <w:tcMar>
              <w:top w:w="57" w:type="dxa"/>
              <w:bottom w:w="57" w:type="dxa"/>
            </w:tcMar>
            <w:vAlign w:val="center"/>
          </w:tcPr>
          <w:p w:rsidR="00891537" w:rsidRPr="004402B0" w:rsidRDefault="00891537" w:rsidP="00C86AC7">
            <w:pPr>
              <w:pStyle w:val="ssPara1"/>
              <w:keepNext/>
              <w:tabs>
                <w:tab w:val="left" w:pos="251"/>
              </w:tabs>
              <w:spacing w:after="0"/>
              <w:rPr>
                <w:rFonts w:ascii="Calibri" w:hAnsi="Calibri" w:cs="Calibri"/>
                <w:i/>
                <w:iCs/>
                <w:szCs w:val="22"/>
              </w:rPr>
            </w:pPr>
            <w:r>
              <w:rPr>
                <w:rFonts w:ascii="Calibri" w:hAnsi="Calibri" w:cs="Calibri"/>
                <w:b/>
                <w:bCs/>
                <w:i/>
                <w:iCs/>
                <w:color w:val="404040"/>
                <w:sz w:val="20"/>
                <w:szCs w:val="20"/>
              </w:rPr>
              <w:t xml:space="preserve">J2 – 15 : convocation des associés (délai légal ou statutaire)</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Convocation des associés de BERJON HOLDING et de l'associé unique de BDL, des commissaires aux comptes et, le cas échéant, des représentants du CSE, dans les formes et délais statutaires ; envoi du texte des projets de décisions.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227-9 (modalités statutaires) ; délai de 15 jours de droit commun des SA : C. com., art. R. 225-69 ; convocation des commissaires aux comptes par LRAR : C. com., art. D. 821-185.</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Présidents BDL et BERJON HOLDING</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15</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En SAS, les modalités de convocation sont fixées par les statuts : à vérifier.</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Si la technique (i) est retenue : rapport du commissaire aux comptes de BDL sur la réduction de capital non motivée par des pertes, communiqué à l'associé unique de BDL avant J2.</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225-204 et R. 225-150 (rapport communiqué 15 jours au moins avant la décision).</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CAC BDL</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15</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E97132"/>
                <w:sz w:val="20"/>
                <w:szCs w:val="20"/>
              </w:rPr>
              <w:t xml:space="preserve">A vérifier</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891537" w:rsidRPr="00627BD8" w:rsidTr="002B68F5">
        <w:trPr>
          <w:trHeight w:val="383"/>
        </w:trPr>
        <w:tc>
          <w:tcPr>
            <w:tcW w:w="15877" w:type="dxa"/>
            <w:gridSpan w:val="6"/>
            <w:tcBorders>
              <w:bottom w:val="single" w:sz="4" w:space="0" w:color="auto"/>
            </w:tcBorders>
            <w:shd w:val="clear" w:color="auto" w:fill="E8E8E8" w:themeFill="background2"/>
            <w:tcMar>
              <w:top w:w="57" w:type="dxa"/>
              <w:bottom w:w="57" w:type="dxa"/>
            </w:tcMar>
            <w:vAlign w:val="center"/>
          </w:tcPr>
          <w:p w:rsidR="00891537" w:rsidRPr="004402B0" w:rsidRDefault="00891537" w:rsidP="00C86AC7">
            <w:pPr>
              <w:pStyle w:val="ssPara1"/>
              <w:keepNext/>
              <w:tabs>
                <w:tab w:val="left" w:pos="251"/>
              </w:tabs>
              <w:spacing w:after="0"/>
              <w:rPr>
                <w:rFonts w:ascii="Calibri" w:hAnsi="Calibri" w:cs="Calibri"/>
                <w:i/>
                <w:iCs/>
                <w:szCs w:val="22"/>
              </w:rPr>
            </w:pPr>
            <w:r>
              <w:rPr>
                <w:rFonts w:ascii="Calibri" w:hAnsi="Calibri" w:cs="Calibri"/>
                <w:b/>
                <w:bCs/>
                <w:i/>
                <w:iCs/>
                <w:color w:val="404040"/>
                <w:sz w:val="20"/>
                <w:szCs w:val="20"/>
              </w:rPr>
              <w:t xml:space="preserve">J2 – 8 : rapport du commissaire à la fusion / aux apports (délai légal)</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Mise à disposition au siège social de BDL du rapport du commissaire à la fusion ou du commissaire aux apports sur la valeur des apports, 8 jours au moins avant J2, et dépôt au greffe du siège de BDL.</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236-10, III, L. 225-147 et R. 225-136 ; dépôt au greffe : </w:t>
            </w:r>
            <w:r>
              <w:rPr>
                <w:rFonts w:ascii="Calibri" w:hAnsi="Calibri" w:cs="Calibri"/>
                <w:b/>
                <w:bCs/>
                <w:i/>
                <w:iCs/>
                <w:color w:val="C00000"/>
                <w:sz w:val="18"/>
                <w:szCs w:val="18"/>
              </w:rPr>
              <w:t xml:space="preserve">à compléter</w:t>
            </w:r>
            <w:r>
              <w:rPr>
                <w:rFonts w:ascii="Calibri" w:hAnsi="Calibri" w:cs="Calibri"/>
                <w:i/>
                <w:iCs/>
                <w:color w:val="404040"/>
                <w:sz w:val="18"/>
                <w:szCs w:val="18"/>
              </w:rPr>
              <w:t xml:space="preserve">.</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Commissaire à la fusion / aux apports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8</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891537" w:rsidRPr="00627BD8" w:rsidTr="002B68F5">
        <w:trPr>
          <w:trHeight w:val="383"/>
        </w:trPr>
        <w:tc>
          <w:tcPr>
            <w:tcW w:w="15877" w:type="dxa"/>
            <w:gridSpan w:val="6"/>
            <w:tcBorders>
              <w:bottom w:val="single" w:sz="4" w:space="0" w:color="auto"/>
            </w:tcBorders>
            <w:shd w:val="clear" w:color="auto" w:fill="E8E8E8" w:themeFill="background2"/>
            <w:tcMar>
              <w:top w:w="57" w:type="dxa"/>
              <w:bottom w:w="57" w:type="dxa"/>
            </w:tcMar>
            <w:vAlign w:val="center"/>
          </w:tcPr>
          <w:p w:rsidR="00891537" w:rsidRPr="004402B0" w:rsidRDefault="00891537" w:rsidP="00C86AC7">
            <w:pPr>
              <w:pStyle w:val="ssPara1"/>
              <w:keepNext/>
              <w:tabs>
                <w:tab w:val="left" w:pos="251"/>
              </w:tabs>
              <w:spacing w:after="0"/>
              <w:rPr>
                <w:rFonts w:ascii="Calibri" w:hAnsi="Calibri" w:cs="Calibri"/>
                <w:i/>
                <w:iCs/>
                <w:szCs w:val="22"/>
              </w:rPr>
            </w:pPr>
            <w:r>
              <w:rPr>
                <w:rFonts w:ascii="Calibri" w:hAnsi="Calibri" w:cs="Calibri"/>
                <w:b/>
                <w:bCs/>
                <w:i/>
                <w:iCs/>
                <w:color w:val="404040"/>
                <w:sz w:val="20"/>
                <w:szCs w:val="20"/>
              </w:rPr>
              <w:t xml:space="preserve">J2 : décisions collectives des associés</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Décision collective des associés de BERJON HOLDING : approbation du projet de fusion, de l'évaluation des apports et du rapport d'échange ; dissolution sans liquidation de BERJON HOLDING sous réserve de l'approbation par BDL.</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236-2, L. 236-3, I et L. 227-9 ; majorité statutaire requise pour la modification des statuts.</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Associés BERJON HOLDING</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Décision de l'associé unique de BDL (BERJON HOLDING)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approbation de la fusion, de l'évaluation des apports et du rapport d'échange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augmentation de capital en rémunération des apports et réduction corrélative du capital par annulation des actions BDL reçues (ou attribution directe de ces actions)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affectation de la prime de fusion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refonte des statuts (capital, pluralité d'associés, agrément, gouvernance)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constatation de la réalisation définitive de la fusion.</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236-2, L. 236-4, L. 227-9, L. 225-147 et L. 225-204.</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Associé unique BDL</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BDL passe d'un associé unique à plusieurs associés (anciens associés de BERJON HOLDING) : adapter les statuts et, le cas échéant, conclure un pacte d'associés.</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Nomination d'un nouveau Président de BDL, avec effet à la réalisation de la fusion, si BERJON HOLDING en était le Président (disparition de la personne morale à J2) ; mise à jour des autres mandats sociaux.</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227-6 ; statuts de BDL.</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Associé unique BDL</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Dissolution sans liquidation de BERJON HOLDING et transmission universelle de son patrimoine à BDL.</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236-3, I ; C. civ., art. 1844-4.</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Déclaration de régularité et de conformité : non requise pour des SAS.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236-17 (réservée aux sociétés anonymes).</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E97132"/>
                <w:sz w:val="20"/>
                <w:szCs w:val="20"/>
              </w:rPr>
              <w:t xml:space="preserve">A vérifier</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À confirmer auprès du greffe.</w:t>
            </w:r>
          </w:p>
        </w:tc>
      </w:tr>
      <w:tr w:rsidR="00891537" w:rsidRPr="00627BD8" w:rsidTr="002B68F5">
        <w:trPr>
          <w:trHeight w:val="383"/>
        </w:trPr>
        <w:tc>
          <w:tcPr>
            <w:tcW w:w="15877" w:type="dxa"/>
            <w:gridSpan w:val="6"/>
            <w:tcBorders>
              <w:bottom w:val="single" w:sz="4" w:space="0" w:color="auto"/>
            </w:tcBorders>
            <w:shd w:val="clear" w:color="auto" w:fill="E8E8E8" w:themeFill="background2"/>
            <w:tcMar>
              <w:top w:w="57" w:type="dxa"/>
              <w:bottom w:w="57" w:type="dxa"/>
            </w:tcMar>
            <w:vAlign w:val="center"/>
          </w:tcPr>
          <w:p w:rsidR="00891537" w:rsidRPr="004402B0" w:rsidRDefault="00891537" w:rsidP="00C86AC7">
            <w:pPr>
              <w:pStyle w:val="ssPara1"/>
              <w:keepNext/>
              <w:tabs>
                <w:tab w:val="left" w:pos="251"/>
              </w:tabs>
              <w:spacing w:after="0"/>
              <w:rPr>
                <w:rFonts w:ascii="Calibri" w:hAnsi="Calibri" w:cs="Calibri"/>
                <w:i/>
                <w:iCs/>
                <w:szCs w:val="22"/>
              </w:rPr>
            </w:pPr>
            <w:r>
              <w:rPr>
                <w:rFonts w:ascii="Calibri" w:hAnsi="Calibri" w:cs="Calibri"/>
                <w:b/>
                <w:bCs/>
                <w:i/>
                <w:iCs/>
                <w:color w:val="404040"/>
                <w:sz w:val="20"/>
                <w:szCs w:val="20"/>
              </w:rPr>
              <w:t xml:space="preserve">J2 + 5 : formalités immobilières (le cas échéant)</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Si le patrimoine de BERJON HOLDING comprend des immeubles ou des droits réels immobiliers : dépôt du projet de fusion et des décisions au rang des minutes d'un notaire en vue de la publicité foncière.</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Décret n° 55-22 du 4 janvier 1955, art. 4 et 28.</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Notaire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+ 5</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E97132"/>
                <w:sz w:val="20"/>
                <w:szCs w:val="20"/>
              </w:rPr>
              <w:t xml:space="preserve">A vérifier</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0A1C24" w:rsidRPr="00627BD8" w:rsidTr="002B68F5">
        <w:trPr>
          <w:trHeight w:val="383"/>
        </w:trPr>
        <w:tc>
          <w:tcPr>
            <w:tcW w:w="15877" w:type="dxa"/>
            <w:gridSpan w:val="6"/>
            <w:tcBorders>
              <w:bottom w:val="single" w:sz="4" w:space="0" w:color="auto"/>
            </w:tcBorders>
            <w:shd w:val="clear" w:color="auto" w:fill="E0DECB"/>
            <w:tcMar>
              <w:top w:w="57" w:type="dxa"/>
              <w:bottom w:w="57" w:type="dxa"/>
            </w:tcMar>
            <w:vAlign w:val="center"/>
          </w:tcPr>
          <w:p w:rsidR="000A1C24" w:rsidRPr="00627BD8" w:rsidRDefault="000A1C24" w:rsidP="000A1C24">
            <w:pPr>
              <w:pStyle w:val="ssPara1"/>
              <w:keepNext/>
              <w:tabs>
                <w:tab w:val="left" w:pos="251"/>
              </w:tabs>
              <w:spacing w:after="0"/>
              <w:jc w:val="center"/>
              <w:rPr>
                <w:rFonts w:ascii="Calibri" w:hAnsi="Calibri" w:cs="Calibri"/>
                <w:i/>
                <w:iCs/>
                <w:szCs w:val="22"/>
              </w:rPr>
            </w:pPr>
            <w:r>
              <w:rPr>
                <w:rFonts w:ascii="Calibri" w:hAnsi="Calibri" w:cs="Calibri"/>
                <w:b/>
                <w:bCs/>
                <w:i/>
                <w:iCs/>
                <w:sz w:val="21"/>
                <w:szCs w:val="21"/>
              </w:rPr>
              <w:t xml:space="preserve">Formalités consécutives à l'opération (J2 + 30 au plus tard)</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Enregistrement du procès-verbal de la décision de l'associé unique de BDL (quatre exemplaires ou copies certifiées conformes).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CGI, art. 635, 1, 5° (acte constatant une augmentation de capital – délai d'un mois) et 816 (enregistrement gratuit).</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+ 30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r>
              <w:rPr>
                <w:rFonts w:ascii="Calibri" w:hAnsi="Calibri" w:cs="Calibri"/>
                <w:i/>
                <w:iCs/>
                <w:sz w:val="18"/>
                <w:szCs w:val="18"/>
              </w:rPr>
              <w:t xml:space="preserve">Si la technique (ii) est retenue (pas d'augmentation de capital) : enregistrement facultatif, comme pour l'étape 1.</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Publication dans un journal d'annonces légales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avis de fusion, d'augmentation et de réduction de capital et des autres modifications statutaires de BDL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avis de dissolution sans liquidation de BERJON HOLDING.</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R. 210-9 et R. 210-3.</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+ 30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Si la technique (i) est retenue : délai d'opposition des créanciers de BDL à la réduction de capital non motivée par des pertes.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225-205 et R. 225-152 (20 jours à compter du dépôt au greffe du procès-verbal de la décision).</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Dépôt au greffe + 20 jours</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E97132"/>
                <w:sz w:val="20"/>
                <w:szCs w:val="20"/>
              </w:rPr>
              <w:t xml:space="preserve">A vérifier</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Formalités au registre du commerce et des sociétés (via le guichet unique)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BDL : inscription modificative (fusion, capital, statuts, dirigeants) ; dépôt du projet de fusion et de ses annexes, du rapport du commissaire, des procès-verbaux des décisions de BDL (enregistré) et de BERJON HOLDING, des statuts mis à jour certifiés conformes et de l'attestation de parution au JAL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BERJON HOLDING : demande de radiation, avec le procès-verbal de la décision collective des associés et l'attestation de parution de l'avis de dissolution.</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R. 123-66 (inscription modificative dans le mois) ; radiation de la société absorbée : C. com., art. R. 123-75 (à confirmer).</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+ 30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Mise à jour du registre des mouvements de titres et des comptes d'associés de BDL (inscription des anciens associés de BERJON HOLDING, annulation des actions reçues) ; délivrance des attestations d'inscription en compte.</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228-1 et R. 228-8.</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Président BDL / 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Déclaration modificative des bénéficiaires effectifs de BDL.</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mon. fin., art. L. 561-46 et R. 561-55.</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+ 30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Déclarations fiscales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BERJON HOLDING : déclaration de résultats de cessation dans les 60 jours de la première publication de la fusion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BDL : état de suivi des plus-values en sursis d'imposition joint à la déclaration de résultats et registre des plus-values ;</w:t>
            </w:r>
          </w:p>
          <w:p w:rsidR="00701D08" w:rsidRDefault="00701D08" w:rsidP="008F6576">
            <w:pPr>
              <w:pStyle w:val="ssPara1"/>
              <w:tabs>
                <w:tab w:val="left" w:pos="251"/>
              </w:tabs>
              <w:spacing w:after="0"/>
              <w:ind w:left="284" w:hanging="170"/>
              <w:rPr>
                <w:rFonts w:ascii="Calibri" w:hAnsi="Calibri" w:cs="Calibri"/>
                <w:szCs w:val="22"/>
              </w:rPr>
            </w:pPr>
            <w:r>
              <w:rPr>
                <w:rFonts w:ascii="Calibri" w:hAnsi="Calibri" w:cs="Calibri"/>
                <w:sz w:val="20"/>
                <w:szCs w:val="20"/>
              </w:rPr>
              <w:t xml:space="preserve">– associés personnes physiques de BERJON HOLDING : sursis d'imposition de la plus-value d'échange et obligations déclaratives.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CGI, art. 201, 3 et 221, 2 ; 54 septies, I et II ; 150-0 B (associés personnes physiques). Associés personnes morales : </w:t>
            </w:r>
            <w:r>
              <w:rPr>
                <w:rFonts w:ascii="Calibri" w:hAnsi="Calibri" w:cs="Calibri"/>
                <w:b/>
                <w:bCs/>
                <w:i/>
                <w:iCs/>
                <w:color w:val="C00000"/>
                <w:sz w:val="18"/>
                <w:szCs w:val="18"/>
              </w:rPr>
              <w:t xml:space="preserve">à compléter</w:t>
            </w:r>
            <w:r>
              <w:rPr>
                <w:rFonts w:ascii="Calibri" w:hAnsi="Calibri" w:cs="Calibri"/>
                <w:i/>
                <w:iCs/>
                <w:color w:val="404040"/>
                <w:sz w:val="18"/>
                <w:szCs w:val="18"/>
              </w:rPr>
              <w:t xml:space="preserve">.</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Expert-comptable / Avocats fiscalistes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J2 + 60</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EC33B9" w:rsidRPr="00627BD8" w:rsidTr="002B68F5">
        <w:trPr>
          <w:trHeight w:val="383"/>
        </w:trPr>
        <w:tc>
          <w:tcPr>
            <w:tcW w:w="15877" w:type="dxa"/>
            <w:gridSpan w:val="6"/>
            <w:tcBorders>
              <w:bottom w:val="single" w:sz="4" w:space="0" w:color="auto"/>
            </w:tcBorders>
            <w:shd w:val="clear" w:color="auto" w:fill="D9F2D0"/>
            <w:tcMar>
              <w:top w:w="57" w:type="dxa"/>
              <w:bottom w:w="57" w:type="dxa"/>
            </w:tcMar>
            <w:vAlign w:val="center"/>
          </w:tcPr>
          <w:p w:rsidR="00EC33B9" w:rsidRPr="00627BD8" w:rsidRDefault="00EC33B9" w:rsidP="004A03D2">
            <w:pPr>
              <w:pStyle w:val="ssPara1"/>
              <w:keepNext/>
              <w:tabs>
                <w:tab w:val="left" w:pos="251"/>
              </w:tabs>
              <w:spacing w:after="0"/>
              <w:jc w:val="center"/>
              <w:rPr>
                <w:rFonts w:ascii="Calibri" w:hAnsi="Calibri" w:cs="Calibri"/>
                <w:i/>
                <w:iCs/>
                <w:szCs w:val="22"/>
              </w:rPr>
            </w:pPr>
            <w:r>
              <w:rPr>
                <w:rFonts w:ascii="Calibri" w:hAnsi="Calibri" w:cs="Calibri"/>
                <w:b/>
                <w:bCs/>
                <w:color w:val="1E4620"/>
                <w:sz w:val="22"/>
                <w:szCs w:val="22"/>
              </w:rPr>
              <w:t xml:space="preserve">FORMALITÉS COMPLÉMENTAIRES POSTÉRIEURES À LA RESTRUCTURATION</w:t>
            </w:r>
          </w:p>
        </w:tc>
      </w:tr>
      <w:tr w:rsidR="000A1C24" w:rsidRPr="00627BD8" w:rsidTr="002B68F5">
        <w:trPr>
          <w:trHeight w:val="383"/>
        </w:trPr>
        <w:tc>
          <w:tcPr>
            <w:tcW w:w="15877" w:type="dxa"/>
            <w:gridSpan w:val="6"/>
            <w:tcBorders>
              <w:bottom w:val="single" w:sz="4" w:space="0" w:color="auto"/>
            </w:tcBorders>
            <w:shd w:val="clear" w:color="auto" w:fill="E0DECB"/>
            <w:tcMar>
              <w:top w:w="57" w:type="dxa"/>
              <w:bottom w:w="57" w:type="dxa"/>
            </w:tcMar>
            <w:vAlign w:val="center"/>
          </w:tcPr>
          <w:p w:rsidR="000A1C24" w:rsidRPr="00627BD8" w:rsidRDefault="000A1C24" w:rsidP="000A1C24">
            <w:pPr>
              <w:pStyle w:val="ssPara1"/>
              <w:keepNext/>
              <w:tabs>
                <w:tab w:val="left" w:pos="251"/>
              </w:tabs>
              <w:spacing w:after="0"/>
              <w:jc w:val="center"/>
              <w:rPr>
                <w:rFonts w:ascii="Calibri" w:hAnsi="Calibri" w:cs="Calibri"/>
                <w:i/>
                <w:iCs/>
                <w:szCs w:val="22"/>
              </w:rPr>
            </w:pPr>
            <w:r>
              <w:rPr>
                <w:rFonts w:ascii="Calibri" w:hAnsi="Calibri" w:cs="Calibri"/>
                <w:b/>
                <w:bCs/>
                <w:i/>
                <w:iCs/>
                <w:sz w:val="21"/>
                <w:szCs w:val="21"/>
              </w:rPr>
              <w:t xml:space="preserve">Information des tiers et mise à jour des documents du groupe</w:t>
            </w: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Information des cocontractants, banques, assureurs, bailleurs et administrations (URSSAF, SIE) de la transmission universelle des patrimoines de BTD et de BERJON HOLDING à BDL ; mise à jour des coordonnées de facturation.</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236-3, I.</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BDL / Avocats</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Dès J1 et J2</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Inscription au Registre national des marques (et, le cas échéant, au registre des brevets) de la transmission des droits de propriété industrielle à BDL.</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CPI, art. L. 714-7 (marques) ; brevets : </w:t>
            </w:r>
            <w:r>
              <w:rPr>
                <w:rFonts w:ascii="Calibri" w:hAnsi="Calibri" w:cs="Calibri"/>
                <w:b/>
                <w:bCs/>
                <w:i/>
                <w:iCs/>
                <w:color w:val="C00000"/>
                <w:sz w:val="18"/>
                <w:szCs w:val="18"/>
              </w:rPr>
              <w:t xml:space="preserve">à compléter</w:t>
            </w:r>
            <w:r>
              <w:rPr>
                <w:rFonts w:ascii="Calibri" w:hAnsi="Calibri" w:cs="Calibri"/>
                <w:i/>
                <w:iCs/>
                <w:color w:val="404040"/>
                <w:sz w:val="18"/>
                <w:szCs w:val="18"/>
              </w:rPr>
              <w:t xml:space="preserve">.</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Conseil en propriété industrielle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Après J1 et J2</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E97132"/>
                <w:sz w:val="20"/>
                <w:szCs w:val="20"/>
              </w:rPr>
              <w:t xml:space="preserve">A vérifier</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Information des salariés transférés et mise à jour des déclarations sociales (DSN) sous le SIRET de BDL.</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trav., art. L. 1224-1 ; DSN : </w:t>
            </w:r>
            <w:r>
              <w:rPr>
                <w:rFonts w:ascii="Calibri" w:hAnsi="Calibri" w:cs="Calibri"/>
                <w:b/>
                <w:bCs/>
                <w:i/>
                <w:iCs/>
                <w:color w:val="C00000"/>
                <w:sz w:val="18"/>
                <w:szCs w:val="18"/>
              </w:rPr>
              <w:t xml:space="preserve">à compléter</w:t>
            </w:r>
            <w:r>
              <w:rPr>
                <w:rFonts w:ascii="Calibri" w:hAnsi="Calibri" w:cs="Calibri"/>
                <w:i/>
                <w:iCs/>
                <w:color w:val="404040"/>
                <w:sz w:val="18"/>
                <w:szCs w:val="18"/>
              </w:rPr>
              <w:t xml:space="preserve">.</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DRH / Expert-comptable</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Dès J1 et J2</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Comptabilisation des fusions dans les comptes de BDL (boni ou mali de fusion) et vérification, au regard des seuils légaux, de l'obligation pour BDL de désigner un commissaire aux comptes.</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PCG, art. 710-1 et s. (titre VII du règlement ANC n° 2014-03) ; seuils de désignation du commissaire aux comptes : </w:t>
            </w:r>
            <w:r>
              <w:rPr>
                <w:rFonts w:ascii="Calibri" w:hAnsi="Calibri" w:cs="Calibri"/>
                <w:b/>
                <w:bCs/>
                <w:i/>
                <w:iCs/>
                <w:color w:val="C00000"/>
                <w:sz w:val="18"/>
                <w:szCs w:val="18"/>
              </w:rPr>
              <w:t xml:space="preserve">à compléter</w:t>
            </w:r>
            <w:r>
              <w:rPr>
                <w:rFonts w:ascii="Calibri" w:hAnsi="Calibri" w:cs="Calibri"/>
                <w:i/>
                <w:iCs/>
                <w:color w:val="404040"/>
                <w:sz w:val="18"/>
                <w:szCs w:val="18"/>
              </w:rPr>
              <w:t xml:space="preserve">.</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Expert-comptable / CAC</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Clôture de l'exercice</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r w:rsidR="00701D08" w:rsidRPr="00627BD8" w:rsidTr="002B68F5">
        <w:trPr>
          <w:cantSplit/>
          <w:trHeight w:val="383"/>
        </w:trPr>
        <w:tc>
          <w:tcPr>
            <w:tcW w:w="638" w:type="dxa"/>
            <w:tcBorders>
              <w:bottom w:val="single" w:sz="4" w:space="0" w:color="auto"/>
            </w:tcBorders>
            <w:shd w:val="clear" w:color="auto" w:fill="FFFFFF" w:themeFill="background1"/>
            <w:tcMar>
              <w:top w:w="57" w:type="dxa"/>
              <w:bottom w:w="57" w:type="dxa"/>
            </w:tcMar>
            <w:vAlign w:val="center"/>
          </w:tcPr>
          <w:p w:rsidR="00701D08" w:rsidRPr="00627BD8" w:rsidRDefault="00701D08" w:rsidP="008F6576">
            <w:pPr>
              <w:pStyle w:val="ssPara2"/>
              <w:numPr>
                <w:ilvl w:val="0"/>
                <w:numId w:val="1"/>
              </w:numPr>
              <w:tabs>
                <w:tab w:val="left" w:pos="251"/>
              </w:tabs>
              <w:spacing w:after="0"/>
              <w:ind w:left="0" w:firstLine="0"/>
              <w:rPr>
                <w:rFonts w:ascii="Calibri" w:hAnsi="Calibri" w:cs="Calibri"/>
                <w:b/>
                <w:szCs w:val="22"/>
              </w:rPr>
            </w:pPr>
          </w:p>
        </w:tc>
        <w:tc>
          <w:tcPr>
            <w:tcW w:w="7443"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rPr>
                <w:rFonts w:ascii="Calibri" w:hAnsi="Calibri" w:cs="Calibri"/>
                <w:szCs w:val="22"/>
              </w:rPr>
            </w:pPr>
            <w:r>
              <w:rPr>
                <w:rFonts w:ascii="Calibri" w:hAnsi="Calibri" w:cs="Calibri"/>
                <w:sz w:val="20"/>
                <w:szCs w:val="20"/>
              </w:rPr>
              <w:t xml:space="preserve">Conservation des registres et documents comptables de BTD et de BERJON HOLDING par BDL.</w:t>
            </w:r>
          </w:p>
          <w:p w:rsidR="00701D08" w:rsidRDefault="00701D08" w:rsidP="008F6576">
            <w:pPr>
              <w:pStyle w:val="ssPara1"/>
              <w:tabs>
                <w:tab w:val="left" w:pos="251"/>
              </w:tabs>
              <w:spacing w:before="60" w:after="0"/>
              <w:rPr>
                <w:rFonts w:ascii="Calibri" w:hAnsi="Calibri" w:cs="Calibri"/>
                <w:szCs w:val="22"/>
              </w:rPr>
            </w:pPr>
            <w:r>
              <w:rPr>
                <w:rFonts w:ascii="Calibri" w:hAnsi="Calibri" w:cs="Calibri"/>
                <w:b/>
                <w:bCs/>
                <w:i/>
                <w:iCs/>
                <w:color w:val="6C6E7E"/>
                <w:sz w:val="18"/>
                <w:szCs w:val="18"/>
              </w:rPr>
              <w:t xml:space="preserve">Fondement : </w:t>
            </w:r>
            <w:r>
              <w:rPr>
                <w:rFonts w:ascii="Calibri" w:hAnsi="Calibri" w:cs="Calibri"/>
                <w:i/>
                <w:iCs/>
                <w:color w:val="404040"/>
                <w:sz w:val="18"/>
                <w:szCs w:val="18"/>
              </w:rPr>
              <w:t xml:space="preserve">C. com., art. L. 123-22 (conservation pendant dix ans).</w:t>
            </w:r>
          </w:p>
        </w:tc>
        <w:tc>
          <w:tcPr>
            <w:tcW w:w="1984"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b/>
                <w:bCs/>
                <w:szCs w:val="22"/>
              </w:rPr>
            </w:pPr>
            <w:r>
              <w:rPr>
                <w:rFonts w:ascii="Calibri" w:hAnsi="Calibri" w:cs="Calibri"/>
                <w:b/>
                <w:bCs/>
                <w:sz w:val="18"/>
                <w:szCs w:val="18"/>
              </w:rPr>
              <w:t xml:space="preserve">BDL</w:t>
            </w:r>
          </w:p>
        </w:tc>
        <w:tc>
          <w:tcPr>
            <w:tcW w:w="1559"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center"/>
              <w:rPr>
                <w:rFonts w:ascii="Calibri" w:hAnsi="Calibri" w:cs="Calibri"/>
                <w:color w:val="000000" w:themeColor="text1"/>
                <w:kern w:val="24"/>
                <w:szCs w:val="22"/>
              </w:rPr>
            </w:pPr>
            <w:r>
              <w:rPr>
                <w:rFonts w:ascii="Calibri" w:hAnsi="Calibri" w:cs="Calibri"/>
                <w:b/>
                <w:bCs/>
                <w:sz w:val="20"/>
                <w:szCs w:val="20"/>
              </w:rPr>
              <w:t xml:space="preserve">Après J2</w:t>
            </w:r>
          </w:p>
        </w:tc>
        <w:tc>
          <w:tcPr>
            <w:tcW w:w="1418" w:type="dxa"/>
            <w:tcBorders>
              <w:bottom w:val="single" w:sz="4" w:space="0" w:color="auto"/>
            </w:tcBorders>
            <w:shd w:val="clear" w:color="auto" w:fill="FFFFFF" w:themeFill="background1"/>
            <w:tcMar>
              <w:top w:w="57" w:type="dxa"/>
              <w:bottom w:w="57" w:type="dxa"/>
            </w:tcMar>
            <w:vAlign w:val="center"/>
          </w:tcPr>
          <w:p w:rsidR="00701D08" w:rsidRPr="00627BD8" w:rsidRDefault="00B03B82" w:rsidP="008F6576">
            <w:pPr>
              <w:pStyle w:val="ssPara1"/>
              <w:tabs>
                <w:tab w:val="left" w:pos="251"/>
              </w:tabs>
              <w:spacing w:after="0"/>
              <w:jc w:val="center"/>
              <w:rPr>
                <w:rFonts w:ascii="Calibri" w:hAnsi="Calibri" w:cs="Calibri"/>
                <w:b/>
                <w:bCs/>
                <w:color w:val="FF0000"/>
                <w:kern w:val="24"/>
                <w:szCs w:val="22"/>
              </w:rPr>
            </w:pPr>
            <w:r>
              <w:rPr>
                <w:rFonts w:ascii="Calibri" w:hAnsi="Calibri" w:cs="Calibri"/>
                <w:b/>
                <w:bCs/>
                <w:color w:val="FF0000"/>
                <w:sz w:val="20"/>
                <w:szCs w:val="20"/>
              </w:rPr>
              <w:t xml:space="preserve">A faire</w:t>
            </w:r>
          </w:p>
        </w:tc>
        <w:tc>
          <w:tcPr>
            <w:tcW w:w="2835" w:type="dxa"/>
            <w:tcBorders>
              <w:bottom w:val="single" w:sz="4" w:space="0" w:color="auto"/>
            </w:tcBorders>
            <w:shd w:val="clear" w:color="auto" w:fill="FFFFFF" w:themeFill="background1"/>
            <w:tcMar>
              <w:top w:w="57" w:type="dxa"/>
              <w:bottom w:w="57" w:type="dxa"/>
            </w:tcMar>
            <w:vAlign w:val="center"/>
          </w:tcPr>
          <w:p w:rsidR="00701D08" w:rsidRDefault="00701D08" w:rsidP="008F6576">
            <w:pPr>
              <w:pStyle w:val="ssPara1"/>
              <w:tabs>
                <w:tab w:val="left" w:pos="251"/>
              </w:tabs>
              <w:spacing w:after="0"/>
              <w:jc w:val="left"/>
              <w:rPr>
                <w:rFonts w:ascii="Calibri" w:hAnsi="Calibri" w:cs="Calibri"/>
                <w:i/>
                <w:iCs/>
                <w:szCs w:val="22"/>
              </w:rPr>
            </w:pPr>
          </w:p>
        </w:tc>
      </w:tr>
    </w:tbl>
    <w:p w14:paraId="25A76BE4" w14:textId="77777777" w:rsidR="00FB040F" w:rsidRPr="00627BD8" w:rsidRDefault="00FB040F" w:rsidP="004A03D2">
      <w:pPr>
        <w:spacing w:after="0" w:line="240" w:lineRule="auto"/>
        <w:rPr>
          <w:rFonts w:ascii="Calibri" w:hAnsi="Calibri" w:cs="Calibri"/>
        </w:rPr>
      </w:pPr>
    </w:p>
    <w:sectPr w:rsidR="00FB040F" w:rsidRPr="00627BD8" w:rsidSect="00FB040F">
      <w:headerReference w:type="even" r:id="rId8"/>
      <w:headerReference w:type="default" r:id="rId9"/>
      <w:headerReference w:type="first" r:id="rId10"/>
      <w:pgSz w:w="16838" w:h="11906" w:orient="landscape"/>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2047B" w14:textId="77777777" w:rsidR="002721CC" w:rsidRDefault="002721CC" w:rsidP="00FB040F">
      <w:pPr>
        <w:spacing w:after="0" w:line="240" w:lineRule="auto"/>
      </w:pPr>
      <w:r>
        <w:separator/>
      </w:r>
    </w:p>
  </w:endnote>
  <w:endnote w:type="continuationSeparator" w:id="0">
    <w:p w14:paraId="58CA397B" w14:textId="77777777" w:rsidR="002721CC" w:rsidRDefault="002721CC" w:rsidP="00FB0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FA870" w14:textId="77777777" w:rsidR="002721CC" w:rsidRDefault="002721CC" w:rsidP="00FB040F">
      <w:pPr>
        <w:spacing w:after="0" w:line="240" w:lineRule="auto"/>
      </w:pPr>
      <w:r>
        <w:separator/>
      </w:r>
    </w:p>
  </w:footnote>
  <w:footnote w:type="continuationSeparator" w:id="0">
    <w:p w14:paraId="512326D3" w14:textId="77777777" w:rsidR="002721CC" w:rsidRDefault="002721CC" w:rsidP="00FB04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EBC1" w14:textId="5FB47DE5" w:rsidR="00FB040F" w:rsidRDefault="002721CC">
    <w:pPr>
      <w:pStyle w:val="En-tte"/>
    </w:pPr>
    <w:r>
      <w:rPr>
        <w:noProof/>
      </w:rPr>
      <w:pict w14:anchorId="2A4E9A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509547" o:spid="_x0000_s1029" type="#_x0000_t75" style="position:absolute;margin-left:0;margin-top:0;width:700.1pt;height:416.9pt;z-index:-251657216;mso-position-horizontal:center;mso-position-horizontal-relative:margin;mso-position-vertical:center;mso-position-vertical-relative:margin" o:allowincell="f">
          <v:imagedata r:id="rId1" o:title="Page de gard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55BBD" w14:textId="4018E86C" w:rsidR="009F4DCE" w:rsidRPr="00FD7119" w:rsidRDefault="009F4DCE" w:rsidP="008166D9">
    <w:pPr>
      <w:pStyle w:val="En-tte"/>
      <w:tabs>
        <w:tab w:val="clear" w:pos="4536"/>
        <w:tab w:val="clear" w:pos="9072"/>
        <w:tab w:val="left" w:pos="6000"/>
      </w:tabs>
      <w:rPr>
        <w:b/>
        <w:bCs/>
      </w:rPr>
    </w:pPr>
  </w:p>
  <w:p w14:paraId="0D5ED0A0" w14:textId="5BFF8D34" w:rsidR="00971997" w:rsidRPr="00617422" w:rsidRDefault="005C702D" w:rsidP="000C3A41">
    <w:pPr>
      <w:pStyle w:val="En-tte"/>
      <w:tabs>
        <w:tab w:val="clear" w:pos="4536"/>
        <w:tab w:val="clear" w:pos="9072"/>
        <w:tab w:val="left" w:pos="6000"/>
      </w:tabs>
      <w:jc w:val="right"/>
      <w:rPr>
        <w:sz w:val="20"/>
        <w:szCs w:val="20"/>
      </w:rPr>
    </w:pPr>
    <w:r w:rsidRPr="00FD7119">
      <w:rPr>
        <w:b/>
        <w:bCs/>
        <w:sz w:val="20"/>
        <w:szCs w:val="20"/>
      </w:rPr>
      <w:tab/>
    </w:r>
    <w:r w:rsidRPr="00FD7119">
      <w:rPr>
        <w:b/>
        <w:bCs/>
        <w:sz w:val="20"/>
        <w:szCs w:val="20"/>
      </w:rPr>
      <w:tab/>
    </w:r>
    <w:r w:rsidRPr="00FD7119">
      <w:rPr>
        <w:b/>
        <w:bCs/>
        <w:sz w:val="20"/>
        <w:szCs w:val="20"/>
      </w:rPr>
      <w:tab/>
    </w:r>
    <w:r w:rsidRPr="00FD7119">
      <w:rPr>
        <w:b/>
        <w:bCs/>
        <w:sz w:val="20"/>
        <w:szCs w:val="20"/>
      </w:rPr>
      <w:tab/>
    </w:r>
    <w:r w:rsidRPr="00FD7119">
      <w:rPr>
        <w:b/>
        <w:bCs/>
        <w:sz w:val="20"/>
        <w:szCs w:val="20"/>
      </w:rPr>
      <w:tab/>
    </w:r>
  </w:p>
  <w:p w14:paraId="06B23846" w14:textId="77777777" w:rsidR="00C864FC" w:rsidRPr="00C864FC" w:rsidRDefault="005C702D" w:rsidP="00C864FC">
    <w:pPr>
      <w:pStyle w:val="En-tte"/>
      <w:tabs>
        <w:tab w:val="clear" w:pos="4536"/>
        <w:tab w:val="clear" w:pos="9072"/>
        <w:tab w:val="left" w:pos="6000"/>
      </w:tabs>
      <w:jc w:val="right"/>
      <w:rPr>
        <w:i/>
        <w:iCs/>
        <w:sz w:val="20"/>
        <w:szCs w:val="20"/>
      </w:rPr>
    </w:pPr>
    <w:r w:rsidRPr="00617422">
      <w:rPr>
        <w:sz w:val="20"/>
        <w:szCs w:val="20"/>
      </w:rPr>
      <w:tab/>
    </w:r>
    <w:r w:rsidRPr="00617422">
      <w:rPr>
        <w:sz w:val="20"/>
        <w:szCs w:val="20"/>
      </w:rPr>
      <w:tab/>
    </w:r>
    <w:r w:rsidRPr="00617422">
      <w:rPr>
        <w:sz w:val="20"/>
        <w:szCs w:val="20"/>
      </w:rPr>
      <w:tab/>
    </w:r>
    <w:r w:rsidRPr="00617422">
      <w:rPr>
        <w:sz w:val="20"/>
        <w:szCs w:val="20"/>
      </w:rPr>
      <w:tab/>
    </w:r>
    <w:r w:rsidRPr="00617422">
      <w:rPr>
        <w:sz w:val="20"/>
        <w:szCs w:val="20"/>
      </w:rPr>
      <w:tab/>
    </w:r>
    <w:r w:rsidR="00BB30E6" w:rsidRPr="00C864FC">
      <w:rPr>
        <w:i/>
        <w:iCs/>
        <w:sz w:val="20"/>
        <w:szCs w:val="20"/>
      </w:rPr>
      <w:t xml:space="preserve">DOCUMENT DE TRAVAIL SUSCEPTIBLE DE </w:t>
    </w:r>
  </w:p>
  <w:p w14:paraId="2B0DC9ED" w14:textId="59C571F9" w:rsidR="006A2427" w:rsidRPr="00C864FC" w:rsidRDefault="00BB30E6" w:rsidP="00C864FC">
    <w:pPr>
      <w:pStyle w:val="En-tte"/>
      <w:tabs>
        <w:tab w:val="clear" w:pos="4536"/>
        <w:tab w:val="clear" w:pos="9072"/>
        <w:tab w:val="left" w:pos="6000"/>
      </w:tabs>
      <w:jc w:val="right"/>
      <w:rPr>
        <w:i/>
        <w:iCs/>
        <w:sz w:val="20"/>
        <w:szCs w:val="20"/>
      </w:rPr>
    </w:pPr>
    <w:r w:rsidRPr="00C864FC">
      <w:rPr>
        <w:i/>
        <w:iCs/>
        <w:sz w:val="20"/>
        <w:szCs w:val="20"/>
      </w:rPr>
      <w:t>MODIFICATIONS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57A4" w14:textId="1AB2B77D" w:rsidR="00FB040F" w:rsidRDefault="009D5155" w:rsidP="009D5155">
    <w:pPr>
      <w:pStyle w:val="En-tte"/>
      <w:tabs>
        <w:tab w:val="clear" w:pos="4536"/>
        <w:tab w:val="clear" w:pos="9072"/>
        <w:tab w:val="left" w:pos="190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0C4"/>
    <w:multiLevelType w:val="hybridMultilevel"/>
    <w:tmpl w:val="BC4E7E24"/>
    <w:lvl w:ilvl="0" w:tplc="04D8365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8D31BF"/>
    <w:multiLevelType w:val="hybridMultilevel"/>
    <w:tmpl w:val="6EBEFBE2"/>
    <w:lvl w:ilvl="0" w:tplc="99D04A62">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F06174D"/>
    <w:multiLevelType w:val="hybridMultilevel"/>
    <w:tmpl w:val="3F5ADA18"/>
    <w:lvl w:ilvl="0" w:tplc="45C85A74">
      <w:start w:val="1"/>
      <w:numFmt w:val="bullet"/>
      <w:lvlText w:val="-"/>
      <w:lvlJc w:val="left"/>
      <w:pPr>
        <w:tabs>
          <w:tab w:val="num" w:pos="720"/>
        </w:tabs>
        <w:ind w:left="720" w:hanging="360"/>
      </w:pPr>
      <w:rPr>
        <w:rFonts w:ascii="Times New Roman" w:hAnsi="Times New Roman" w:hint="default"/>
      </w:rPr>
    </w:lvl>
    <w:lvl w:ilvl="1" w:tplc="6DE2DA14" w:tentative="1">
      <w:start w:val="1"/>
      <w:numFmt w:val="bullet"/>
      <w:lvlText w:val="-"/>
      <w:lvlJc w:val="left"/>
      <w:pPr>
        <w:tabs>
          <w:tab w:val="num" w:pos="1440"/>
        </w:tabs>
        <w:ind w:left="1440" w:hanging="360"/>
      </w:pPr>
      <w:rPr>
        <w:rFonts w:ascii="Times New Roman" w:hAnsi="Times New Roman" w:hint="default"/>
      </w:rPr>
    </w:lvl>
    <w:lvl w:ilvl="2" w:tplc="ECAAF1E2" w:tentative="1">
      <w:start w:val="1"/>
      <w:numFmt w:val="bullet"/>
      <w:lvlText w:val="-"/>
      <w:lvlJc w:val="left"/>
      <w:pPr>
        <w:tabs>
          <w:tab w:val="num" w:pos="2160"/>
        </w:tabs>
        <w:ind w:left="2160" w:hanging="360"/>
      </w:pPr>
      <w:rPr>
        <w:rFonts w:ascii="Times New Roman" w:hAnsi="Times New Roman" w:hint="default"/>
      </w:rPr>
    </w:lvl>
    <w:lvl w:ilvl="3" w:tplc="17684D94" w:tentative="1">
      <w:start w:val="1"/>
      <w:numFmt w:val="bullet"/>
      <w:lvlText w:val="-"/>
      <w:lvlJc w:val="left"/>
      <w:pPr>
        <w:tabs>
          <w:tab w:val="num" w:pos="2880"/>
        </w:tabs>
        <w:ind w:left="2880" w:hanging="360"/>
      </w:pPr>
      <w:rPr>
        <w:rFonts w:ascii="Times New Roman" w:hAnsi="Times New Roman" w:hint="default"/>
      </w:rPr>
    </w:lvl>
    <w:lvl w:ilvl="4" w:tplc="A47A6A6C" w:tentative="1">
      <w:start w:val="1"/>
      <w:numFmt w:val="bullet"/>
      <w:lvlText w:val="-"/>
      <w:lvlJc w:val="left"/>
      <w:pPr>
        <w:tabs>
          <w:tab w:val="num" w:pos="3600"/>
        </w:tabs>
        <w:ind w:left="3600" w:hanging="360"/>
      </w:pPr>
      <w:rPr>
        <w:rFonts w:ascii="Times New Roman" w:hAnsi="Times New Roman" w:hint="default"/>
      </w:rPr>
    </w:lvl>
    <w:lvl w:ilvl="5" w:tplc="2392EC8E" w:tentative="1">
      <w:start w:val="1"/>
      <w:numFmt w:val="bullet"/>
      <w:lvlText w:val="-"/>
      <w:lvlJc w:val="left"/>
      <w:pPr>
        <w:tabs>
          <w:tab w:val="num" w:pos="4320"/>
        </w:tabs>
        <w:ind w:left="4320" w:hanging="360"/>
      </w:pPr>
      <w:rPr>
        <w:rFonts w:ascii="Times New Roman" w:hAnsi="Times New Roman" w:hint="default"/>
      </w:rPr>
    </w:lvl>
    <w:lvl w:ilvl="6" w:tplc="C9E29196" w:tentative="1">
      <w:start w:val="1"/>
      <w:numFmt w:val="bullet"/>
      <w:lvlText w:val="-"/>
      <w:lvlJc w:val="left"/>
      <w:pPr>
        <w:tabs>
          <w:tab w:val="num" w:pos="5040"/>
        </w:tabs>
        <w:ind w:left="5040" w:hanging="360"/>
      </w:pPr>
      <w:rPr>
        <w:rFonts w:ascii="Times New Roman" w:hAnsi="Times New Roman" w:hint="default"/>
      </w:rPr>
    </w:lvl>
    <w:lvl w:ilvl="7" w:tplc="C3FC3FB4" w:tentative="1">
      <w:start w:val="1"/>
      <w:numFmt w:val="bullet"/>
      <w:lvlText w:val="-"/>
      <w:lvlJc w:val="left"/>
      <w:pPr>
        <w:tabs>
          <w:tab w:val="num" w:pos="5760"/>
        </w:tabs>
        <w:ind w:left="5760" w:hanging="360"/>
      </w:pPr>
      <w:rPr>
        <w:rFonts w:ascii="Times New Roman" w:hAnsi="Times New Roman" w:hint="default"/>
      </w:rPr>
    </w:lvl>
    <w:lvl w:ilvl="8" w:tplc="53509DC4"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F3F69E6"/>
    <w:multiLevelType w:val="hybridMultilevel"/>
    <w:tmpl w:val="C89A6798"/>
    <w:lvl w:ilvl="0" w:tplc="A8C2B5EE">
      <w:start w:val="1"/>
      <w:numFmt w:val="bullet"/>
      <w:lvlText w:val="-"/>
      <w:lvlJc w:val="left"/>
      <w:pPr>
        <w:tabs>
          <w:tab w:val="num" w:pos="720"/>
        </w:tabs>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102F6B"/>
    <w:multiLevelType w:val="hybridMultilevel"/>
    <w:tmpl w:val="51024832"/>
    <w:lvl w:ilvl="0" w:tplc="031EDF9E">
      <w:start w:val="1"/>
      <w:numFmt w:val="lowerLetter"/>
      <w:lvlText w:val="(%1)"/>
      <w:lvlJc w:val="left"/>
      <w:pPr>
        <w:ind w:left="720" w:hanging="360"/>
      </w:pPr>
      <w:rPr>
        <w:rFonts w:hint="default"/>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4120942"/>
    <w:multiLevelType w:val="hybridMultilevel"/>
    <w:tmpl w:val="DB783CFC"/>
    <w:lvl w:ilvl="0" w:tplc="040C000F">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6" w15:restartNumberingAfterBreak="0">
    <w:nsid w:val="2AD739DB"/>
    <w:multiLevelType w:val="hybridMultilevel"/>
    <w:tmpl w:val="35EC2792"/>
    <w:lvl w:ilvl="0" w:tplc="CB0C338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C061484"/>
    <w:multiLevelType w:val="hybridMultilevel"/>
    <w:tmpl w:val="DB783CF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37E807B3"/>
    <w:multiLevelType w:val="hybridMultilevel"/>
    <w:tmpl w:val="5C6E4E7A"/>
    <w:lvl w:ilvl="0" w:tplc="2C4E074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8D9285D"/>
    <w:multiLevelType w:val="hybridMultilevel"/>
    <w:tmpl w:val="32DECE16"/>
    <w:lvl w:ilvl="0" w:tplc="43B0020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93027C6"/>
    <w:multiLevelType w:val="hybridMultilevel"/>
    <w:tmpl w:val="55D8B5D8"/>
    <w:lvl w:ilvl="0" w:tplc="A5A2D18C">
      <w:start w:val="1"/>
      <w:numFmt w:val="lowerLetter"/>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FF028E9"/>
    <w:multiLevelType w:val="hybridMultilevel"/>
    <w:tmpl w:val="3CD8AD44"/>
    <w:lvl w:ilvl="0" w:tplc="5DD87EE2">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18B2C97"/>
    <w:multiLevelType w:val="hybridMultilevel"/>
    <w:tmpl w:val="6C8E005A"/>
    <w:lvl w:ilvl="0" w:tplc="BBD2F0B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3AB4663"/>
    <w:multiLevelType w:val="hybridMultilevel"/>
    <w:tmpl w:val="B86477EE"/>
    <w:lvl w:ilvl="0" w:tplc="BBD2F0B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82869BE"/>
    <w:multiLevelType w:val="hybridMultilevel"/>
    <w:tmpl w:val="617C4FC0"/>
    <w:lvl w:ilvl="0" w:tplc="F21E150A">
      <w:start w:val="7"/>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9156A37"/>
    <w:multiLevelType w:val="hybridMultilevel"/>
    <w:tmpl w:val="2AF09F32"/>
    <w:lvl w:ilvl="0" w:tplc="A8C2B5EE">
      <w:start w:val="1"/>
      <w:numFmt w:val="bullet"/>
      <w:lvlText w:val="-"/>
      <w:lvlJc w:val="left"/>
      <w:pPr>
        <w:tabs>
          <w:tab w:val="num" w:pos="720"/>
        </w:tabs>
        <w:ind w:left="720" w:hanging="360"/>
      </w:pPr>
      <w:rPr>
        <w:rFonts w:ascii="Times New Roman" w:hAnsi="Times New Roman" w:hint="default"/>
      </w:rPr>
    </w:lvl>
    <w:lvl w:ilvl="1" w:tplc="E6CCAA10" w:tentative="1">
      <w:start w:val="1"/>
      <w:numFmt w:val="bullet"/>
      <w:lvlText w:val="-"/>
      <w:lvlJc w:val="left"/>
      <w:pPr>
        <w:tabs>
          <w:tab w:val="num" w:pos="1440"/>
        </w:tabs>
        <w:ind w:left="1440" w:hanging="360"/>
      </w:pPr>
      <w:rPr>
        <w:rFonts w:ascii="Times New Roman" w:hAnsi="Times New Roman" w:hint="default"/>
      </w:rPr>
    </w:lvl>
    <w:lvl w:ilvl="2" w:tplc="CD9C658A" w:tentative="1">
      <w:start w:val="1"/>
      <w:numFmt w:val="bullet"/>
      <w:lvlText w:val="-"/>
      <w:lvlJc w:val="left"/>
      <w:pPr>
        <w:tabs>
          <w:tab w:val="num" w:pos="2160"/>
        </w:tabs>
        <w:ind w:left="2160" w:hanging="360"/>
      </w:pPr>
      <w:rPr>
        <w:rFonts w:ascii="Times New Roman" w:hAnsi="Times New Roman" w:hint="default"/>
      </w:rPr>
    </w:lvl>
    <w:lvl w:ilvl="3" w:tplc="EBCC8C02" w:tentative="1">
      <w:start w:val="1"/>
      <w:numFmt w:val="bullet"/>
      <w:lvlText w:val="-"/>
      <w:lvlJc w:val="left"/>
      <w:pPr>
        <w:tabs>
          <w:tab w:val="num" w:pos="2880"/>
        </w:tabs>
        <w:ind w:left="2880" w:hanging="360"/>
      </w:pPr>
      <w:rPr>
        <w:rFonts w:ascii="Times New Roman" w:hAnsi="Times New Roman" w:hint="default"/>
      </w:rPr>
    </w:lvl>
    <w:lvl w:ilvl="4" w:tplc="B0B23AAE" w:tentative="1">
      <w:start w:val="1"/>
      <w:numFmt w:val="bullet"/>
      <w:lvlText w:val="-"/>
      <w:lvlJc w:val="left"/>
      <w:pPr>
        <w:tabs>
          <w:tab w:val="num" w:pos="3600"/>
        </w:tabs>
        <w:ind w:left="3600" w:hanging="360"/>
      </w:pPr>
      <w:rPr>
        <w:rFonts w:ascii="Times New Roman" w:hAnsi="Times New Roman" w:hint="default"/>
      </w:rPr>
    </w:lvl>
    <w:lvl w:ilvl="5" w:tplc="AD6A5F18" w:tentative="1">
      <w:start w:val="1"/>
      <w:numFmt w:val="bullet"/>
      <w:lvlText w:val="-"/>
      <w:lvlJc w:val="left"/>
      <w:pPr>
        <w:tabs>
          <w:tab w:val="num" w:pos="4320"/>
        </w:tabs>
        <w:ind w:left="4320" w:hanging="360"/>
      </w:pPr>
      <w:rPr>
        <w:rFonts w:ascii="Times New Roman" w:hAnsi="Times New Roman" w:hint="default"/>
      </w:rPr>
    </w:lvl>
    <w:lvl w:ilvl="6" w:tplc="9806926E" w:tentative="1">
      <w:start w:val="1"/>
      <w:numFmt w:val="bullet"/>
      <w:lvlText w:val="-"/>
      <w:lvlJc w:val="left"/>
      <w:pPr>
        <w:tabs>
          <w:tab w:val="num" w:pos="5040"/>
        </w:tabs>
        <w:ind w:left="5040" w:hanging="360"/>
      </w:pPr>
      <w:rPr>
        <w:rFonts w:ascii="Times New Roman" w:hAnsi="Times New Roman" w:hint="default"/>
      </w:rPr>
    </w:lvl>
    <w:lvl w:ilvl="7" w:tplc="2910A6BC" w:tentative="1">
      <w:start w:val="1"/>
      <w:numFmt w:val="bullet"/>
      <w:lvlText w:val="-"/>
      <w:lvlJc w:val="left"/>
      <w:pPr>
        <w:tabs>
          <w:tab w:val="num" w:pos="5760"/>
        </w:tabs>
        <w:ind w:left="5760" w:hanging="360"/>
      </w:pPr>
      <w:rPr>
        <w:rFonts w:ascii="Times New Roman" w:hAnsi="Times New Roman" w:hint="default"/>
      </w:rPr>
    </w:lvl>
    <w:lvl w:ilvl="8" w:tplc="1DBE83AA"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4D963BCA"/>
    <w:multiLevelType w:val="hybridMultilevel"/>
    <w:tmpl w:val="6C8E005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4296714"/>
    <w:multiLevelType w:val="hybridMultilevel"/>
    <w:tmpl w:val="67DCE6FA"/>
    <w:lvl w:ilvl="0" w:tplc="83C6C52E">
      <w:start w:val="1"/>
      <w:numFmt w:val="lowerLetter"/>
      <w:lvlText w:val="(%1)"/>
      <w:lvlJc w:val="left"/>
      <w:pPr>
        <w:ind w:left="1080" w:hanging="360"/>
      </w:pPr>
      <w:rPr>
        <w:rFonts w:hint="default"/>
        <w:i/>
        <w:i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5B214282"/>
    <w:multiLevelType w:val="hybridMultilevel"/>
    <w:tmpl w:val="4EE8ADD6"/>
    <w:lvl w:ilvl="0" w:tplc="36BC1666">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EA522C1"/>
    <w:multiLevelType w:val="hybridMultilevel"/>
    <w:tmpl w:val="9494692A"/>
    <w:lvl w:ilvl="0" w:tplc="43D2495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CE14B4B"/>
    <w:multiLevelType w:val="hybridMultilevel"/>
    <w:tmpl w:val="E53EF9D8"/>
    <w:lvl w:ilvl="0" w:tplc="00865EC2">
      <w:start w:val="1"/>
      <w:numFmt w:val="decimal"/>
      <w:lvlText w:val="%1."/>
      <w:lvlJc w:val="left"/>
      <w:pPr>
        <w:tabs>
          <w:tab w:val="num" w:pos="927"/>
        </w:tabs>
        <w:ind w:left="927" w:hanging="360"/>
      </w:pPr>
      <w:rPr>
        <w:rFonts w:ascii="Calibri" w:hAnsi="Calibri" w:cs="Arial" w:hint="default"/>
        <w:b/>
        <w:sz w:val="22"/>
        <w:szCs w:val="22"/>
      </w:rPr>
    </w:lvl>
    <w:lvl w:ilvl="1" w:tplc="040C0019">
      <w:start w:val="1"/>
      <w:numFmt w:val="bullet"/>
      <w:lvlText w:val=""/>
      <w:lvlJc w:val="left"/>
      <w:pPr>
        <w:tabs>
          <w:tab w:val="num" w:pos="1080"/>
        </w:tabs>
        <w:ind w:left="1080" w:hanging="360"/>
      </w:pPr>
      <w:rPr>
        <w:rFonts w:ascii="Symbol" w:hAnsi="Symbol" w:hint="default"/>
        <w:sz w:val="22"/>
        <w:szCs w:val="22"/>
      </w:rPr>
    </w:lvl>
    <w:lvl w:ilvl="2" w:tplc="6EB0D7CE">
      <w:start w:val="1"/>
      <w:numFmt w:val="lowerRoman"/>
      <w:lvlText w:val="(%3)"/>
      <w:lvlJc w:val="left"/>
      <w:pPr>
        <w:tabs>
          <w:tab w:val="num" w:pos="360"/>
        </w:tabs>
        <w:ind w:left="360" w:hanging="720"/>
      </w:pPr>
      <w:rPr>
        <w:rFonts w:ascii="Calibri" w:eastAsia="Times New Roman" w:hAnsi="Calibri" w:cs="Calibri" w:hint="default"/>
        <w:b w:val="0"/>
        <w:bCs/>
      </w:r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1" w15:restartNumberingAfterBreak="0">
    <w:nsid w:val="7341472F"/>
    <w:multiLevelType w:val="hybridMultilevel"/>
    <w:tmpl w:val="394C8552"/>
    <w:lvl w:ilvl="0" w:tplc="BBD2F0B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8AD6042"/>
    <w:multiLevelType w:val="hybridMultilevel"/>
    <w:tmpl w:val="25FCA23E"/>
    <w:lvl w:ilvl="0" w:tplc="F2C298C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66737360">
    <w:abstractNumId w:val="20"/>
  </w:num>
  <w:num w:numId="2" w16cid:durableId="826434077">
    <w:abstractNumId w:val="9"/>
  </w:num>
  <w:num w:numId="3" w16cid:durableId="1466041602">
    <w:abstractNumId w:val="18"/>
  </w:num>
  <w:num w:numId="4" w16cid:durableId="1338463827">
    <w:abstractNumId w:val="1"/>
  </w:num>
  <w:num w:numId="5" w16cid:durableId="383411734">
    <w:abstractNumId w:val="5"/>
  </w:num>
  <w:num w:numId="6" w16cid:durableId="256326441">
    <w:abstractNumId w:val="17"/>
  </w:num>
  <w:num w:numId="7" w16cid:durableId="492569555">
    <w:abstractNumId w:val="4"/>
  </w:num>
  <w:num w:numId="8" w16cid:durableId="1466047185">
    <w:abstractNumId w:val="0"/>
  </w:num>
  <w:num w:numId="9" w16cid:durableId="661666238">
    <w:abstractNumId w:val="22"/>
  </w:num>
  <w:num w:numId="10" w16cid:durableId="1503399832">
    <w:abstractNumId w:val="6"/>
  </w:num>
  <w:num w:numId="11" w16cid:durableId="843858785">
    <w:abstractNumId w:val="7"/>
  </w:num>
  <w:num w:numId="12" w16cid:durableId="1635059235">
    <w:abstractNumId w:val="19"/>
  </w:num>
  <w:num w:numId="13" w16cid:durableId="1484463276">
    <w:abstractNumId w:val="15"/>
  </w:num>
  <w:num w:numId="14" w16cid:durableId="1896774807">
    <w:abstractNumId w:val="2"/>
  </w:num>
  <w:num w:numId="15" w16cid:durableId="52974941">
    <w:abstractNumId w:val="3"/>
  </w:num>
  <w:num w:numId="16" w16cid:durableId="2079744659">
    <w:abstractNumId w:val="14"/>
  </w:num>
  <w:num w:numId="17" w16cid:durableId="671027125">
    <w:abstractNumId w:val="10"/>
  </w:num>
  <w:num w:numId="18" w16cid:durableId="1229535384">
    <w:abstractNumId w:val="12"/>
  </w:num>
  <w:num w:numId="19" w16cid:durableId="1902983005">
    <w:abstractNumId w:val="16"/>
  </w:num>
  <w:num w:numId="20" w16cid:durableId="866673608">
    <w:abstractNumId w:val="11"/>
  </w:num>
  <w:num w:numId="21" w16cid:durableId="447816953">
    <w:abstractNumId w:val="21"/>
  </w:num>
  <w:num w:numId="22" w16cid:durableId="1628848764">
    <w:abstractNumId w:val="13"/>
  </w:num>
  <w:num w:numId="23" w16cid:durableId="1836345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0F"/>
    <w:rsid w:val="00000670"/>
    <w:rsid w:val="00011245"/>
    <w:rsid w:val="00011E05"/>
    <w:rsid w:val="00015D2C"/>
    <w:rsid w:val="00016669"/>
    <w:rsid w:val="0001759C"/>
    <w:rsid w:val="00017808"/>
    <w:rsid w:val="00017987"/>
    <w:rsid w:val="00017C42"/>
    <w:rsid w:val="00021AA0"/>
    <w:rsid w:val="0002214E"/>
    <w:rsid w:val="00022B3C"/>
    <w:rsid w:val="00023691"/>
    <w:rsid w:val="0003070A"/>
    <w:rsid w:val="000317CF"/>
    <w:rsid w:val="000319DA"/>
    <w:rsid w:val="00032242"/>
    <w:rsid w:val="0003273A"/>
    <w:rsid w:val="000351E9"/>
    <w:rsid w:val="000352C4"/>
    <w:rsid w:val="000373B8"/>
    <w:rsid w:val="00037B29"/>
    <w:rsid w:val="000401ED"/>
    <w:rsid w:val="00044599"/>
    <w:rsid w:val="000452F9"/>
    <w:rsid w:val="0005063D"/>
    <w:rsid w:val="00051083"/>
    <w:rsid w:val="00051A54"/>
    <w:rsid w:val="00051FA2"/>
    <w:rsid w:val="00052978"/>
    <w:rsid w:val="00054B47"/>
    <w:rsid w:val="00057CF4"/>
    <w:rsid w:val="0006004A"/>
    <w:rsid w:val="000608C9"/>
    <w:rsid w:val="00060BA2"/>
    <w:rsid w:val="00067160"/>
    <w:rsid w:val="00067243"/>
    <w:rsid w:val="00067653"/>
    <w:rsid w:val="00070596"/>
    <w:rsid w:val="00070998"/>
    <w:rsid w:val="00073FBA"/>
    <w:rsid w:val="00075200"/>
    <w:rsid w:val="0007797A"/>
    <w:rsid w:val="00083813"/>
    <w:rsid w:val="00083B60"/>
    <w:rsid w:val="00087E91"/>
    <w:rsid w:val="0009248E"/>
    <w:rsid w:val="00092E62"/>
    <w:rsid w:val="000932CC"/>
    <w:rsid w:val="00093ADD"/>
    <w:rsid w:val="00093C76"/>
    <w:rsid w:val="00096B8F"/>
    <w:rsid w:val="000A0EA7"/>
    <w:rsid w:val="000A1C24"/>
    <w:rsid w:val="000A399A"/>
    <w:rsid w:val="000A4DBA"/>
    <w:rsid w:val="000A529B"/>
    <w:rsid w:val="000A6CC0"/>
    <w:rsid w:val="000B03B9"/>
    <w:rsid w:val="000B1B24"/>
    <w:rsid w:val="000B4A03"/>
    <w:rsid w:val="000B5487"/>
    <w:rsid w:val="000B58CB"/>
    <w:rsid w:val="000B6E5A"/>
    <w:rsid w:val="000B7317"/>
    <w:rsid w:val="000C27BB"/>
    <w:rsid w:val="000C2828"/>
    <w:rsid w:val="000C2D98"/>
    <w:rsid w:val="000C3A41"/>
    <w:rsid w:val="000C3FFC"/>
    <w:rsid w:val="000C4764"/>
    <w:rsid w:val="000C5088"/>
    <w:rsid w:val="000C5969"/>
    <w:rsid w:val="000C6845"/>
    <w:rsid w:val="000D318A"/>
    <w:rsid w:val="000D638D"/>
    <w:rsid w:val="000D7DEE"/>
    <w:rsid w:val="000D7EC3"/>
    <w:rsid w:val="000E1113"/>
    <w:rsid w:val="000E1CB1"/>
    <w:rsid w:val="000E644E"/>
    <w:rsid w:val="000F0048"/>
    <w:rsid w:val="000F0721"/>
    <w:rsid w:val="000F2034"/>
    <w:rsid w:val="000F4911"/>
    <w:rsid w:val="000F65E1"/>
    <w:rsid w:val="0010214A"/>
    <w:rsid w:val="001022CF"/>
    <w:rsid w:val="0010237A"/>
    <w:rsid w:val="00103464"/>
    <w:rsid w:val="001041DF"/>
    <w:rsid w:val="0010713F"/>
    <w:rsid w:val="00107CF5"/>
    <w:rsid w:val="00110439"/>
    <w:rsid w:val="00110D37"/>
    <w:rsid w:val="0011338C"/>
    <w:rsid w:val="0011589B"/>
    <w:rsid w:val="001158C4"/>
    <w:rsid w:val="00117823"/>
    <w:rsid w:val="0012057D"/>
    <w:rsid w:val="001229E2"/>
    <w:rsid w:val="00123515"/>
    <w:rsid w:val="00123648"/>
    <w:rsid w:val="00124C5B"/>
    <w:rsid w:val="0013006B"/>
    <w:rsid w:val="001322C3"/>
    <w:rsid w:val="00135088"/>
    <w:rsid w:val="0013695C"/>
    <w:rsid w:val="00136A5A"/>
    <w:rsid w:val="00136B67"/>
    <w:rsid w:val="00136CAF"/>
    <w:rsid w:val="00137536"/>
    <w:rsid w:val="00137635"/>
    <w:rsid w:val="00140483"/>
    <w:rsid w:val="00141537"/>
    <w:rsid w:val="00142244"/>
    <w:rsid w:val="001430A9"/>
    <w:rsid w:val="001456DB"/>
    <w:rsid w:val="0015021E"/>
    <w:rsid w:val="0015139F"/>
    <w:rsid w:val="0015189C"/>
    <w:rsid w:val="001518ED"/>
    <w:rsid w:val="00156914"/>
    <w:rsid w:val="00157DE6"/>
    <w:rsid w:val="0016090A"/>
    <w:rsid w:val="00160E3A"/>
    <w:rsid w:val="00161905"/>
    <w:rsid w:val="001619E3"/>
    <w:rsid w:val="00163BA3"/>
    <w:rsid w:val="001706EB"/>
    <w:rsid w:val="001721A2"/>
    <w:rsid w:val="001738BE"/>
    <w:rsid w:val="00174EE7"/>
    <w:rsid w:val="00175701"/>
    <w:rsid w:val="00180B05"/>
    <w:rsid w:val="00180F07"/>
    <w:rsid w:val="00181AD0"/>
    <w:rsid w:val="00181CB4"/>
    <w:rsid w:val="00183E49"/>
    <w:rsid w:val="0018469E"/>
    <w:rsid w:val="00185F5F"/>
    <w:rsid w:val="001868A7"/>
    <w:rsid w:val="00186AAE"/>
    <w:rsid w:val="00192896"/>
    <w:rsid w:val="00195EEC"/>
    <w:rsid w:val="00197236"/>
    <w:rsid w:val="001A14EF"/>
    <w:rsid w:val="001A37C1"/>
    <w:rsid w:val="001A4614"/>
    <w:rsid w:val="001A4622"/>
    <w:rsid w:val="001A4D2F"/>
    <w:rsid w:val="001A6B8B"/>
    <w:rsid w:val="001A71BD"/>
    <w:rsid w:val="001A7301"/>
    <w:rsid w:val="001B2CFD"/>
    <w:rsid w:val="001B43D2"/>
    <w:rsid w:val="001B564C"/>
    <w:rsid w:val="001B65D3"/>
    <w:rsid w:val="001C49D7"/>
    <w:rsid w:val="001C5270"/>
    <w:rsid w:val="001C55C6"/>
    <w:rsid w:val="001C5C29"/>
    <w:rsid w:val="001C625F"/>
    <w:rsid w:val="001C6355"/>
    <w:rsid w:val="001C69D9"/>
    <w:rsid w:val="001D086A"/>
    <w:rsid w:val="001D163C"/>
    <w:rsid w:val="001D16B3"/>
    <w:rsid w:val="001D3F14"/>
    <w:rsid w:val="001D60E9"/>
    <w:rsid w:val="001E049E"/>
    <w:rsid w:val="001E0890"/>
    <w:rsid w:val="001E137F"/>
    <w:rsid w:val="001E1E61"/>
    <w:rsid w:val="001E3B57"/>
    <w:rsid w:val="001E3D7B"/>
    <w:rsid w:val="001E55A2"/>
    <w:rsid w:val="001E5A44"/>
    <w:rsid w:val="001E6716"/>
    <w:rsid w:val="001E6CC6"/>
    <w:rsid w:val="001E79E2"/>
    <w:rsid w:val="001F12C9"/>
    <w:rsid w:val="001F1C5D"/>
    <w:rsid w:val="001F1FFC"/>
    <w:rsid w:val="001F21EC"/>
    <w:rsid w:val="001F25E0"/>
    <w:rsid w:val="00200DC0"/>
    <w:rsid w:val="002016EB"/>
    <w:rsid w:val="00201A99"/>
    <w:rsid w:val="00202929"/>
    <w:rsid w:val="0020293E"/>
    <w:rsid w:val="00202E18"/>
    <w:rsid w:val="00203827"/>
    <w:rsid w:val="00204925"/>
    <w:rsid w:val="002054F3"/>
    <w:rsid w:val="00206C7E"/>
    <w:rsid w:val="00207AF5"/>
    <w:rsid w:val="0021081C"/>
    <w:rsid w:val="00211AD4"/>
    <w:rsid w:val="00213C2B"/>
    <w:rsid w:val="0021458D"/>
    <w:rsid w:val="00214AB7"/>
    <w:rsid w:val="00215661"/>
    <w:rsid w:val="0021649E"/>
    <w:rsid w:val="00217545"/>
    <w:rsid w:val="00217775"/>
    <w:rsid w:val="002207BD"/>
    <w:rsid w:val="00220B0C"/>
    <w:rsid w:val="00222618"/>
    <w:rsid w:val="00231884"/>
    <w:rsid w:val="002341F7"/>
    <w:rsid w:val="0023559A"/>
    <w:rsid w:val="00235D16"/>
    <w:rsid w:val="00236B14"/>
    <w:rsid w:val="00237494"/>
    <w:rsid w:val="00237B39"/>
    <w:rsid w:val="002406D4"/>
    <w:rsid w:val="00242172"/>
    <w:rsid w:val="0024283A"/>
    <w:rsid w:val="00245F4B"/>
    <w:rsid w:val="00252615"/>
    <w:rsid w:val="00252662"/>
    <w:rsid w:val="002528F6"/>
    <w:rsid w:val="002532F4"/>
    <w:rsid w:val="00253F38"/>
    <w:rsid w:val="00255983"/>
    <w:rsid w:val="00261C9D"/>
    <w:rsid w:val="002621C7"/>
    <w:rsid w:val="002627D9"/>
    <w:rsid w:val="00263135"/>
    <w:rsid w:val="00265571"/>
    <w:rsid w:val="00265E9A"/>
    <w:rsid w:val="00266713"/>
    <w:rsid w:val="00270FFA"/>
    <w:rsid w:val="002721CC"/>
    <w:rsid w:val="00272B52"/>
    <w:rsid w:val="00274707"/>
    <w:rsid w:val="0027493B"/>
    <w:rsid w:val="00277668"/>
    <w:rsid w:val="00277ABC"/>
    <w:rsid w:val="00277FF8"/>
    <w:rsid w:val="0028032D"/>
    <w:rsid w:val="0028032F"/>
    <w:rsid w:val="0028033D"/>
    <w:rsid w:val="00280972"/>
    <w:rsid w:val="00283097"/>
    <w:rsid w:val="00283FA2"/>
    <w:rsid w:val="00286679"/>
    <w:rsid w:val="00290644"/>
    <w:rsid w:val="002909C3"/>
    <w:rsid w:val="00290F71"/>
    <w:rsid w:val="00293CEC"/>
    <w:rsid w:val="00294D80"/>
    <w:rsid w:val="00296270"/>
    <w:rsid w:val="002977AD"/>
    <w:rsid w:val="002A4515"/>
    <w:rsid w:val="002A513D"/>
    <w:rsid w:val="002A5258"/>
    <w:rsid w:val="002A7611"/>
    <w:rsid w:val="002B1E1E"/>
    <w:rsid w:val="002B4A81"/>
    <w:rsid w:val="002B4F83"/>
    <w:rsid w:val="002B5017"/>
    <w:rsid w:val="002B68F5"/>
    <w:rsid w:val="002B726F"/>
    <w:rsid w:val="002C01D7"/>
    <w:rsid w:val="002C08CD"/>
    <w:rsid w:val="002C3B66"/>
    <w:rsid w:val="002C7088"/>
    <w:rsid w:val="002C79D6"/>
    <w:rsid w:val="002C7AFD"/>
    <w:rsid w:val="002C7F52"/>
    <w:rsid w:val="002D1131"/>
    <w:rsid w:val="002D3142"/>
    <w:rsid w:val="002D4FB0"/>
    <w:rsid w:val="002D79C7"/>
    <w:rsid w:val="002E088D"/>
    <w:rsid w:val="002E39DA"/>
    <w:rsid w:val="002E48E1"/>
    <w:rsid w:val="002E632B"/>
    <w:rsid w:val="002E7393"/>
    <w:rsid w:val="002F0E3B"/>
    <w:rsid w:val="002F3201"/>
    <w:rsid w:val="002F46E9"/>
    <w:rsid w:val="002F52F4"/>
    <w:rsid w:val="00301582"/>
    <w:rsid w:val="00306950"/>
    <w:rsid w:val="00313045"/>
    <w:rsid w:val="00313D1A"/>
    <w:rsid w:val="0031415D"/>
    <w:rsid w:val="00316A67"/>
    <w:rsid w:val="0031700B"/>
    <w:rsid w:val="0031715A"/>
    <w:rsid w:val="003173CD"/>
    <w:rsid w:val="0032027C"/>
    <w:rsid w:val="00320B04"/>
    <w:rsid w:val="00320F7B"/>
    <w:rsid w:val="00321FFB"/>
    <w:rsid w:val="003225C9"/>
    <w:rsid w:val="0032542B"/>
    <w:rsid w:val="00325D15"/>
    <w:rsid w:val="00331186"/>
    <w:rsid w:val="0033177D"/>
    <w:rsid w:val="00331888"/>
    <w:rsid w:val="00333B83"/>
    <w:rsid w:val="0033474F"/>
    <w:rsid w:val="003405DF"/>
    <w:rsid w:val="0034124B"/>
    <w:rsid w:val="00342E7C"/>
    <w:rsid w:val="0035007F"/>
    <w:rsid w:val="00351E26"/>
    <w:rsid w:val="003528B0"/>
    <w:rsid w:val="00352B25"/>
    <w:rsid w:val="00354E3A"/>
    <w:rsid w:val="00355B44"/>
    <w:rsid w:val="003575A6"/>
    <w:rsid w:val="00361773"/>
    <w:rsid w:val="003620F6"/>
    <w:rsid w:val="0036335A"/>
    <w:rsid w:val="0036390B"/>
    <w:rsid w:val="00364855"/>
    <w:rsid w:val="0036627F"/>
    <w:rsid w:val="0036631C"/>
    <w:rsid w:val="0036633B"/>
    <w:rsid w:val="00370083"/>
    <w:rsid w:val="003711B6"/>
    <w:rsid w:val="0037371C"/>
    <w:rsid w:val="00373AE5"/>
    <w:rsid w:val="00374520"/>
    <w:rsid w:val="00375278"/>
    <w:rsid w:val="0037574C"/>
    <w:rsid w:val="00375A1D"/>
    <w:rsid w:val="00376883"/>
    <w:rsid w:val="00382952"/>
    <w:rsid w:val="00383350"/>
    <w:rsid w:val="00384DDB"/>
    <w:rsid w:val="003853BE"/>
    <w:rsid w:val="0038601B"/>
    <w:rsid w:val="00386DD6"/>
    <w:rsid w:val="00394859"/>
    <w:rsid w:val="003958F5"/>
    <w:rsid w:val="00395B0B"/>
    <w:rsid w:val="00395E1E"/>
    <w:rsid w:val="00397290"/>
    <w:rsid w:val="00397B85"/>
    <w:rsid w:val="003A0C7C"/>
    <w:rsid w:val="003A2FFB"/>
    <w:rsid w:val="003B00EF"/>
    <w:rsid w:val="003B070B"/>
    <w:rsid w:val="003B2EA3"/>
    <w:rsid w:val="003B432B"/>
    <w:rsid w:val="003B4779"/>
    <w:rsid w:val="003C2B1B"/>
    <w:rsid w:val="003C4AE3"/>
    <w:rsid w:val="003C5BBB"/>
    <w:rsid w:val="003C67CD"/>
    <w:rsid w:val="003C7180"/>
    <w:rsid w:val="003C7970"/>
    <w:rsid w:val="003D00A3"/>
    <w:rsid w:val="003D7A43"/>
    <w:rsid w:val="003E17F1"/>
    <w:rsid w:val="003E2A62"/>
    <w:rsid w:val="003E5740"/>
    <w:rsid w:val="003F14B1"/>
    <w:rsid w:val="003F2241"/>
    <w:rsid w:val="003F7DDD"/>
    <w:rsid w:val="00400217"/>
    <w:rsid w:val="0040064E"/>
    <w:rsid w:val="004011EC"/>
    <w:rsid w:val="00401685"/>
    <w:rsid w:val="004051D1"/>
    <w:rsid w:val="00406E24"/>
    <w:rsid w:val="00415586"/>
    <w:rsid w:val="00417155"/>
    <w:rsid w:val="0041780E"/>
    <w:rsid w:val="00436CC9"/>
    <w:rsid w:val="00437DBB"/>
    <w:rsid w:val="004402B0"/>
    <w:rsid w:val="00442FFB"/>
    <w:rsid w:val="004430D9"/>
    <w:rsid w:val="00444F10"/>
    <w:rsid w:val="00446A55"/>
    <w:rsid w:val="00446D2B"/>
    <w:rsid w:val="00447FD4"/>
    <w:rsid w:val="004525EA"/>
    <w:rsid w:val="0045367C"/>
    <w:rsid w:val="00454EDF"/>
    <w:rsid w:val="004553A0"/>
    <w:rsid w:val="00456B77"/>
    <w:rsid w:val="00460ABE"/>
    <w:rsid w:val="004626B8"/>
    <w:rsid w:val="00462BFB"/>
    <w:rsid w:val="004632A0"/>
    <w:rsid w:val="00463469"/>
    <w:rsid w:val="004635B8"/>
    <w:rsid w:val="00465AE7"/>
    <w:rsid w:val="00465D97"/>
    <w:rsid w:val="004668D0"/>
    <w:rsid w:val="004725D5"/>
    <w:rsid w:val="004732CF"/>
    <w:rsid w:val="004740D3"/>
    <w:rsid w:val="00475E40"/>
    <w:rsid w:val="004761EC"/>
    <w:rsid w:val="00481B74"/>
    <w:rsid w:val="00482176"/>
    <w:rsid w:val="00482866"/>
    <w:rsid w:val="004840A6"/>
    <w:rsid w:val="00485CC3"/>
    <w:rsid w:val="00487A2F"/>
    <w:rsid w:val="00487A69"/>
    <w:rsid w:val="00491830"/>
    <w:rsid w:val="00493267"/>
    <w:rsid w:val="00493DBD"/>
    <w:rsid w:val="00494E20"/>
    <w:rsid w:val="00495C3A"/>
    <w:rsid w:val="0049691E"/>
    <w:rsid w:val="00496FF1"/>
    <w:rsid w:val="004A03D2"/>
    <w:rsid w:val="004A4ECD"/>
    <w:rsid w:val="004A629F"/>
    <w:rsid w:val="004A6FBB"/>
    <w:rsid w:val="004A6FE3"/>
    <w:rsid w:val="004A757F"/>
    <w:rsid w:val="004B0350"/>
    <w:rsid w:val="004B0455"/>
    <w:rsid w:val="004B0D39"/>
    <w:rsid w:val="004B2EC2"/>
    <w:rsid w:val="004B51B6"/>
    <w:rsid w:val="004B5E0B"/>
    <w:rsid w:val="004B702A"/>
    <w:rsid w:val="004C01A5"/>
    <w:rsid w:val="004C12D3"/>
    <w:rsid w:val="004C26D1"/>
    <w:rsid w:val="004C322D"/>
    <w:rsid w:val="004C4141"/>
    <w:rsid w:val="004C4762"/>
    <w:rsid w:val="004C639C"/>
    <w:rsid w:val="004C7316"/>
    <w:rsid w:val="004D4BDA"/>
    <w:rsid w:val="004E0C3C"/>
    <w:rsid w:val="004E0F53"/>
    <w:rsid w:val="004E1146"/>
    <w:rsid w:val="004E1DE2"/>
    <w:rsid w:val="004E238E"/>
    <w:rsid w:val="004E339E"/>
    <w:rsid w:val="004E693C"/>
    <w:rsid w:val="004E6B22"/>
    <w:rsid w:val="004F00F4"/>
    <w:rsid w:val="004F0957"/>
    <w:rsid w:val="004F5013"/>
    <w:rsid w:val="004F5F51"/>
    <w:rsid w:val="004F5FF8"/>
    <w:rsid w:val="004F73AC"/>
    <w:rsid w:val="00501BCF"/>
    <w:rsid w:val="00502C5A"/>
    <w:rsid w:val="00510536"/>
    <w:rsid w:val="00513A40"/>
    <w:rsid w:val="00514619"/>
    <w:rsid w:val="0051551C"/>
    <w:rsid w:val="00516025"/>
    <w:rsid w:val="005165BE"/>
    <w:rsid w:val="005221D4"/>
    <w:rsid w:val="00524267"/>
    <w:rsid w:val="005247D8"/>
    <w:rsid w:val="00525112"/>
    <w:rsid w:val="005259BC"/>
    <w:rsid w:val="00527C05"/>
    <w:rsid w:val="005300D9"/>
    <w:rsid w:val="00532C81"/>
    <w:rsid w:val="00537038"/>
    <w:rsid w:val="00540EC4"/>
    <w:rsid w:val="00541381"/>
    <w:rsid w:val="0054180D"/>
    <w:rsid w:val="00541C25"/>
    <w:rsid w:val="00542CA7"/>
    <w:rsid w:val="00543423"/>
    <w:rsid w:val="005453C3"/>
    <w:rsid w:val="00545F97"/>
    <w:rsid w:val="00554789"/>
    <w:rsid w:val="00557F46"/>
    <w:rsid w:val="00561812"/>
    <w:rsid w:val="00562F64"/>
    <w:rsid w:val="00566A81"/>
    <w:rsid w:val="00567CF2"/>
    <w:rsid w:val="00571F05"/>
    <w:rsid w:val="00572812"/>
    <w:rsid w:val="005747AF"/>
    <w:rsid w:val="00575F7F"/>
    <w:rsid w:val="00576364"/>
    <w:rsid w:val="005770DA"/>
    <w:rsid w:val="00577A48"/>
    <w:rsid w:val="00580DE8"/>
    <w:rsid w:val="0058652D"/>
    <w:rsid w:val="00586F7F"/>
    <w:rsid w:val="00590B10"/>
    <w:rsid w:val="00591810"/>
    <w:rsid w:val="005925F9"/>
    <w:rsid w:val="00592A3E"/>
    <w:rsid w:val="00593304"/>
    <w:rsid w:val="00596359"/>
    <w:rsid w:val="005A0B90"/>
    <w:rsid w:val="005A1069"/>
    <w:rsid w:val="005A3771"/>
    <w:rsid w:val="005A3F6F"/>
    <w:rsid w:val="005A553D"/>
    <w:rsid w:val="005A6689"/>
    <w:rsid w:val="005B0F7C"/>
    <w:rsid w:val="005B1BF9"/>
    <w:rsid w:val="005C702D"/>
    <w:rsid w:val="005C70A1"/>
    <w:rsid w:val="005C75C8"/>
    <w:rsid w:val="005D2D3A"/>
    <w:rsid w:val="005D3FFE"/>
    <w:rsid w:val="005D687A"/>
    <w:rsid w:val="005D7497"/>
    <w:rsid w:val="005E06C4"/>
    <w:rsid w:val="005E2237"/>
    <w:rsid w:val="005F0F82"/>
    <w:rsid w:val="005F35E0"/>
    <w:rsid w:val="005F53A7"/>
    <w:rsid w:val="005F7B95"/>
    <w:rsid w:val="00603810"/>
    <w:rsid w:val="0060624E"/>
    <w:rsid w:val="00606F73"/>
    <w:rsid w:val="00607529"/>
    <w:rsid w:val="00607E97"/>
    <w:rsid w:val="00611B38"/>
    <w:rsid w:val="00611DEF"/>
    <w:rsid w:val="00612F82"/>
    <w:rsid w:val="006130D8"/>
    <w:rsid w:val="00613439"/>
    <w:rsid w:val="006149CB"/>
    <w:rsid w:val="00614BC7"/>
    <w:rsid w:val="00617422"/>
    <w:rsid w:val="00624F19"/>
    <w:rsid w:val="0062508B"/>
    <w:rsid w:val="006256A3"/>
    <w:rsid w:val="006266C6"/>
    <w:rsid w:val="00627BD8"/>
    <w:rsid w:val="00630606"/>
    <w:rsid w:val="00630AA4"/>
    <w:rsid w:val="006317CD"/>
    <w:rsid w:val="006318D1"/>
    <w:rsid w:val="00633631"/>
    <w:rsid w:val="00635E79"/>
    <w:rsid w:val="00636ECE"/>
    <w:rsid w:val="0063766D"/>
    <w:rsid w:val="00637FA7"/>
    <w:rsid w:val="0064109D"/>
    <w:rsid w:val="0064117F"/>
    <w:rsid w:val="00642166"/>
    <w:rsid w:val="0064502C"/>
    <w:rsid w:val="00645F79"/>
    <w:rsid w:val="0065138D"/>
    <w:rsid w:val="006539FC"/>
    <w:rsid w:val="006576DF"/>
    <w:rsid w:val="00660529"/>
    <w:rsid w:val="00660594"/>
    <w:rsid w:val="00660ECB"/>
    <w:rsid w:val="0066156E"/>
    <w:rsid w:val="00662069"/>
    <w:rsid w:val="006654AC"/>
    <w:rsid w:val="00665A47"/>
    <w:rsid w:val="00665E45"/>
    <w:rsid w:val="006660CB"/>
    <w:rsid w:val="0067166D"/>
    <w:rsid w:val="0067323C"/>
    <w:rsid w:val="00675107"/>
    <w:rsid w:val="0067735F"/>
    <w:rsid w:val="006806E9"/>
    <w:rsid w:val="0068086A"/>
    <w:rsid w:val="0068192D"/>
    <w:rsid w:val="006823A0"/>
    <w:rsid w:val="00683A12"/>
    <w:rsid w:val="00684C42"/>
    <w:rsid w:val="0069229C"/>
    <w:rsid w:val="00693AEE"/>
    <w:rsid w:val="006A0BB1"/>
    <w:rsid w:val="006A1229"/>
    <w:rsid w:val="006A2427"/>
    <w:rsid w:val="006A2C7F"/>
    <w:rsid w:val="006A322E"/>
    <w:rsid w:val="006A3F03"/>
    <w:rsid w:val="006A6F2B"/>
    <w:rsid w:val="006B055F"/>
    <w:rsid w:val="006B38B1"/>
    <w:rsid w:val="006B6821"/>
    <w:rsid w:val="006C04F5"/>
    <w:rsid w:val="006C0BA2"/>
    <w:rsid w:val="006C121F"/>
    <w:rsid w:val="006C31D1"/>
    <w:rsid w:val="006C4611"/>
    <w:rsid w:val="006C5F46"/>
    <w:rsid w:val="006D451D"/>
    <w:rsid w:val="006D6223"/>
    <w:rsid w:val="006E4E30"/>
    <w:rsid w:val="006E55B4"/>
    <w:rsid w:val="006E5D11"/>
    <w:rsid w:val="006E74B5"/>
    <w:rsid w:val="006F0E39"/>
    <w:rsid w:val="006F1C60"/>
    <w:rsid w:val="006F42FE"/>
    <w:rsid w:val="006F5D2E"/>
    <w:rsid w:val="006F7D00"/>
    <w:rsid w:val="0070068A"/>
    <w:rsid w:val="00701447"/>
    <w:rsid w:val="00701D08"/>
    <w:rsid w:val="00702EDC"/>
    <w:rsid w:val="00703CA1"/>
    <w:rsid w:val="00704652"/>
    <w:rsid w:val="007133D1"/>
    <w:rsid w:val="00716711"/>
    <w:rsid w:val="00716917"/>
    <w:rsid w:val="00716AE4"/>
    <w:rsid w:val="00720B90"/>
    <w:rsid w:val="007274A5"/>
    <w:rsid w:val="00731117"/>
    <w:rsid w:val="00731851"/>
    <w:rsid w:val="007346DF"/>
    <w:rsid w:val="007357CF"/>
    <w:rsid w:val="00736434"/>
    <w:rsid w:val="007416FF"/>
    <w:rsid w:val="007449C1"/>
    <w:rsid w:val="00744FFB"/>
    <w:rsid w:val="007500E3"/>
    <w:rsid w:val="007505BF"/>
    <w:rsid w:val="00756143"/>
    <w:rsid w:val="00757B19"/>
    <w:rsid w:val="0076317D"/>
    <w:rsid w:val="007642D8"/>
    <w:rsid w:val="00765A44"/>
    <w:rsid w:val="00766C89"/>
    <w:rsid w:val="007678D2"/>
    <w:rsid w:val="00771604"/>
    <w:rsid w:val="00771A87"/>
    <w:rsid w:val="00773B17"/>
    <w:rsid w:val="007743A5"/>
    <w:rsid w:val="00776BB8"/>
    <w:rsid w:val="00776FAB"/>
    <w:rsid w:val="00777858"/>
    <w:rsid w:val="00777DA7"/>
    <w:rsid w:val="00784473"/>
    <w:rsid w:val="00785FC1"/>
    <w:rsid w:val="00792BF1"/>
    <w:rsid w:val="007939C6"/>
    <w:rsid w:val="0079540D"/>
    <w:rsid w:val="00795E9D"/>
    <w:rsid w:val="007A09A2"/>
    <w:rsid w:val="007A39BF"/>
    <w:rsid w:val="007A6DAB"/>
    <w:rsid w:val="007A6DD9"/>
    <w:rsid w:val="007B0723"/>
    <w:rsid w:val="007B2AE5"/>
    <w:rsid w:val="007B2B50"/>
    <w:rsid w:val="007B4F5E"/>
    <w:rsid w:val="007B54F3"/>
    <w:rsid w:val="007B637D"/>
    <w:rsid w:val="007B7522"/>
    <w:rsid w:val="007C0CFB"/>
    <w:rsid w:val="007C3862"/>
    <w:rsid w:val="007C7005"/>
    <w:rsid w:val="007C7C97"/>
    <w:rsid w:val="007D023B"/>
    <w:rsid w:val="007D18D5"/>
    <w:rsid w:val="007D1B2D"/>
    <w:rsid w:val="007D2E3C"/>
    <w:rsid w:val="007D4CC5"/>
    <w:rsid w:val="007D5494"/>
    <w:rsid w:val="007D5837"/>
    <w:rsid w:val="007E02E2"/>
    <w:rsid w:val="007E164E"/>
    <w:rsid w:val="007E35BC"/>
    <w:rsid w:val="007E6F47"/>
    <w:rsid w:val="007E76D5"/>
    <w:rsid w:val="007E7BB9"/>
    <w:rsid w:val="007E7C64"/>
    <w:rsid w:val="007F0EC1"/>
    <w:rsid w:val="007F1D69"/>
    <w:rsid w:val="007F31FF"/>
    <w:rsid w:val="007F4098"/>
    <w:rsid w:val="007F609F"/>
    <w:rsid w:val="007F6186"/>
    <w:rsid w:val="007F6EAC"/>
    <w:rsid w:val="007F73EF"/>
    <w:rsid w:val="00802E73"/>
    <w:rsid w:val="008031AD"/>
    <w:rsid w:val="00803390"/>
    <w:rsid w:val="00805F5B"/>
    <w:rsid w:val="00811966"/>
    <w:rsid w:val="00813453"/>
    <w:rsid w:val="0081364F"/>
    <w:rsid w:val="0081441C"/>
    <w:rsid w:val="008146D8"/>
    <w:rsid w:val="00815407"/>
    <w:rsid w:val="008160BF"/>
    <w:rsid w:val="008166D9"/>
    <w:rsid w:val="00816A65"/>
    <w:rsid w:val="00816E8C"/>
    <w:rsid w:val="008175B9"/>
    <w:rsid w:val="0081782D"/>
    <w:rsid w:val="008179B9"/>
    <w:rsid w:val="00822073"/>
    <w:rsid w:val="008222CE"/>
    <w:rsid w:val="00826CC9"/>
    <w:rsid w:val="00827005"/>
    <w:rsid w:val="00832105"/>
    <w:rsid w:val="008335A7"/>
    <w:rsid w:val="00835B5B"/>
    <w:rsid w:val="00836A37"/>
    <w:rsid w:val="00836DC7"/>
    <w:rsid w:val="00837762"/>
    <w:rsid w:val="008400CE"/>
    <w:rsid w:val="00841A70"/>
    <w:rsid w:val="0084564C"/>
    <w:rsid w:val="00846CBD"/>
    <w:rsid w:val="00852D4F"/>
    <w:rsid w:val="00852E31"/>
    <w:rsid w:val="008546F7"/>
    <w:rsid w:val="00855CD9"/>
    <w:rsid w:val="008609D5"/>
    <w:rsid w:val="0086171B"/>
    <w:rsid w:val="00865AE0"/>
    <w:rsid w:val="00865D78"/>
    <w:rsid w:val="00867645"/>
    <w:rsid w:val="0087064F"/>
    <w:rsid w:val="008720B9"/>
    <w:rsid w:val="0087309A"/>
    <w:rsid w:val="0087534F"/>
    <w:rsid w:val="00876886"/>
    <w:rsid w:val="00876A05"/>
    <w:rsid w:val="00880D96"/>
    <w:rsid w:val="00883139"/>
    <w:rsid w:val="00883238"/>
    <w:rsid w:val="00883A96"/>
    <w:rsid w:val="008844A9"/>
    <w:rsid w:val="00884F89"/>
    <w:rsid w:val="008872D3"/>
    <w:rsid w:val="00887AFA"/>
    <w:rsid w:val="008903DE"/>
    <w:rsid w:val="0089044F"/>
    <w:rsid w:val="0089145C"/>
    <w:rsid w:val="00891537"/>
    <w:rsid w:val="00896EF9"/>
    <w:rsid w:val="00897E4E"/>
    <w:rsid w:val="008A1496"/>
    <w:rsid w:val="008A3F22"/>
    <w:rsid w:val="008A63B7"/>
    <w:rsid w:val="008B23F4"/>
    <w:rsid w:val="008B5F82"/>
    <w:rsid w:val="008C114F"/>
    <w:rsid w:val="008C1601"/>
    <w:rsid w:val="008C1AE4"/>
    <w:rsid w:val="008C27AD"/>
    <w:rsid w:val="008C6581"/>
    <w:rsid w:val="008C7FC9"/>
    <w:rsid w:val="008D24C2"/>
    <w:rsid w:val="008D261E"/>
    <w:rsid w:val="008D4532"/>
    <w:rsid w:val="008D483B"/>
    <w:rsid w:val="008D4AF0"/>
    <w:rsid w:val="008D5EE5"/>
    <w:rsid w:val="008D7550"/>
    <w:rsid w:val="008E065B"/>
    <w:rsid w:val="008E2150"/>
    <w:rsid w:val="008E5818"/>
    <w:rsid w:val="008F133E"/>
    <w:rsid w:val="008F35E6"/>
    <w:rsid w:val="008F4FA3"/>
    <w:rsid w:val="008F6576"/>
    <w:rsid w:val="008F704D"/>
    <w:rsid w:val="008F7619"/>
    <w:rsid w:val="008F796D"/>
    <w:rsid w:val="00900144"/>
    <w:rsid w:val="009002CC"/>
    <w:rsid w:val="00900DC3"/>
    <w:rsid w:val="009026B6"/>
    <w:rsid w:val="00903B03"/>
    <w:rsid w:val="009050F3"/>
    <w:rsid w:val="00906B73"/>
    <w:rsid w:val="009073F7"/>
    <w:rsid w:val="009075D4"/>
    <w:rsid w:val="00907889"/>
    <w:rsid w:val="00911FDF"/>
    <w:rsid w:val="00912917"/>
    <w:rsid w:val="00912BEA"/>
    <w:rsid w:val="00913B33"/>
    <w:rsid w:val="00922B50"/>
    <w:rsid w:val="00924DEE"/>
    <w:rsid w:val="0092550D"/>
    <w:rsid w:val="009269BB"/>
    <w:rsid w:val="0092751D"/>
    <w:rsid w:val="0093084E"/>
    <w:rsid w:val="00932D49"/>
    <w:rsid w:val="00932E65"/>
    <w:rsid w:val="00932FD7"/>
    <w:rsid w:val="00933106"/>
    <w:rsid w:val="00933A9D"/>
    <w:rsid w:val="009360DE"/>
    <w:rsid w:val="00936842"/>
    <w:rsid w:val="0094061B"/>
    <w:rsid w:val="0094252A"/>
    <w:rsid w:val="009454C1"/>
    <w:rsid w:val="009474D7"/>
    <w:rsid w:val="00950671"/>
    <w:rsid w:val="00951160"/>
    <w:rsid w:val="0095398D"/>
    <w:rsid w:val="009565F0"/>
    <w:rsid w:val="0095664A"/>
    <w:rsid w:val="00957685"/>
    <w:rsid w:val="00960852"/>
    <w:rsid w:val="009630E5"/>
    <w:rsid w:val="009638AB"/>
    <w:rsid w:val="00964092"/>
    <w:rsid w:val="0096537D"/>
    <w:rsid w:val="00966103"/>
    <w:rsid w:val="00967296"/>
    <w:rsid w:val="00967581"/>
    <w:rsid w:val="009679AF"/>
    <w:rsid w:val="00971997"/>
    <w:rsid w:val="00974058"/>
    <w:rsid w:val="00974EC7"/>
    <w:rsid w:val="00976186"/>
    <w:rsid w:val="00977EF4"/>
    <w:rsid w:val="00981A12"/>
    <w:rsid w:val="009838B9"/>
    <w:rsid w:val="009878C1"/>
    <w:rsid w:val="009901B0"/>
    <w:rsid w:val="009912F0"/>
    <w:rsid w:val="00992E1B"/>
    <w:rsid w:val="00994764"/>
    <w:rsid w:val="00996059"/>
    <w:rsid w:val="00996CB5"/>
    <w:rsid w:val="009A1AA1"/>
    <w:rsid w:val="009A28F9"/>
    <w:rsid w:val="009A32DD"/>
    <w:rsid w:val="009A52A9"/>
    <w:rsid w:val="009A59D5"/>
    <w:rsid w:val="009A6B5F"/>
    <w:rsid w:val="009B1CA0"/>
    <w:rsid w:val="009B3A4B"/>
    <w:rsid w:val="009B3B1C"/>
    <w:rsid w:val="009B4D0C"/>
    <w:rsid w:val="009C3C4F"/>
    <w:rsid w:val="009D0A20"/>
    <w:rsid w:val="009D1970"/>
    <w:rsid w:val="009D4D95"/>
    <w:rsid w:val="009D5155"/>
    <w:rsid w:val="009D5F3A"/>
    <w:rsid w:val="009D686E"/>
    <w:rsid w:val="009D77C2"/>
    <w:rsid w:val="009E0E62"/>
    <w:rsid w:val="009E11EB"/>
    <w:rsid w:val="009E1445"/>
    <w:rsid w:val="009E181A"/>
    <w:rsid w:val="009E35A4"/>
    <w:rsid w:val="009E3DF1"/>
    <w:rsid w:val="009E4BC8"/>
    <w:rsid w:val="009E5762"/>
    <w:rsid w:val="009E5B38"/>
    <w:rsid w:val="009F294E"/>
    <w:rsid w:val="009F49B4"/>
    <w:rsid w:val="009F4C14"/>
    <w:rsid w:val="009F4DCE"/>
    <w:rsid w:val="009F4E80"/>
    <w:rsid w:val="009F7C20"/>
    <w:rsid w:val="00A009E9"/>
    <w:rsid w:val="00A02368"/>
    <w:rsid w:val="00A049B2"/>
    <w:rsid w:val="00A052BA"/>
    <w:rsid w:val="00A05EEA"/>
    <w:rsid w:val="00A06F3E"/>
    <w:rsid w:val="00A11C22"/>
    <w:rsid w:val="00A1278E"/>
    <w:rsid w:val="00A13335"/>
    <w:rsid w:val="00A13766"/>
    <w:rsid w:val="00A152BF"/>
    <w:rsid w:val="00A1552C"/>
    <w:rsid w:val="00A16E72"/>
    <w:rsid w:val="00A207A0"/>
    <w:rsid w:val="00A2272F"/>
    <w:rsid w:val="00A22B02"/>
    <w:rsid w:val="00A24A95"/>
    <w:rsid w:val="00A2500A"/>
    <w:rsid w:val="00A2700B"/>
    <w:rsid w:val="00A33A5A"/>
    <w:rsid w:val="00A35ACE"/>
    <w:rsid w:val="00A36B50"/>
    <w:rsid w:val="00A41A3F"/>
    <w:rsid w:val="00A431CD"/>
    <w:rsid w:val="00A45231"/>
    <w:rsid w:val="00A458B5"/>
    <w:rsid w:val="00A539EE"/>
    <w:rsid w:val="00A54FB4"/>
    <w:rsid w:val="00A60E81"/>
    <w:rsid w:val="00A61D0C"/>
    <w:rsid w:val="00A638E5"/>
    <w:rsid w:val="00A64353"/>
    <w:rsid w:val="00A650BF"/>
    <w:rsid w:val="00A65385"/>
    <w:rsid w:val="00A658AF"/>
    <w:rsid w:val="00A70752"/>
    <w:rsid w:val="00A7081E"/>
    <w:rsid w:val="00A71727"/>
    <w:rsid w:val="00A71C5B"/>
    <w:rsid w:val="00A72E17"/>
    <w:rsid w:val="00A7664F"/>
    <w:rsid w:val="00A76702"/>
    <w:rsid w:val="00A80879"/>
    <w:rsid w:val="00A80F68"/>
    <w:rsid w:val="00A81267"/>
    <w:rsid w:val="00A81DC3"/>
    <w:rsid w:val="00A8273C"/>
    <w:rsid w:val="00A82F40"/>
    <w:rsid w:val="00A834CD"/>
    <w:rsid w:val="00A83E56"/>
    <w:rsid w:val="00A84BAA"/>
    <w:rsid w:val="00A85353"/>
    <w:rsid w:val="00A865D1"/>
    <w:rsid w:val="00A86710"/>
    <w:rsid w:val="00A86E25"/>
    <w:rsid w:val="00A913D7"/>
    <w:rsid w:val="00A91525"/>
    <w:rsid w:val="00A92983"/>
    <w:rsid w:val="00A92CB3"/>
    <w:rsid w:val="00A92F33"/>
    <w:rsid w:val="00A94526"/>
    <w:rsid w:val="00AA070F"/>
    <w:rsid w:val="00AA0BA0"/>
    <w:rsid w:val="00AA0D29"/>
    <w:rsid w:val="00AA17B1"/>
    <w:rsid w:val="00AA36A7"/>
    <w:rsid w:val="00AB11CF"/>
    <w:rsid w:val="00AB1684"/>
    <w:rsid w:val="00AB48F0"/>
    <w:rsid w:val="00AB7BC2"/>
    <w:rsid w:val="00AC107C"/>
    <w:rsid w:val="00AC2E89"/>
    <w:rsid w:val="00AC3CA1"/>
    <w:rsid w:val="00AC7071"/>
    <w:rsid w:val="00AC7A39"/>
    <w:rsid w:val="00AD4104"/>
    <w:rsid w:val="00AD49A0"/>
    <w:rsid w:val="00AD75AA"/>
    <w:rsid w:val="00AE1092"/>
    <w:rsid w:val="00AE27D3"/>
    <w:rsid w:val="00AE2C17"/>
    <w:rsid w:val="00AE378A"/>
    <w:rsid w:val="00AE3B08"/>
    <w:rsid w:val="00AE4D68"/>
    <w:rsid w:val="00AE62D4"/>
    <w:rsid w:val="00AE6841"/>
    <w:rsid w:val="00AE6D16"/>
    <w:rsid w:val="00AE7C28"/>
    <w:rsid w:val="00AF18C1"/>
    <w:rsid w:val="00AF42CC"/>
    <w:rsid w:val="00AF5700"/>
    <w:rsid w:val="00AF5757"/>
    <w:rsid w:val="00AF5E8F"/>
    <w:rsid w:val="00B01428"/>
    <w:rsid w:val="00B01EB6"/>
    <w:rsid w:val="00B03B82"/>
    <w:rsid w:val="00B0514A"/>
    <w:rsid w:val="00B129F8"/>
    <w:rsid w:val="00B13A17"/>
    <w:rsid w:val="00B14904"/>
    <w:rsid w:val="00B14AD4"/>
    <w:rsid w:val="00B15F0E"/>
    <w:rsid w:val="00B20069"/>
    <w:rsid w:val="00B20278"/>
    <w:rsid w:val="00B20623"/>
    <w:rsid w:val="00B215BA"/>
    <w:rsid w:val="00B21FEC"/>
    <w:rsid w:val="00B221E5"/>
    <w:rsid w:val="00B245E9"/>
    <w:rsid w:val="00B25EBC"/>
    <w:rsid w:val="00B262AA"/>
    <w:rsid w:val="00B266E6"/>
    <w:rsid w:val="00B3117A"/>
    <w:rsid w:val="00B31D2E"/>
    <w:rsid w:val="00B32F9E"/>
    <w:rsid w:val="00B335B4"/>
    <w:rsid w:val="00B35DFB"/>
    <w:rsid w:val="00B35E23"/>
    <w:rsid w:val="00B41ACF"/>
    <w:rsid w:val="00B44EE1"/>
    <w:rsid w:val="00B471FE"/>
    <w:rsid w:val="00B510C9"/>
    <w:rsid w:val="00B516EF"/>
    <w:rsid w:val="00B5587A"/>
    <w:rsid w:val="00B60A32"/>
    <w:rsid w:val="00B619EF"/>
    <w:rsid w:val="00B6517C"/>
    <w:rsid w:val="00B65197"/>
    <w:rsid w:val="00B6704C"/>
    <w:rsid w:val="00B675CC"/>
    <w:rsid w:val="00B67C8F"/>
    <w:rsid w:val="00B70305"/>
    <w:rsid w:val="00B73DDE"/>
    <w:rsid w:val="00B752C1"/>
    <w:rsid w:val="00B7558E"/>
    <w:rsid w:val="00B75EEF"/>
    <w:rsid w:val="00B83432"/>
    <w:rsid w:val="00B8370E"/>
    <w:rsid w:val="00B84636"/>
    <w:rsid w:val="00B85D84"/>
    <w:rsid w:val="00B862A8"/>
    <w:rsid w:val="00B87089"/>
    <w:rsid w:val="00B918A3"/>
    <w:rsid w:val="00B9198B"/>
    <w:rsid w:val="00B96C54"/>
    <w:rsid w:val="00BA2236"/>
    <w:rsid w:val="00BA2C64"/>
    <w:rsid w:val="00BA4EE2"/>
    <w:rsid w:val="00BA6477"/>
    <w:rsid w:val="00BA7927"/>
    <w:rsid w:val="00BB30E6"/>
    <w:rsid w:val="00BB529D"/>
    <w:rsid w:val="00BB6848"/>
    <w:rsid w:val="00BB7271"/>
    <w:rsid w:val="00BB77F4"/>
    <w:rsid w:val="00BC2BF8"/>
    <w:rsid w:val="00BC5216"/>
    <w:rsid w:val="00BC6309"/>
    <w:rsid w:val="00BD0353"/>
    <w:rsid w:val="00BD1E2A"/>
    <w:rsid w:val="00BD1F3C"/>
    <w:rsid w:val="00BD447B"/>
    <w:rsid w:val="00BD5088"/>
    <w:rsid w:val="00BD6182"/>
    <w:rsid w:val="00BD717F"/>
    <w:rsid w:val="00BE01F1"/>
    <w:rsid w:val="00BE5F6F"/>
    <w:rsid w:val="00BF1818"/>
    <w:rsid w:val="00BF31B7"/>
    <w:rsid w:val="00BF6467"/>
    <w:rsid w:val="00BF7955"/>
    <w:rsid w:val="00C0193D"/>
    <w:rsid w:val="00C03E35"/>
    <w:rsid w:val="00C135F9"/>
    <w:rsid w:val="00C1361E"/>
    <w:rsid w:val="00C1402C"/>
    <w:rsid w:val="00C15292"/>
    <w:rsid w:val="00C15574"/>
    <w:rsid w:val="00C15A76"/>
    <w:rsid w:val="00C17217"/>
    <w:rsid w:val="00C206AB"/>
    <w:rsid w:val="00C26F0B"/>
    <w:rsid w:val="00C31F83"/>
    <w:rsid w:val="00C36A4A"/>
    <w:rsid w:val="00C36A7C"/>
    <w:rsid w:val="00C40595"/>
    <w:rsid w:val="00C41131"/>
    <w:rsid w:val="00C421AD"/>
    <w:rsid w:val="00C4368C"/>
    <w:rsid w:val="00C43827"/>
    <w:rsid w:val="00C44FA4"/>
    <w:rsid w:val="00C476D0"/>
    <w:rsid w:val="00C47969"/>
    <w:rsid w:val="00C54922"/>
    <w:rsid w:val="00C56F4B"/>
    <w:rsid w:val="00C575E6"/>
    <w:rsid w:val="00C600BF"/>
    <w:rsid w:val="00C61535"/>
    <w:rsid w:val="00C617EF"/>
    <w:rsid w:val="00C62E93"/>
    <w:rsid w:val="00C66946"/>
    <w:rsid w:val="00C66C7E"/>
    <w:rsid w:val="00C7321D"/>
    <w:rsid w:val="00C752AD"/>
    <w:rsid w:val="00C775E5"/>
    <w:rsid w:val="00C777A7"/>
    <w:rsid w:val="00C77FC5"/>
    <w:rsid w:val="00C80A1A"/>
    <w:rsid w:val="00C8356A"/>
    <w:rsid w:val="00C83EB0"/>
    <w:rsid w:val="00C84EE7"/>
    <w:rsid w:val="00C864FC"/>
    <w:rsid w:val="00C86AC7"/>
    <w:rsid w:val="00C878CB"/>
    <w:rsid w:val="00C90426"/>
    <w:rsid w:val="00C90E43"/>
    <w:rsid w:val="00C90E74"/>
    <w:rsid w:val="00C91B51"/>
    <w:rsid w:val="00C927BF"/>
    <w:rsid w:val="00C92FD7"/>
    <w:rsid w:val="00C93873"/>
    <w:rsid w:val="00C952E4"/>
    <w:rsid w:val="00C961F4"/>
    <w:rsid w:val="00C96554"/>
    <w:rsid w:val="00CA063C"/>
    <w:rsid w:val="00CA2D52"/>
    <w:rsid w:val="00CA39DC"/>
    <w:rsid w:val="00CA48D7"/>
    <w:rsid w:val="00CA5249"/>
    <w:rsid w:val="00CA6AAF"/>
    <w:rsid w:val="00CB0FD2"/>
    <w:rsid w:val="00CB265C"/>
    <w:rsid w:val="00CB48A1"/>
    <w:rsid w:val="00CB48A8"/>
    <w:rsid w:val="00CB65DD"/>
    <w:rsid w:val="00CC0E13"/>
    <w:rsid w:val="00CC5238"/>
    <w:rsid w:val="00CC5C24"/>
    <w:rsid w:val="00CC7525"/>
    <w:rsid w:val="00CD2168"/>
    <w:rsid w:val="00CD285C"/>
    <w:rsid w:val="00CD3082"/>
    <w:rsid w:val="00CD487B"/>
    <w:rsid w:val="00CE2BAE"/>
    <w:rsid w:val="00CE2D52"/>
    <w:rsid w:val="00CE4964"/>
    <w:rsid w:val="00CE5E40"/>
    <w:rsid w:val="00CE6419"/>
    <w:rsid w:val="00CE652E"/>
    <w:rsid w:val="00CF09D4"/>
    <w:rsid w:val="00CF18EA"/>
    <w:rsid w:val="00CF2F4D"/>
    <w:rsid w:val="00CF2F83"/>
    <w:rsid w:val="00CF471F"/>
    <w:rsid w:val="00CF5306"/>
    <w:rsid w:val="00CF6FAB"/>
    <w:rsid w:val="00CF7D43"/>
    <w:rsid w:val="00D00B8E"/>
    <w:rsid w:val="00D02B46"/>
    <w:rsid w:val="00D02EA4"/>
    <w:rsid w:val="00D031D2"/>
    <w:rsid w:val="00D03DE3"/>
    <w:rsid w:val="00D04528"/>
    <w:rsid w:val="00D06034"/>
    <w:rsid w:val="00D1056C"/>
    <w:rsid w:val="00D109C9"/>
    <w:rsid w:val="00D12862"/>
    <w:rsid w:val="00D14455"/>
    <w:rsid w:val="00D15A6E"/>
    <w:rsid w:val="00D16559"/>
    <w:rsid w:val="00D175A9"/>
    <w:rsid w:val="00D22DF8"/>
    <w:rsid w:val="00D23D7A"/>
    <w:rsid w:val="00D25A95"/>
    <w:rsid w:val="00D26653"/>
    <w:rsid w:val="00D306B3"/>
    <w:rsid w:val="00D30A10"/>
    <w:rsid w:val="00D32BE7"/>
    <w:rsid w:val="00D350A8"/>
    <w:rsid w:val="00D3691A"/>
    <w:rsid w:val="00D4037F"/>
    <w:rsid w:val="00D4324C"/>
    <w:rsid w:val="00D465B3"/>
    <w:rsid w:val="00D46F99"/>
    <w:rsid w:val="00D540AC"/>
    <w:rsid w:val="00D5696A"/>
    <w:rsid w:val="00D56F45"/>
    <w:rsid w:val="00D5703F"/>
    <w:rsid w:val="00D61337"/>
    <w:rsid w:val="00D6345D"/>
    <w:rsid w:val="00D67322"/>
    <w:rsid w:val="00D67F64"/>
    <w:rsid w:val="00D67FC3"/>
    <w:rsid w:val="00D713D8"/>
    <w:rsid w:val="00D7588D"/>
    <w:rsid w:val="00D758CB"/>
    <w:rsid w:val="00D7641B"/>
    <w:rsid w:val="00D819F1"/>
    <w:rsid w:val="00D82F88"/>
    <w:rsid w:val="00D83C98"/>
    <w:rsid w:val="00D84550"/>
    <w:rsid w:val="00D84875"/>
    <w:rsid w:val="00D84A28"/>
    <w:rsid w:val="00D84DF4"/>
    <w:rsid w:val="00D8526A"/>
    <w:rsid w:val="00D864B8"/>
    <w:rsid w:val="00D87622"/>
    <w:rsid w:val="00D91906"/>
    <w:rsid w:val="00D92B5A"/>
    <w:rsid w:val="00D94229"/>
    <w:rsid w:val="00D94B66"/>
    <w:rsid w:val="00D97DC0"/>
    <w:rsid w:val="00DA010E"/>
    <w:rsid w:val="00DA0C14"/>
    <w:rsid w:val="00DA642A"/>
    <w:rsid w:val="00DB04FE"/>
    <w:rsid w:val="00DB1075"/>
    <w:rsid w:val="00DB252B"/>
    <w:rsid w:val="00DB378A"/>
    <w:rsid w:val="00DB3B8A"/>
    <w:rsid w:val="00DB4E69"/>
    <w:rsid w:val="00DB5E9A"/>
    <w:rsid w:val="00DB6FE5"/>
    <w:rsid w:val="00DC0611"/>
    <w:rsid w:val="00DC3083"/>
    <w:rsid w:val="00DC3263"/>
    <w:rsid w:val="00DC3AB5"/>
    <w:rsid w:val="00DC3B50"/>
    <w:rsid w:val="00DC435B"/>
    <w:rsid w:val="00DC438C"/>
    <w:rsid w:val="00DC4FC7"/>
    <w:rsid w:val="00DC549A"/>
    <w:rsid w:val="00DC7325"/>
    <w:rsid w:val="00DC7D76"/>
    <w:rsid w:val="00DD0407"/>
    <w:rsid w:val="00DD087D"/>
    <w:rsid w:val="00DD0BBE"/>
    <w:rsid w:val="00DD10C4"/>
    <w:rsid w:val="00DD3034"/>
    <w:rsid w:val="00DD413C"/>
    <w:rsid w:val="00DD7938"/>
    <w:rsid w:val="00DE23FF"/>
    <w:rsid w:val="00DE28AD"/>
    <w:rsid w:val="00DE2982"/>
    <w:rsid w:val="00DE672F"/>
    <w:rsid w:val="00DE6F0C"/>
    <w:rsid w:val="00DF00E6"/>
    <w:rsid w:val="00DF0CD8"/>
    <w:rsid w:val="00DF211C"/>
    <w:rsid w:val="00DF2602"/>
    <w:rsid w:val="00DF3614"/>
    <w:rsid w:val="00DF5082"/>
    <w:rsid w:val="00DF5657"/>
    <w:rsid w:val="00DF62F6"/>
    <w:rsid w:val="00E0342A"/>
    <w:rsid w:val="00E0514C"/>
    <w:rsid w:val="00E05B98"/>
    <w:rsid w:val="00E0615B"/>
    <w:rsid w:val="00E0646D"/>
    <w:rsid w:val="00E104A8"/>
    <w:rsid w:val="00E10AB1"/>
    <w:rsid w:val="00E10EB0"/>
    <w:rsid w:val="00E11962"/>
    <w:rsid w:val="00E12100"/>
    <w:rsid w:val="00E15056"/>
    <w:rsid w:val="00E17058"/>
    <w:rsid w:val="00E17447"/>
    <w:rsid w:val="00E1747A"/>
    <w:rsid w:val="00E17490"/>
    <w:rsid w:val="00E215D4"/>
    <w:rsid w:val="00E23579"/>
    <w:rsid w:val="00E255B9"/>
    <w:rsid w:val="00E262F7"/>
    <w:rsid w:val="00E3082F"/>
    <w:rsid w:val="00E3164C"/>
    <w:rsid w:val="00E331F8"/>
    <w:rsid w:val="00E33D16"/>
    <w:rsid w:val="00E35DA4"/>
    <w:rsid w:val="00E35ECC"/>
    <w:rsid w:val="00E36AA4"/>
    <w:rsid w:val="00E36F8B"/>
    <w:rsid w:val="00E37009"/>
    <w:rsid w:val="00E371CD"/>
    <w:rsid w:val="00E40CF2"/>
    <w:rsid w:val="00E41E31"/>
    <w:rsid w:val="00E426E4"/>
    <w:rsid w:val="00E4327C"/>
    <w:rsid w:val="00E5076B"/>
    <w:rsid w:val="00E517CB"/>
    <w:rsid w:val="00E558DF"/>
    <w:rsid w:val="00E56514"/>
    <w:rsid w:val="00E612E9"/>
    <w:rsid w:val="00E61D0A"/>
    <w:rsid w:val="00E656C3"/>
    <w:rsid w:val="00E67699"/>
    <w:rsid w:val="00E72A4C"/>
    <w:rsid w:val="00E73108"/>
    <w:rsid w:val="00E73121"/>
    <w:rsid w:val="00E76104"/>
    <w:rsid w:val="00E76DD0"/>
    <w:rsid w:val="00E77950"/>
    <w:rsid w:val="00E82672"/>
    <w:rsid w:val="00E84257"/>
    <w:rsid w:val="00E90399"/>
    <w:rsid w:val="00E94439"/>
    <w:rsid w:val="00E963DE"/>
    <w:rsid w:val="00E9745D"/>
    <w:rsid w:val="00EA01B2"/>
    <w:rsid w:val="00EA169C"/>
    <w:rsid w:val="00EA1DFE"/>
    <w:rsid w:val="00EA35BC"/>
    <w:rsid w:val="00EA38E7"/>
    <w:rsid w:val="00EA3B28"/>
    <w:rsid w:val="00EA5898"/>
    <w:rsid w:val="00EA665B"/>
    <w:rsid w:val="00EB3E81"/>
    <w:rsid w:val="00EB625C"/>
    <w:rsid w:val="00EC16C4"/>
    <w:rsid w:val="00EC33B9"/>
    <w:rsid w:val="00EC59B7"/>
    <w:rsid w:val="00ED3159"/>
    <w:rsid w:val="00ED4F5A"/>
    <w:rsid w:val="00ED5A5D"/>
    <w:rsid w:val="00ED7271"/>
    <w:rsid w:val="00ED75D3"/>
    <w:rsid w:val="00EE0A0E"/>
    <w:rsid w:val="00EE13D2"/>
    <w:rsid w:val="00EE169F"/>
    <w:rsid w:val="00EE3A8B"/>
    <w:rsid w:val="00EE5913"/>
    <w:rsid w:val="00EE61A9"/>
    <w:rsid w:val="00EE6FB7"/>
    <w:rsid w:val="00EF0ADE"/>
    <w:rsid w:val="00EF2F31"/>
    <w:rsid w:val="00EF330E"/>
    <w:rsid w:val="00EF3F8A"/>
    <w:rsid w:val="00EF4C09"/>
    <w:rsid w:val="00EF5652"/>
    <w:rsid w:val="00EF771F"/>
    <w:rsid w:val="00F0464F"/>
    <w:rsid w:val="00F068D1"/>
    <w:rsid w:val="00F06CC4"/>
    <w:rsid w:val="00F07C8C"/>
    <w:rsid w:val="00F104B0"/>
    <w:rsid w:val="00F10EA4"/>
    <w:rsid w:val="00F12A82"/>
    <w:rsid w:val="00F13FAA"/>
    <w:rsid w:val="00F16175"/>
    <w:rsid w:val="00F1627F"/>
    <w:rsid w:val="00F247D3"/>
    <w:rsid w:val="00F2538B"/>
    <w:rsid w:val="00F27D4B"/>
    <w:rsid w:val="00F31E31"/>
    <w:rsid w:val="00F35841"/>
    <w:rsid w:val="00F36E3E"/>
    <w:rsid w:val="00F435F3"/>
    <w:rsid w:val="00F440CE"/>
    <w:rsid w:val="00F448D4"/>
    <w:rsid w:val="00F46C70"/>
    <w:rsid w:val="00F46E9E"/>
    <w:rsid w:val="00F500E2"/>
    <w:rsid w:val="00F50297"/>
    <w:rsid w:val="00F52F10"/>
    <w:rsid w:val="00F536C9"/>
    <w:rsid w:val="00F5387C"/>
    <w:rsid w:val="00F54602"/>
    <w:rsid w:val="00F553B2"/>
    <w:rsid w:val="00F5573B"/>
    <w:rsid w:val="00F5627B"/>
    <w:rsid w:val="00F563ED"/>
    <w:rsid w:val="00F607CE"/>
    <w:rsid w:val="00F62E33"/>
    <w:rsid w:val="00F62F4C"/>
    <w:rsid w:val="00F642AB"/>
    <w:rsid w:val="00F64CC9"/>
    <w:rsid w:val="00F65A7F"/>
    <w:rsid w:val="00F6770E"/>
    <w:rsid w:val="00F709C2"/>
    <w:rsid w:val="00F7237B"/>
    <w:rsid w:val="00F72CFD"/>
    <w:rsid w:val="00F74F02"/>
    <w:rsid w:val="00F766BC"/>
    <w:rsid w:val="00F7673E"/>
    <w:rsid w:val="00F769D6"/>
    <w:rsid w:val="00F777A5"/>
    <w:rsid w:val="00F80B99"/>
    <w:rsid w:val="00F833F4"/>
    <w:rsid w:val="00F84B1D"/>
    <w:rsid w:val="00F87989"/>
    <w:rsid w:val="00F92284"/>
    <w:rsid w:val="00F92551"/>
    <w:rsid w:val="00F9463F"/>
    <w:rsid w:val="00F9504D"/>
    <w:rsid w:val="00FA00D4"/>
    <w:rsid w:val="00FA1818"/>
    <w:rsid w:val="00FA20C2"/>
    <w:rsid w:val="00FA2DDC"/>
    <w:rsid w:val="00FA4D2A"/>
    <w:rsid w:val="00FA5FEC"/>
    <w:rsid w:val="00FB040F"/>
    <w:rsid w:val="00FB059F"/>
    <w:rsid w:val="00FB12E2"/>
    <w:rsid w:val="00FB2562"/>
    <w:rsid w:val="00FB4492"/>
    <w:rsid w:val="00FB4672"/>
    <w:rsid w:val="00FB5956"/>
    <w:rsid w:val="00FB6721"/>
    <w:rsid w:val="00FB725C"/>
    <w:rsid w:val="00FB74F9"/>
    <w:rsid w:val="00FC080A"/>
    <w:rsid w:val="00FC4BF6"/>
    <w:rsid w:val="00FC5003"/>
    <w:rsid w:val="00FC7908"/>
    <w:rsid w:val="00FD0772"/>
    <w:rsid w:val="00FD0956"/>
    <w:rsid w:val="00FD10C8"/>
    <w:rsid w:val="00FD18A9"/>
    <w:rsid w:val="00FD2712"/>
    <w:rsid w:val="00FD2908"/>
    <w:rsid w:val="00FD3C55"/>
    <w:rsid w:val="00FD3F4A"/>
    <w:rsid w:val="00FD5F29"/>
    <w:rsid w:val="00FD6A2A"/>
    <w:rsid w:val="00FD7119"/>
    <w:rsid w:val="00FE2B06"/>
    <w:rsid w:val="00FE373F"/>
    <w:rsid w:val="00FE4F18"/>
    <w:rsid w:val="00FF0982"/>
    <w:rsid w:val="00FF29DE"/>
    <w:rsid w:val="00FF7C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7984AB"/>
  <w15:chartTrackingRefBased/>
  <w15:docId w15:val="{E11AEDA2-7EFC-41FB-8FE6-D75F0A7F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qFormat/>
    <w:rsid w:val="00FB0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nhideWhenUsed/>
    <w:qFormat/>
    <w:rsid w:val="00FB0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nhideWhenUsed/>
    <w:qFormat/>
    <w:rsid w:val="00FB040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nhideWhenUsed/>
    <w:qFormat/>
    <w:rsid w:val="00FB040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nhideWhenUsed/>
    <w:qFormat/>
    <w:rsid w:val="00FB040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nhideWhenUsed/>
    <w:qFormat/>
    <w:rsid w:val="00FB040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B040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B040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B040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B040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B040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B040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B040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B040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B040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B040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B040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B040F"/>
    <w:rPr>
      <w:rFonts w:eastAsiaTheme="majorEastAsia" w:cstheme="majorBidi"/>
      <w:color w:val="272727" w:themeColor="text1" w:themeTint="D8"/>
    </w:rPr>
  </w:style>
  <w:style w:type="paragraph" w:styleId="Titre">
    <w:name w:val="Title"/>
    <w:basedOn w:val="Normal"/>
    <w:next w:val="Normal"/>
    <w:link w:val="TitreCar"/>
    <w:uiPriority w:val="10"/>
    <w:qFormat/>
    <w:rsid w:val="00FB0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040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B040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B040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B040F"/>
    <w:pPr>
      <w:spacing w:before="160"/>
      <w:jc w:val="center"/>
    </w:pPr>
    <w:rPr>
      <w:i/>
      <w:iCs/>
      <w:color w:val="404040" w:themeColor="text1" w:themeTint="BF"/>
    </w:rPr>
  </w:style>
  <w:style w:type="character" w:customStyle="1" w:styleId="CitationCar">
    <w:name w:val="Citation Car"/>
    <w:basedOn w:val="Policepardfaut"/>
    <w:link w:val="Citation"/>
    <w:uiPriority w:val="29"/>
    <w:rsid w:val="00FB040F"/>
    <w:rPr>
      <w:i/>
      <w:iCs/>
      <w:color w:val="404040" w:themeColor="text1" w:themeTint="BF"/>
    </w:rPr>
  </w:style>
  <w:style w:type="paragraph" w:styleId="Paragraphedeliste">
    <w:name w:val="List Paragraph"/>
    <w:basedOn w:val="Normal"/>
    <w:uiPriority w:val="34"/>
    <w:qFormat/>
    <w:rsid w:val="00FB040F"/>
    <w:pPr>
      <w:ind w:left="720"/>
      <w:contextualSpacing/>
    </w:pPr>
  </w:style>
  <w:style w:type="character" w:styleId="Accentuationintense">
    <w:name w:val="Intense Emphasis"/>
    <w:basedOn w:val="Policepardfaut"/>
    <w:uiPriority w:val="21"/>
    <w:qFormat/>
    <w:rsid w:val="00FB040F"/>
    <w:rPr>
      <w:i/>
      <w:iCs/>
      <w:color w:val="0F4761" w:themeColor="accent1" w:themeShade="BF"/>
    </w:rPr>
  </w:style>
  <w:style w:type="paragraph" w:styleId="Citationintense">
    <w:name w:val="Intense Quote"/>
    <w:basedOn w:val="Normal"/>
    <w:next w:val="Normal"/>
    <w:link w:val="CitationintenseCar"/>
    <w:uiPriority w:val="30"/>
    <w:qFormat/>
    <w:rsid w:val="00FB0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B040F"/>
    <w:rPr>
      <w:i/>
      <w:iCs/>
      <w:color w:val="0F4761" w:themeColor="accent1" w:themeShade="BF"/>
    </w:rPr>
  </w:style>
  <w:style w:type="character" w:styleId="Rfrenceintense">
    <w:name w:val="Intense Reference"/>
    <w:basedOn w:val="Policepardfaut"/>
    <w:uiPriority w:val="32"/>
    <w:qFormat/>
    <w:rsid w:val="00FB040F"/>
    <w:rPr>
      <w:b/>
      <w:bCs/>
      <w:smallCaps/>
      <w:color w:val="0F4761" w:themeColor="accent1" w:themeShade="BF"/>
      <w:spacing w:val="5"/>
    </w:rPr>
  </w:style>
  <w:style w:type="paragraph" w:styleId="En-tte">
    <w:name w:val="header"/>
    <w:basedOn w:val="Normal"/>
    <w:link w:val="En-tteCar"/>
    <w:uiPriority w:val="99"/>
    <w:unhideWhenUsed/>
    <w:rsid w:val="00FB040F"/>
    <w:pPr>
      <w:tabs>
        <w:tab w:val="center" w:pos="4536"/>
        <w:tab w:val="right" w:pos="9072"/>
      </w:tabs>
      <w:spacing w:after="0" w:line="240" w:lineRule="auto"/>
    </w:pPr>
  </w:style>
  <w:style w:type="character" w:customStyle="1" w:styleId="En-tteCar">
    <w:name w:val="En-tête Car"/>
    <w:basedOn w:val="Policepardfaut"/>
    <w:link w:val="En-tte"/>
    <w:uiPriority w:val="99"/>
    <w:rsid w:val="00FB040F"/>
  </w:style>
  <w:style w:type="paragraph" w:styleId="Pieddepage">
    <w:name w:val="footer"/>
    <w:basedOn w:val="Normal"/>
    <w:link w:val="PieddepageCar"/>
    <w:uiPriority w:val="99"/>
    <w:unhideWhenUsed/>
    <w:rsid w:val="00FB040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B040F"/>
  </w:style>
  <w:style w:type="paragraph" w:customStyle="1" w:styleId="ssPara1">
    <w:name w:val="ssPara1"/>
    <w:basedOn w:val="Normal"/>
    <w:rsid w:val="00EC33B9"/>
    <w:pPr>
      <w:spacing w:after="220" w:line="240" w:lineRule="auto"/>
      <w:jc w:val="both"/>
    </w:pPr>
    <w:rPr>
      <w:rFonts w:ascii="Arial" w:eastAsia="Times New Roman" w:hAnsi="Arial" w:cs="Times New Roman"/>
      <w:kern w:val="0"/>
      <w:szCs w:val="20"/>
      <w:lang w:eastAsia="fr-FR"/>
      <w14:ligatures w14:val="none"/>
    </w:rPr>
  </w:style>
  <w:style w:type="paragraph" w:customStyle="1" w:styleId="ssPara2">
    <w:name w:val="ssPara2"/>
    <w:basedOn w:val="Normal"/>
    <w:rsid w:val="00EC33B9"/>
    <w:pPr>
      <w:spacing w:after="220" w:line="240" w:lineRule="auto"/>
      <w:ind w:left="709"/>
      <w:jc w:val="both"/>
    </w:pPr>
    <w:rPr>
      <w:rFonts w:ascii="Arial" w:eastAsia="Times New Roman" w:hAnsi="Arial" w:cs="Times New Roman"/>
      <w:kern w:val="0"/>
      <w:szCs w:val="20"/>
      <w:lang w:eastAsia="fr-FR"/>
      <w14:ligatures w14:val="none"/>
    </w:rPr>
  </w:style>
  <w:style w:type="paragraph" w:customStyle="1" w:styleId="ssNoHeading3">
    <w:name w:val="ssNoHeading3"/>
    <w:basedOn w:val="Titre3"/>
    <w:rsid w:val="00EC33B9"/>
    <w:pPr>
      <w:keepNext w:val="0"/>
      <w:keepLines w:val="0"/>
      <w:numPr>
        <w:ilvl w:val="3"/>
      </w:numPr>
      <w:tabs>
        <w:tab w:val="num" w:pos="1418"/>
      </w:tabs>
      <w:spacing w:before="0" w:after="220" w:line="240" w:lineRule="auto"/>
      <w:ind w:left="1418" w:hanging="709"/>
      <w:jc w:val="both"/>
    </w:pPr>
    <w:rPr>
      <w:rFonts w:ascii="Arial" w:eastAsia="Times New Roman" w:hAnsi="Arial" w:cs="Times New Roman"/>
      <w:color w:val="auto"/>
      <w:kern w:val="0"/>
      <w:sz w:val="22"/>
      <w:szCs w:val="20"/>
      <w:lang w:eastAsia="fr-FR"/>
      <w14:ligatures w14:val="none"/>
    </w:rPr>
  </w:style>
  <w:style w:type="table" w:styleId="Grilledutableau">
    <w:name w:val="Table Grid"/>
    <w:basedOn w:val="TableauNormal"/>
    <w:uiPriority w:val="59"/>
    <w:rsid w:val="00EC33B9"/>
    <w:pPr>
      <w:spacing w:after="0" w:line="240" w:lineRule="auto"/>
    </w:pPr>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ppelnotedebasdep">
    <w:name w:val="footnote reference"/>
    <w:basedOn w:val="Policepardfaut"/>
    <w:uiPriority w:val="99"/>
    <w:semiHidden/>
    <w:unhideWhenUsed/>
    <w:rsid w:val="00032242"/>
    <w:rPr>
      <w:vertAlign w:val="superscript"/>
    </w:rPr>
  </w:style>
  <w:style w:type="paragraph" w:styleId="Rvision">
    <w:name w:val="Revision"/>
    <w:hidden/>
    <w:uiPriority w:val="99"/>
    <w:semiHidden/>
    <w:rsid w:val="002016EB"/>
    <w:pPr>
      <w:spacing w:after="0" w:line="240" w:lineRule="auto"/>
    </w:pPr>
  </w:style>
  <w:style w:type="character" w:styleId="Marquedecommentaire">
    <w:name w:val="annotation reference"/>
    <w:basedOn w:val="Policepardfaut"/>
    <w:uiPriority w:val="99"/>
    <w:semiHidden/>
    <w:unhideWhenUsed/>
    <w:rsid w:val="00EF330E"/>
    <w:rPr>
      <w:sz w:val="16"/>
      <w:szCs w:val="16"/>
    </w:rPr>
  </w:style>
  <w:style w:type="paragraph" w:styleId="Commentaire">
    <w:name w:val="annotation text"/>
    <w:basedOn w:val="Normal"/>
    <w:link w:val="CommentaireCar"/>
    <w:uiPriority w:val="99"/>
    <w:unhideWhenUsed/>
    <w:rsid w:val="00EF330E"/>
    <w:pPr>
      <w:spacing w:line="240" w:lineRule="auto"/>
    </w:pPr>
    <w:rPr>
      <w:sz w:val="20"/>
      <w:szCs w:val="20"/>
    </w:rPr>
  </w:style>
  <w:style w:type="character" w:customStyle="1" w:styleId="CommentaireCar">
    <w:name w:val="Commentaire Car"/>
    <w:basedOn w:val="Policepardfaut"/>
    <w:link w:val="Commentaire"/>
    <w:uiPriority w:val="99"/>
    <w:rsid w:val="00EF330E"/>
    <w:rPr>
      <w:sz w:val="20"/>
      <w:szCs w:val="20"/>
    </w:rPr>
  </w:style>
  <w:style w:type="paragraph" w:styleId="Objetducommentaire">
    <w:name w:val="annotation subject"/>
    <w:basedOn w:val="Commentaire"/>
    <w:next w:val="Commentaire"/>
    <w:link w:val="ObjetducommentaireCar"/>
    <w:uiPriority w:val="99"/>
    <w:semiHidden/>
    <w:unhideWhenUsed/>
    <w:rsid w:val="00EF330E"/>
    <w:rPr>
      <w:b/>
      <w:bCs/>
    </w:rPr>
  </w:style>
  <w:style w:type="character" w:customStyle="1" w:styleId="ObjetducommentaireCar">
    <w:name w:val="Objet du commentaire Car"/>
    <w:basedOn w:val="CommentaireCar"/>
    <w:link w:val="Objetducommentaire"/>
    <w:uiPriority w:val="99"/>
    <w:semiHidden/>
    <w:rsid w:val="00EF330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901034">
      <w:bodyDiv w:val="1"/>
      <w:marLeft w:val="0"/>
      <w:marRight w:val="0"/>
      <w:marTop w:val="0"/>
      <w:marBottom w:val="0"/>
      <w:divBdr>
        <w:top w:val="none" w:sz="0" w:space="0" w:color="auto"/>
        <w:left w:val="none" w:sz="0" w:space="0" w:color="auto"/>
        <w:bottom w:val="none" w:sz="0" w:space="0" w:color="auto"/>
        <w:right w:val="none" w:sz="0" w:space="0" w:color="auto"/>
      </w:divBdr>
      <w:divsChild>
        <w:div w:id="1152794545">
          <w:marLeft w:val="274"/>
          <w:marRight w:val="0"/>
          <w:marTop w:val="0"/>
          <w:marBottom w:val="0"/>
          <w:divBdr>
            <w:top w:val="none" w:sz="0" w:space="0" w:color="auto"/>
            <w:left w:val="none" w:sz="0" w:space="0" w:color="auto"/>
            <w:bottom w:val="none" w:sz="0" w:space="0" w:color="auto"/>
            <w:right w:val="none" w:sz="0" w:space="0" w:color="auto"/>
          </w:divBdr>
        </w:div>
        <w:div w:id="1766421135">
          <w:marLeft w:val="274"/>
          <w:marRight w:val="0"/>
          <w:marTop w:val="0"/>
          <w:marBottom w:val="0"/>
          <w:divBdr>
            <w:top w:val="none" w:sz="0" w:space="0" w:color="auto"/>
            <w:left w:val="none" w:sz="0" w:space="0" w:color="auto"/>
            <w:bottom w:val="none" w:sz="0" w:space="0" w:color="auto"/>
            <w:right w:val="none" w:sz="0" w:space="0" w:color="auto"/>
          </w:divBdr>
        </w:div>
        <w:div w:id="327950266">
          <w:marLeft w:val="274"/>
          <w:marRight w:val="0"/>
          <w:marTop w:val="0"/>
          <w:marBottom w:val="0"/>
          <w:divBdr>
            <w:top w:val="none" w:sz="0" w:space="0" w:color="auto"/>
            <w:left w:val="none" w:sz="0" w:space="0" w:color="auto"/>
            <w:bottom w:val="none" w:sz="0" w:space="0" w:color="auto"/>
            <w:right w:val="none" w:sz="0" w:space="0" w:color="auto"/>
          </w:divBdr>
        </w:div>
      </w:divsChild>
    </w:div>
    <w:div w:id="1980648257">
      <w:bodyDiv w:val="1"/>
      <w:marLeft w:val="0"/>
      <w:marRight w:val="0"/>
      <w:marTop w:val="0"/>
      <w:marBottom w:val="0"/>
      <w:divBdr>
        <w:top w:val="none" w:sz="0" w:space="0" w:color="auto"/>
        <w:left w:val="none" w:sz="0" w:space="0" w:color="auto"/>
        <w:bottom w:val="none" w:sz="0" w:space="0" w:color="auto"/>
        <w:right w:val="none" w:sz="0" w:space="0" w:color="auto"/>
      </w:divBdr>
      <w:divsChild>
        <w:div w:id="36466619">
          <w:marLeft w:val="274"/>
          <w:marRight w:val="0"/>
          <w:marTop w:val="0"/>
          <w:marBottom w:val="0"/>
          <w:divBdr>
            <w:top w:val="none" w:sz="0" w:space="0" w:color="auto"/>
            <w:left w:val="none" w:sz="0" w:space="0" w:color="auto"/>
            <w:bottom w:val="none" w:sz="0" w:space="0" w:color="auto"/>
            <w:right w:val="none" w:sz="0" w:space="0" w:color="auto"/>
          </w:divBdr>
        </w:div>
        <w:div w:id="1656110845">
          <w:marLeft w:val="274"/>
          <w:marRight w:val="0"/>
          <w:marTop w:val="0"/>
          <w:marBottom w:val="0"/>
          <w:divBdr>
            <w:top w:val="none" w:sz="0" w:space="0" w:color="auto"/>
            <w:left w:val="none" w:sz="0" w:space="0" w:color="auto"/>
            <w:bottom w:val="none" w:sz="0" w:space="0" w:color="auto"/>
            <w:right w:val="none" w:sz="0" w:space="0" w:color="auto"/>
          </w:divBdr>
        </w:div>
        <w:div w:id="1170561664">
          <w:marLeft w:val="274"/>
          <w:marRight w:val="0"/>
          <w:marTop w:val="0"/>
          <w:marBottom w:val="0"/>
          <w:divBdr>
            <w:top w:val="none" w:sz="0" w:space="0" w:color="auto"/>
            <w:left w:val="none" w:sz="0" w:space="0" w:color="auto"/>
            <w:bottom w:val="none" w:sz="0" w:space="0" w:color="auto"/>
            <w:right w:val="none" w:sz="0" w:space="0" w:color="auto"/>
          </w:divBdr>
        </w:div>
        <w:div w:id="993489547">
          <w:marLeft w:val="274"/>
          <w:marRight w:val="0"/>
          <w:marTop w:val="0"/>
          <w:marBottom w:val="0"/>
          <w:divBdr>
            <w:top w:val="none" w:sz="0" w:space="0" w:color="auto"/>
            <w:left w:val="none" w:sz="0" w:space="0" w:color="auto"/>
            <w:bottom w:val="none" w:sz="0" w:space="0" w:color="auto"/>
            <w:right w:val="none" w:sz="0" w:space="0" w:color="auto"/>
          </w:divBdr>
        </w:div>
        <w:div w:id="1178692711">
          <w:marLeft w:val="274"/>
          <w:marRight w:val="0"/>
          <w:marTop w:val="0"/>
          <w:marBottom w:val="0"/>
          <w:divBdr>
            <w:top w:val="none" w:sz="0" w:space="0" w:color="auto"/>
            <w:left w:val="none" w:sz="0" w:space="0" w:color="auto"/>
            <w:bottom w:val="none" w:sz="0" w:space="0" w:color="auto"/>
            <w:right w:val="none" w:sz="0" w:space="0" w:color="auto"/>
          </w:divBdr>
        </w:div>
        <w:div w:id="1953828238">
          <w:marLeft w:val="274"/>
          <w:marRight w:val="0"/>
          <w:marTop w:val="0"/>
          <w:marBottom w:val="0"/>
          <w:divBdr>
            <w:top w:val="none" w:sz="0" w:space="0" w:color="auto"/>
            <w:left w:val="none" w:sz="0" w:space="0" w:color="auto"/>
            <w:bottom w:val="none" w:sz="0" w:space="0" w:color="auto"/>
            <w:right w:val="none" w:sz="0" w:space="0" w:color="auto"/>
          </w:divBdr>
        </w:div>
        <w:div w:id="1096708649">
          <w:marLeft w:val="274"/>
          <w:marRight w:val="0"/>
          <w:marTop w:val="0"/>
          <w:marBottom w:val="0"/>
          <w:divBdr>
            <w:top w:val="none" w:sz="0" w:space="0" w:color="auto"/>
            <w:left w:val="none" w:sz="0" w:space="0" w:color="auto"/>
            <w:bottom w:val="none" w:sz="0" w:space="0" w:color="auto"/>
            <w:right w:val="none" w:sz="0" w:space="0" w:color="auto"/>
          </w:divBdr>
        </w:div>
        <w:div w:id="2066105720">
          <w:marLeft w:val="274"/>
          <w:marRight w:val="0"/>
          <w:marTop w:val="0"/>
          <w:marBottom w:val="0"/>
          <w:divBdr>
            <w:top w:val="none" w:sz="0" w:space="0" w:color="auto"/>
            <w:left w:val="none" w:sz="0" w:space="0" w:color="auto"/>
            <w:bottom w:val="none" w:sz="0" w:space="0" w:color="auto"/>
            <w:right w:val="none" w:sz="0" w:space="0" w:color="auto"/>
          </w:divBdr>
        </w:div>
        <w:div w:id="636683364">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4FA01-F5D8-4851-8C4D-C62636CC5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1089</TotalTime>
  <Pages>7</Pages>
  <Words>134</Words>
  <Characters>742</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Calendrier de restructuration – Groupe BERJON</dc:title>
  <dc:subject/>
  <dc:creator>Hugo HENRY</dc:creator>
  <cp:keywords/>
  <dc:description/>
  <cp:lastModifiedBy>Corporate BDX</cp:lastModifiedBy>
  <cp:revision>524</cp:revision>
  <cp:lastPrinted>2025-11-03T14:47:00Z</cp:lastPrinted>
  <dcterms:created xsi:type="dcterms:W3CDTF">2025-11-04T13:39:00Z</dcterms:created>
  <dcterms:modified xsi:type="dcterms:W3CDTF">2026-09-23T15:19:00Z</dcterms:modified>
</cp:coreProperties>
</file>