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060/2024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087/2024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Aquisição de material de expediente e insumos de informática para atender as necessidades da Prefeitura Municipal de Cortês/PE.</w:t>
      </w:r>
    </w:p>
    <w:p>
      <w:pPr>
        <w:pStyle w:val="Contedodoquadro"/>
        <w:overflowPunct w:val="true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</w:rPr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 w:val="false"/>
          <w:bCs w:val="false"/>
          <w:sz w:val="24"/>
        </w:rPr>
      </w:pPr>
      <w:r>
        <w:rPr>
          <w:rFonts w:cs="Calibri" w:cstheme="minorHAnsi" w:ascii="Calibri" w:hAnsi="Calibri"/>
          <w:b w:val="false"/>
          <w:bCs w:val="false"/>
          <w:sz w:val="24"/>
        </w:rPr>
      </w:r>
    </w:p>
    <w:p>
      <w:pPr>
        <w:pStyle w:val="Contedodoquadro"/>
        <w:overflowPunct w:val="true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single"/>
        </w:rPr>
        <w:t>Código de Autenticidade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none"/>
        </w:rPr>
        <w:t xml:space="preserve">: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  <w:u w:val="none"/>
        </w:rPr>
        <w:t>6c7c5a42-eb5c-40b4-9a3a-26c44c6a9319</w:t>
      </w:r>
    </w:p>
    <w:p>
      <w:pPr>
        <w:pStyle w:val="ListParagraph"/>
        <w:widowControl w:val="false"/>
        <w:overflowPunct w:val="tru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03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R$ 374,50 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e </w:t>
      </w:r>
      <w:r>
        <w:rPr>
          <w:rFonts w:cs="Calibri" w:ascii="Calibri" w:hAnsi="Calibri" w:asciiTheme="minorHAnsi" w:cstheme="minorHAnsi" w:hAnsiTheme="minorHAnsi"/>
          <w:b/>
          <w:bCs/>
        </w:rPr>
        <w:t>deve ser entregue no prazo de 10 (dez) dias corridos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. A nota fiscal deve ser emitida conforme esta solicitação e deve ser acompanhada das </w:t>
      </w:r>
      <w:r>
        <w:rPr>
          <w:rFonts w:cs="Calibri" w:ascii="Calibri" w:hAnsi="Calibri" w:asciiTheme="minorHAnsi" w:cstheme="minorHAnsi" w:hAnsiTheme="minorHAnsi"/>
          <w:b/>
          <w:bCs/>
        </w:rPr>
        <w:t>certidões de regularidade fiscal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 xml:space="preserve">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ONEVALLE PERFUMARIA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23671155000155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None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30 de Novembro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Ordenador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LibreOffice/24.2.2.2$Windows_X86_64 LibreOffice_project/d56cc158d8a96260b836f100ef4b4ef25d6f1a01</Application>
  <AppVersion>15.0000</AppVersion>
  <Pages>1</Pages>
  <Words>164</Words>
  <Characters>1131</Characters>
  <CharactersWithSpaces>1392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2024-11-27T13:37:06Z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