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FE2" w:rsidRDefault="002E09FB" w:rsidP="00FE65D1">
      <w:pPr>
        <w:pStyle w:val="Heading1"/>
        <w:jc w:val="center"/>
      </w:pPr>
      <w:r>
        <w:t>Values functions implemented in the model MEGADAPT</w:t>
      </w:r>
    </w:p>
    <w:p w:rsidR="002E09FB" w:rsidRPr="00151E5F" w:rsidRDefault="002E09FB" w:rsidP="002E09FB"/>
    <w:p w:rsidR="002E09FB" w:rsidRDefault="002E09FB" w:rsidP="002E09FB">
      <w:pPr>
        <w:spacing w:line="240" w:lineRule="auto"/>
      </w:pPr>
    </w:p>
    <w:p w:rsidR="002E09FB" w:rsidRDefault="002E09FB" w:rsidP="002E09FB">
      <w:pPr>
        <w:pStyle w:val="Heading4"/>
      </w:pPr>
      <w:r>
        <w:t xml:space="preserve">Condition </w:t>
      </w:r>
      <w:r w:rsidRPr="004B0F23">
        <w:t>of infrastructure</w:t>
      </w:r>
    </w:p>
    <w:p w:rsidR="002E09FB" w:rsidRDefault="002E09FB" w:rsidP="002E09FB">
      <w:pPr>
        <w:spacing w:line="240" w:lineRule="auto"/>
        <w:ind w:firstLine="720"/>
      </w:pPr>
      <w:r w:rsidRPr="00EF7293">
        <w:t xml:space="preserve">Exposure of </w:t>
      </w:r>
      <w:r>
        <w:t>census blocks</w:t>
      </w:r>
      <w:r w:rsidRPr="00EF7293">
        <w:t xml:space="preserve"> to infrastructure hazards </w:t>
      </w:r>
      <w:proofErr w:type="gramStart"/>
      <w:r w:rsidRPr="00EF7293">
        <w:t>is related</w:t>
      </w:r>
      <w:proofErr w:type="gramEnd"/>
      <w:r w:rsidRPr="00EF7293">
        <w:t xml:space="preserve"> to </w:t>
      </w:r>
      <w:r>
        <w:t xml:space="preserve">the average condition of infrastructure system that create risk of </w:t>
      </w:r>
      <w:r w:rsidRPr="00EF7293">
        <w:t>water supply disruption</w:t>
      </w:r>
      <w:r>
        <w:t xml:space="preserve"> and </w:t>
      </w:r>
      <w:r w:rsidRPr="00EF7293">
        <w:t>flooding</w:t>
      </w:r>
      <w:r>
        <w:t xml:space="preserve">. In addition to </w:t>
      </w:r>
      <w:r w:rsidR="00A5681F">
        <w:t>flooding</w:t>
      </w:r>
      <w:bookmarkStart w:id="0" w:name="_GoBack"/>
      <w:bookmarkEnd w:id="0"/>
      <w:r>
        <w:t xml:space="preserve"> and scarcity residents suffer the exposure to waterborne pathogens represented by the number of incidence as a function of </w:t>
      </w:r>
      <w:r w:rsidRPr="00EF7293">
        <w:t xml:space="preserve">. </w:t>
      </w:r>
      <w:r>
        <w:t>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w:t>
      </w:r>
      <w:r>
        <w:t>F</w:t>
      </w:r>
      <w:r w:rsidRPr="00A2075E">
        <w:t xml:space="preserve">ormally </w:t>
      </w:r>
      <w:r w:rsidRPr="00A2075E">
        <w:fldChar w:fldCharType="begin" w:fldLock="1"/>
      </w:r>
      <w:r>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&lt;i&gt;et al&lt;/i&gt; 2011)", "plainTextFormattedCitation" : "(ten Veldhuis et al 2011)", "previouslyFormattedCitation" : "(ten Veldhuis &lt;i&gt;et al&lt;/i&gt; 2011)" }, "properties" : {  }, "schema" : "https://github.com/citation-style-language/schema/raw/master/csl-citation.json" }</w:instrText>
      </w:r>
      <w:r w:rsidRPr="00A2075E">
        <w:fldChar w:fldCharType="separate"/>
      </w:r>
      <w:r w:rsidRPr="0058048F">
        <w:rPr>
          <w:noProof/>
        </w:rPr>
        <w:t xml:space="preserve">(ten Veldhuis </w:t>
      </w:r>
      <w:r w:rsidRPr="0058048F">
        <w:rPr>
          <w:i/>
          <w:noProof/>
        </w:rPr>
        <w:t>et al</w:t>
      </w:r>
      <w:r w:rsidRPr="0058048F">
        <w:rPr>
          <w:noProof/>
        </w:rPr>
        <w:t xml:space="preserve"> 2011)</w:t>
      </w:r>
      <w:r w:rsidRPr="00A2075E">
        <w:fldChar w:fldCharType="end"/>
      </w:r>
      <w:r>
        <w:t>:</w:t>
      </w:r>
    </w:p>
    <w:p w:rsidR="002E09FB" w:rsidRPr="00A2075E" w:rsidRDefault="002E09FB" w:rsidP="002E09FB">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Pr>
          <w:rFonts w:eastAsiaTheme="minorEastAsia"/>
        </w:rPr>
        <w:t xml:space="preserve">    (5)</w:t>
      </w:r>
    </w:p>
    <w:p w:rsidR="002E09FB" w:rsidRPr="003733C1" w:rsidRDefault="002E09FB" w:rsidP="002E09FB">
      <w:pPr>
        <w:spacing w:line="240" w:lineRule="auto"/>
      </w:pPr>
      <w:proofErr w:type="gramStart"/>
      <w:r w:rsidRPr="003733C1">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w:t>
      </w:r>
      <w:r>
        <w:rPr>
          <w:rFonts w:eastAsiaTheme="minorEastAsia"/>
        </w:rPr>
        <w:t>s</w:t>
      </w:r>
      <w:r w:rsidRPr="003733C1">
        <w:rPr>
          <w:rFonts w:eastAsiaTheme="minorEastAsia"/>
        </w:rPr>
        <w:t xml:space="preserve"> a</w:t>
      </w:r>
      <w:r>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w:t>
      </w:r>
      <w:proofErr w:type="spellStart"/>
      <w:r w:rsidRPr="003733C1">
        <w:rPr>
          <w:rFonts w:eastAsiaTheme="minorEastAsia"/>
        </w:rPr>
        <w:t>fers</w:t>
      </w:r>
      <w:proofErr w:type="spellEnd"/>
      <w:proofErr w:type="gramEnd"/>
      <w:r w:rsidRPr="003733C1">
        <w:rPr>
          <w:rFonts w:eastAsiaTheme="minorEastAsia"/>
        </w:rPr>
        <w:t xml:space="preserve"> to the effect of subsidence on the condition of the infrastructure associate</w:t>
      </w:r>
      <w:r>
        <w:rPr>
          <w:rFonts w:eastAsiaTheme="minorEastAsia"/>
        </w:rPr>
        <w:t>d</w:t>
      </w:r>
      <w:r w:rsidRPr="003733C1">
        <w:rPr>
          <w:rFonts w:eastAsiaTheme="minorEastAsia"/>
        </w:rPr>
        <w:t xml:space="preserve"> </w:t>
      </w:r>
      <w:r>
        <w:rPr>
          <w:rFonts w:eastAsiaTheme="minorEastAsia"/>
        </w:rPr>
        <w:t>with</w:t>
      </w:r>
      <w:r w:rsidRPr="003733C1">
        <w:rPr>
          <w:rFonts w:eastAsiaTheme="minorEastAsia"/>
        </w:rPr>
        <w:t xml:space="preserve"> the rate of subsidence in </w:t>
      </w:r>
      <w:r>
        <w:rPr>
          <w:rFonts w:eastAsiaTheme="minorEastAsia"/>
        </w:rPr>
        <w:t>census 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rsidR="002E09FB" w:rsidRDefault="002E09FB" w:rsidP="002E09FB">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(6)</w:t>
      </w:r>
    </w:p>
    <w:p w:rsidR="002E09FB" w:rsidRDefault="002E09FB" w:rsidP="002E09FB">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census block,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on system </w:t>
      </w:r>
      <m:oMath>
        <m:r>
          <w:rPr>
            <w:rFonts w:ascii="Cambria Math" w:hAnsi="Cambria Math"/>
          </w:rPr>
          <m:t>v</m:t>
        </m:r>
      </m:oMath>
      <w:r>
        <w:rPr>
          <w:rFonts w:eastAsiaTheme="minorEastAsia"/>
        </w:rPr>
        <w:t xml:space="preserve">. It is a conversion parameter that must be parametrized to ensure </w:t>
      </w:r>
      <w:proofErr w:type="gramStart"/>
      <w:r>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rsidR="002E09FB" w:rsidRDefault="002E09FB" w:rsidP="002E09FB">
      <w:pPr>
        <w:spacing w:line="240" w:lineRule="auto"/>
      </w:pPr>
    </w:p>
    <w:p w:rsidR="002E09FB" w:rsidRDefault="002E09FB" w:rsidP="002E09FB">
      <w:pPr>
        <w:spacing w:line="240" w:lineRule="auto"/>
      </w:pPr>
    </w:p>
    <w:p w:rsidR="002E09FB" w:rsidRDefault="002E09FB" w:rsidP="002E09FB">
      <w:pPr>
        <w:spacing w:line="240" w:lineRule="auto"/>
      </w:pPr>
      <w:r>
        <w:t>One of the</w:t>
      </w:r>
      <w:r w:rsidRPr="00A2075E">
        <w:t xml:space="preserve"> </w:t>
      </w:r>
      <w:r>
        <w:t>attributes included</w:t>
      </w:r>
      <w:r w:rsidRPr="00A2075E">
        <w:t xml:space="preserve">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rsidRPr="00A2075E">
        <w:t xml:space="preserve"> as they decline over time </w:t>
      </w:r>
      <w:r>
        <w:t xml:space="preserve">in </w:t>
      </w:r>
      <w:r w:rsidRPr="00A2075E">
        <w:t xml:space="preserve">a </w:t>
      </w:r>
      <w:r>
        <w:t xml:space="preserve">census </w:t>
      </w:r>
      <w:proofErr w:type="gramStart"/>
      <w:r>
        <w:t>block</w:t>
      </w:r>
      <w:r w:rsidRPr="00A2075E">
        <w:t xml:space="preserve"> </w:t>
      </w:r>
      <w:proofErr w:type="gramEnd"/>
      <m:oMath>
        <m:r>
          <w:rPr>
            <w:rFonts w:ascii="Cambria Math" w:hAnsi="Cambria Math"/>
          </w:rPr>
          <m:t>j</m:t>
        </m:r>
      </m:oMath>
      <w:r>
        <w:t xml:space="preserve">. We assumed that the age of the infrastructure system </w:t>
      </w:r>
      <m:oMath>
        <m:r>
          <w:rPr>
            <w:rFonts w:ascii="Cambria Math" w:hAnsi="Cambria Math"/>
          </w:rPr>
          <m:t>v</m:t>
        </m:r>
      </m:oMath>
      <w:r>
        <w:rPr>
          <w:rFonts w:eastAsiaTheme="minorEastAsia"/>
        </w:rPr>
        <w:t xml:space="preserve"> in census </w:t>
      </w:r>
      <w:proofErr w:type="gramStart"/>
      <w:r>
        <w:rPr>
          <w:rFonts w:eastAsiaTheme="minorEastAsia"/>
        </w:rPr>
        <w:t xml:space="preserve">block </w:t>
      </w:r>
      <w:proofErr w:type="gramEnd"/>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rsidR="002E09FB" w:rsidRPr="00DD4081" w:rsidRDefault="002E09FB" w:rsidP="002E09FB">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Pr>
          <w:rFonts w:eastAsiaTheme="minorEastAsia"/>
        </w:rPr>
        <w:t xml:space="preserve">  (7)</w:t>
      </w:r>
    </w:p>
    <w:p w:rsidR="002E09FB" w:rsidRPr="00A2075E" w:rsidRDefault="002E09FB" w:rsidP="002E09FB">
      <w:pPr>
        <w:spacing w:line="240" w:lineRule="auto"/>
      </w:pPr>
      <w:proofErr w:type="gramStart"/>
      <w:r>
        <w:t>where</w:t>
      </w:r>
      <w:proofErr w:type="gramEnd"/>
      <w:r w:rsidRPr="00A2075E">
        <w:t xml:space="preserve"> </w:t>
      </w:r>
      <m:oMath>
        <m:r>
          <w:rPr>
            <w:rFonts w:ascii="Cambria Math" w:hAnsi="Cambria Math"/>
          </w:rPr>
          <m:t>week</m:t>
        </m:r>
      </m:oMath>
      <w:r>
        <w:rPr>
          <w:rFonts w:eastAsiaTheme="minorEastAsia"/>
        </w:rPr>
        <w:t xml:space="preserve"> </w:t>
      </w:r>
      <w:r>
        <w:t>is a single weekly time-step.</w:t>
      </w:r>
    </w:p>
    <w:p w:rsidR="002E09FB" w:rsidRDefault="002E09FB" w:rsidP="002E09FB">
      <w:pPr>
        <w:spacing w:line="240" w:lineRule="auto"/>
      </w:pPr>
    </w:p>
    <w:p w:rsidR="002E09FB" w:rsidRPr="00761970" w:rsidRDefault="002E09FB" w:rsidP="002E09FB">
      <w:pPr>
        <w:pStyle w:val="Heading3"/>
      </w:pPr>
      <w:r>
        <w:t xml:space="preserve"> </w:t>
      </w:r>
    </w:p>
    <w:p w:rsidR="002E09FB" w:rsidRDefault="002E09FB" w:rsidP="002E09FB">
      <w:pPr>
        <w:spacing w:line="240" w:lineRule="auto"/>
      </w:pPr>
    </w:p>
    <w:p w:rsidR="002E09FB" w:rsidRDefault="002E09FB" w:rsidP="002E09FB">
      <w:pPr>
        <w:pStyle w:val="Heading4"/>
      </w:pPr>
      <w:r>
        <w:t>Infrastructure c</w:t>
      </w:r>
      <w:r w:rsidRPr="004B0F23">
        <w:t>overage</w:t>
      </w:r>
    </w:p>
    <w:p w:rsidR="002E09FB" w:rsidRPr="00C4436A" w:rsidRDefault="002E09FB" w:rsidP="002E09FB">
      <w:pPr>
        <w:spacing w:line="240" w:lineRule="auto"/>
        <w:ind w:firstLine="720"/>
        <w:rPr>
          <w:rFonts w:eastAsiaTheme="minorEastAsia" w:cstheme="minorHAnsi"/>
        </w:rPr>
      </w:pPr>
      <w:r>
        <w:t xml:space="preserve">We define infrastructure coverage as the percentage of houses in a census block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census block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 are.</w:t>
      </w:r>
    </w:p>
    <w:p w:rsidR="002E09FB" w:rsidRDefault="002E09FB" w:rsidP="002E09FB">
      <w:pPr>
        <w:spacing w:after="0" w:line="240" w:lineRule="auto"/>
      </w:pPr>
    </w:p>
    <w:p w:rsidR="002E09FB" w:rsidRPr="00C415D8" w:rsidRDefault="002E09FB" w:rsidP="002E09FB">
      <w:pPr>
        <w:pStyle w:val="Heading2"/>
        <w:spacing w:line="240" w:lineRule="auto"/>
      </w:pPr>
      <w:bookmarkStart w:id="1" w:name="_Toc518901565"/>
      <w:r w:rsidRPr="00C415D8">
        <w:t xml:space="preserve">Indicators </w:t>
      </w:r>
      <w:r>
        <w:t>of Vulnerability</w:t>
      </w:r>
      <w:bookmarkEnd w:id="1"/>
    </w:p>
    <w:p w:rsidR="002E09FB" w:rsidRDefault="002E09FB" w:rsidP="002E09FB">
      <w:pPr>
        <w:spacing w:line="240" w:lineRule="auto"/>
        <w:ind w:firstLine="720"/>
        <w:rPr>
          <w:sz w:val="24"/>
          <w:szCs w:val="24"/>
        </w:rPr>
      </w:pPr>
      <w:r>
        <w:rPr>
          <w:sz w:val="24"/>
          <w:szCs w:val="24"/>
        </w:rPr>
        <w:t xml:space="preserve">The indicators obtained at the end of the simulation period </w:t>
      </w:r>
      <w:proofErr w:type="gramStart"/>
      <w:r>
        <w:rPr>
          <w:sz w:val="24"/>
          <w:szCs w:val="24"/>
        </w:rPr>
        <w:t>are described</w:t>
      </w:r>
      <w:proofErr w:type="gramEnd"/>
      <w:r>
        <w:rPr>
          <w:sz w:val="24"/>
          <w:szCs w:val="24"/>
        </w:rPr>
        <w:t xml:space="preserve"> in the sections below.</w:t>
      </w:r>
      <w:r w:rsidRPr="00314197">
        <w:rPr>
          <w:sz w:val="24"/>
          <w:szCs w:val="24"/>
        </w:rPr>
        <w:t xml:space="preserve"> </w:t>
      </w: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lastRenderedPageBreak/>
        <w:t xml:space="preserve">City average age of infrastructure system </w:t>
      </w:r>
      <m:oMath>
        <m:r>
          <m:rPr>
            <m:sty m:val="p"/>
          </m:rPr>
          <w:rPr>
            <w:rFonts w:ascii="Cambria Math" w:eastAsiaTheme="majorEastAsia" w:hAnsi="Cambria Math" w:cstheme="majorBidi"/>
            <w:color w:val="1F4D78" w:themeColor="accent1" w:themeShade="7F"/>
            <w:sz w:val="24"/>
            <w:szCs w:val="24"/>
          </w:rPr>
          <m:t>v</m:t>
        </m:r>
      </m:oMath>
    </w:p>
    <w:p w:rsidR="002E09FB" w:rsidRPr="008A409B" w:rsidRDefault="002E09FB" w:rsidP="002E09FB">
      <w:pPr>
        <w:spacing w:line="240" w:lineRule="auto"/>
        <w:ind w:firstLine="720"/>
        <w:rPr>
          <w:sz w:val="24"/>
          <w:szCs w:val="24"/>
        </w:rPr>
      </w:pPr>
      <w:r>
        <w:rPr>
          <w:sz w:val="24"/>
          <w:szCs w:val="24"/>
        </w:rPr>
        <w:t>T</w:t>
      </w:r>
      <w:r w:rsidRPr="008A409B">
        <w:rPr>
          <w:sz w:val="24"/>
          <w:szCs w:val="24"/>
        </w:rPr>
        <w:t xml:space="preserve">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Pr="008A409B">
        <w:rPr>
          <w:sz w:val="24"/>
          <w:szCs w:val="24"/>
        </w:rPr>
        <w:t>,</w:t>
      </w:r>
    </w:p>
    <w:p w:rsidR="002E09FB" w:rsidRPr="008D12C1" w:rsidRDefault="002E09FB" w:rsidP="002E09FB">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rsidR="002E09FB" w:rsidRDefault="002E09FB" w:rsidP="002E09FB">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census blocks in the urban landscape. </w:t>
      </w:r>
    </w:p>
    <w:p w:rsidR="002E09FB" w:rsidRPr="00CE09D8" w:rsidRDefault="002E09FB" w:rsidP="002E09FB">
      <w:pPr>
        <w:spacing w:line="240" w:lineRule="auto"/>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City 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r w:rsidRPr="00D24FC6">
        <w:rPr>
          <w:rFonts w:asciiTheme="majorHAnsi" w:eastAsiaTheme="majorEastAsia" w:hAnsiTheme="majorHAnsi" w:cstheme="majorBidi"/>
          <w:color w:val="1F4D78" w:themeColor="accent1" w:themeShade="7F"/>
          <w:sz w:val="24"/>
          <w:szCs w:val="24"/>
        </w:rPr>
        <w:t xml:space="preserve"> </w:t>
      </w:r>
    </w:p>
    <w:p w:rsidR="002E09FB" w:rsidRPr="008A409B" w:rsidRDefault="002E09FB" w:rsidP="002E09FB">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indicators </w:t>
      </w:r>
      <w:proofErr w:type="gramStart"/>
      <w:r>
        <w:rPr>
          <w:sz w:val="24"/>
          <w:szCs w:val="24"/>
        </w:rPr>
        <w:t>are</w:t>
      </w:r>
      <w:r w:rsidRPr="008A409B">
        <w:rPr>
          <w:sz w:val="24"/>
          <w:szCs w:val="24"/>
        </w:rPr>
        <w:t xml:space="preserve"> calculated</w:t>
      </w:r>
      <w:proofErr w:type="gramEnd"/>
      <w:r w:rsidRPr="008A409B">
        <w:rPr>
          <w:sz w:val="24"/>
          <w:szCs w:val="24"/>
        </w:rPr>
        <w:t xml:space="preserve"> using </w:t>
      </w:r>
    </w:p>
    <w:p w:rsidR="002E09FB" w:rsidRPr="0070200A" w:rsidRDefault="002E09FB" w:rsidP="002E09FB">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rsidR="002E09FB" w:rsidRPr="00C80AEE" w:rsidRDefault="002E09FB" w:rsidP="002E09FB">
      <w:pPr>
        <w:spacing w:line="240" w:lineRule="auto"/>
        <w:rPr>
          <w:sz w:val="24"/>
          <w:szCs w:val="24"/>
        </w:rPr>
      </w:pPr>
      <w:proofErr w:type="gramStart"/>
      <w:r w:rsidRPr="00C80AEE">
        <w:rPr>
          <w:sz w:val="24"/>
          <w:szCs w:val="24"/>
        </w:rPr>
        <w:t>for</w:t>
      </w:r>
      <w:proofErr w:type="gramEnd"/>
      <w:r w:rsidRPr="00C80AEE">
        <w:rPr>
          <w:sz w:val="24"/>
          <w:szCs w:val="24"/>
        </w:rPr>
        <w:t xml:space="preserve"> scarcity, and</w:t>
      </w:r>
    </w:p>
    <w:p w:rsidR="002E09FB" w:rsidRPr="0070200A" w:rsidRDefault="002E09FB" w:rsidP="002E09FB">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rsidR="002E09FB" w:rsidRPr="0070200A" w:rsidRDefault="002E09FB" w:rsidP="002E09FB">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Pr="00D24FC6">
        <w:rPr>
          <w:rFonts w:eastAsiaTheme="minorEastAsia"/>
          <w:sz w:val="24"/>
          <w:szCs w:val="24"/>
        </w:rPr>
        <w:t xml:space="preserve"> </w:t>
      </w:r>
      <w:r>
        <w:rPr>
          <w:rFonts w:eastAsiaTheme="minorEastAsia"/>
          <w:sz w:val="24"/>
          <w:szCs w:val="24"/>
        </w:rPr>
        <w:t xml:space="preserve">and flooding events, respectively, in census block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total number of census blocks.</w:t>
      </w:r>
    </w:p>
    <w:p w:rsidR="002E09FB" w:rsidRDefault="002E09FB" w:rsidP="002E09FB">
      <w:pPr>
        <w:spacing w:line="240" w:lineRule="auto"/>
        <w:rPr>
          <w:sz w:val="24"/>
          <w:szCs w:val="24"/>
        </w:rPr>
      </w:pPr>
      <w:proofErr w:type="gramStart"/>
      <w:r>
        <w:rPr>
          <w:sz w:val="24"/>
          <w:szCs w:val="24"/>
        </w:rPr>
        <w:t>Census block average exposure</w:t>
      </w:r>
      <w:proofErr w:type="gramEnd"/>
      <w:r>
        <w:rPr>
          <w:sz w:val="24"/>
          <w:szCs w:val="24"/>
        </w:rPr>
        <w:t xml:space="preserve"> was measured using</w:t>
      </w:r>
    </w:p>
    <w:p w:rsidR="002E09FB" w:rsidRDefault="002E09FB" w:rsidP="002E09FB">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rsidR="002E09FB" w:rsidRDefault="002E09FB" w:rsidP="002E09FB">
      <w:pPr>
        <w:spacing w:line="240" w:lineRule="auto"/>
        <w:rPr>
          <w:sz w:val="24"/>
          <w:szCs w:val="24"/>
        </w:rPr>
      </w:pPr>
      <w:r>
        <w:rPr>
          <w:sz w:val="24"/>
          <w:szCs w:val="24"/>
        </w:rPr>
        <w:t xml:space="preserve">The total number of events in the 10 years of simulation in each census block </w:t>
      </w:r>
      <w:proofErr w:type="gramStart"/>
      <w:r>
        <w:rPr>
          <w:sz w:val="24"/>
          <w:szCs w:val="24"/>
        </w:rPr>
        <w:t>was represented as</w:t>
      </w:r>
      <w:proofErr w:type="gramEnd"/>
    </w:p>
    <w:p w:rsidR="002E09FB" w:rsidRDefault="002E09FB" w:rsidP="002E09FB">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rsidR="002E09FB" w:rsidRPr="00971CB8" w:rsidRDefault="002E09FB" w:rsidP="002E09FB">
      <w:pPr>
        <w:spacing w:line="240" w:lineRule="auto"/>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City average level of socio-political pressure</w:t>
      </w:r>
    </w:p>
    <w:p w:rsidR="002E09FB" w:rsidRPr="008A409B" w:rsidRDefault="002E09FB" w:rsidP="002E09FB">
      <w:pPr>
        <w:spacing w:line="240" w:lineRule="auto"/>
        <w:ind w:firstLine="720"/>
        <w:rPr>
          <w:sz w:val="24"/>
          <w:szCs w:val="24"/>
        </w:rPr>
      </w:pPr>
      <w:r w:rsidRPr="008A409B">
        <w:rPr>
          <w:sz w:val="24"/>
          <w:szCs w:val="24"/>
        </w:rPr>
        <w:t xml:space="preserve">This index is calculated using the </w:t>
      </w:r>
      <w:r>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Pr>
          <w:sz w:val="24"/>
          <w:szCs w:val="24"/>
        </w:rPr>
        <w:t>,</w:t>
      </w:r>
      <w:r w:rsidRPr="008A409B">
        <w:rPr>
          <w:sz w:val="24"/>
          <w:szCs w:val="24"/>
        </w:rPr>
        <w:t xml:space="preserve"> divided by the total number of </w:t>
      </w:r>
      <w:r>
        <w:rPr>
          <w:sz w:val="24"/>
          <w:szCs w:val="24"/>
        </w:rPr>
        <w:t xml:space="preserve">census </w:t>
      </w:r>
      <w:proofErr w:type="gramStart"/>
      <w:r>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rsidR="002E09FB" w:rsidRPr="002D5CCF" w:rsidRDefault="002E09FB" w:rsidP="002E09FB">
      <w:pPr>
        <w:pStyle w:val="ListParagraph"/>
        <w:spacing w:line="240" w:lineRule="auto"/>
        <w:jc w:val="center"/>
        <w:rPr>
          <w:sz w:val="24"/>
          <w:szCs w:val="24"/>
        </w:rPr>
      </w:pPr>
      <m:oMathPara>
        <m:oMath>
          <m:r>
            <m:rPr>
              <m:sty m:val="p"/>
            </m:rPr>
            <w:rPr>
              <w:rFonts w:ascii="Cambria Math" w:hAnsi="Cambria Math"/>
              <w:sz w:val="24"/>
              <w:szCs w:val="24"/>
            </w:rPr>
            <w:lastRenderedPageBreak/>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rsidR="002E09FB" w:rsidRPr="00803226" w:rsidRDefault="002E09FB" w:rsidP="002E09FB">
      <w:pPr>
        <w:spacing w:line="240" w:lineRule="auto"/>
        <w:ind w:left="360"/>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Vulnerability index </w:t>
      </w:r>
    </w:p>
    <w:p w:rsidR="002E09FB" w:rsidRPr="005128F4" w:rsidRDefault="002E09FB" w:rsidP="002E09FB">
      <w:pPr>
        <w:spacing w:line="240" w:lineRule="auto"/>
        <w:ind w:firstLine="720"/>
      </w:pPr>
      <w:r w:rsidRPr="005128F4">
        <w:t xml:space="preserve">The vulnerability of a </w:t>
      </w:r>
      <w:r>
        <w:t>census block</w:t>
      </w:r>
      <w:r w:rsidRPr="005128F4">
        <w:t xml:space="preserve"> is calculated using the </w:t>
      </w:r>
      <w:r>
        <w:t>“</w:t>
      </w:r>
      <w:r w:rsidRPr="005128F4">
        <w:t xml:space="preserve">surface </w:t>
      </w:r>
      <w:r>
        <w:t xml:space="preserve">of </w:t>
      </w:r>
      <w:r w:rsidRPr="005128F4">
        <w:t>vulnerability</w:t>
      </w:r>
      <w:r>
        <w:t>”</w:t>
      </w:r>
      <w:r w:rsidRPr="005128F4">
        <w:t xml:space="preserve"> definition by </w:t>
      </w:r>
      <w:r w:rsidRPr="005128F4">
        <w:fldChar w:fldCharType="begin" w:fldLock="1"/>
      </w:r>
      <w:r>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 "schema" : "https://github.com/citation-style-language/schema/raw/master/csl-citation.json" }</w:instrText>
      </w:r>
      <w:r w:rsidRPr="005128F4">
        <w:fldChar w:fldCharType="separate"/>
      </w:r>
      <w:r w:rsidRPr="0058048F">
        <w:rPr>
          <w:noProof/>
        </w:rPr>
        <w:t>(Luers 2005)</w:t>
      </w:r>
      <w:r w:rsidRPr="005128F4">
        <w:fldChar w:fldCharType="end"/>
      </w:r>
      <w:r w:rsidRPr="005128F4">
        <w:t>. In this framework</w:t>
      </w:r>
      <w:r>
        <w:t>,</w:t>
      </w:r>
      <w:r w:rsidRPr="005128F4">
        <w:t xml:space="preserve"> the vulnerability index </w:t>
      </w:r>
      <w:proofErr w:type="gramStart"/>
      <w:r w:rsidRPr="005128F4">
        <w:t>is summarized</w:t>
      </w:r>
      <w:proofErr w:type="gramEnd"/>
      <w:r w:rsidRPr="005128F4">
        <w:t xml:space="preserve">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ive capacity of the census block</w:t>
      </w:r>
      <w:r w:rsidRPr="005128F4">
        <w:t xml:space="preserve">. </w:t>
      </w:r>
      <w:r>
        <w:t>Formally:</w:t>
      </w:r>
    </w:p>
    <w:p w:rsidR="002E09FB" w:rsidRPr="004255C7" w:rsidRDefault="002E09FB" w:rsidP="002E09FB">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rsidR="002E09FB" w:rsidRDefault="002E09FB" w:rsidP="002E09FB">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t xml:space="preserve">census block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w:t>
      </w:r>
      <w:proofErr w:type="gramStart"/>
      <w:r w:rsidRPr="005128F4">
        <w:t>is</w:t>
      </w:r>
      <w:proofErr w:type="gramEnd"/>
      <w:r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w:t>
      </w:r>
      <w:proofErr w:type="gramStart"/>
      <w:r w:rsidRPr="005128F4">
        <w:t>represents</w:t>
      </w:r>
      <w:proofErr w:type="gramEnd"/>
      <w:r w:rsidRPr="005128F4">
        <w:t xml:space="preserve"> the sensitiv</w:t>
      </w:r>
      <w:proofErr w:type="spellStart"/>
      <w:r>
        <w:t>ity</w:t>
      </w:r>
      <w:proofErr w:type="spellEnd"/>
      <w:r w:rsidRPr="005128F4">
        <w:t xml:space="preserve"> </w:t>
      </w:r>
      <w:r>
        <w:t>of census block</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census </w:t>
      </w:r>
      <w:proofErr w:type="gramStart"/>
      <w:r>
        <w:t>block,</w:t>
      </w:r>
      <w:proofErr w:type="gramEnd"/>
      <w:r>
        <w:t xml:space="preserve"> the </w:t>
      </w:r>
      <w:r w:rsidRPr="005128F4">
        <w:t xml:space="preserve">less sensitive </w:t>
      </w:r>
      <w:r>
        <w:t>it would be to the exposure</w:t>
      </w:r>
      <w:r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t>census block</w:t>
      </w:r>
      <w:r w:rsidRPr="005128F4">
        <w:t xml:space="preserve">. We assume that </w:t>
      </w:r>
    </w:p>
    <w:p w:rsidR="002E09FB" w:rsidRDefault="002E09FB" w:rsidP="002E09FB">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Pr>
          <w:rFonts w:eastAsiaTheme="minorEastAsia"/>
          <w:sz w:val="24"/>
          <w:szCs w:val="24"/>
        </w:rPr>
        <w:t xml:space="preserve"> (48)</w:t>
      </w:r>
    </w:p>
    <w:p w:rsidR="002E09FB" w:rsidRPr="00B579CF" w:rsidRDefault="002E09FB" w:rsidP="002E09FB">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is the income</w:t>
      </w:r>
      <w:r>
        <w:t xml:space="preserve"> </w:t>
      </w:r>
      <w:r w:rsidRPr="00B05E3C">
        <w:t xml:space="preserve">index of </w:t>
      </w:r>
      <w:r>
        <w:t>census block</w:t>
      </w:r>
      <w:r w:rsidRPr="008A409B">
        <w:rPr>
          <w:rFonts w:eastAsiaTheme="minorEastAsia"/>
        </w:rPr>
        <w:t xml:space="preserve"> </w:t>
      </w:r>
      <m:oMath>
        <m:r>
          <w:rPr>
            <w:rFonts w:ascii="Cambria Math" w:hAnsi="Cambria Math"/>
          </w:rPr>
          <m:t>j</m:t>
        </m:r>
      </m:oMath>
      <w:r w:rsidRPr="00B05E3C">
        <w:t>. Thus, we explicitly ass</w:t>
      </w:r>
      <w:proofErr w:type="spellStart"/>
      <w:r>
        <w:t>u</w:t>
      </w:r>
      <w:r w:rsidRPr="00B05E3C">
        <w:t>med</w:t>
      </w:r>
      <w:proofErr w:type="spellEnd"/>
      <w:r w:rsidRPr="00B05E3C">
        <w:t xml:space="preserve"> </w:t>
      </w:r>
      <w:r>
        <w:t xml:space="preserve">that census blocks </w:t>
      </w:r>
      <w:r w:rsidRPr="005128F4">
        <w:t xml:space="preserve">with more resources </w:t>
      </w:r>
      <w:r>
        <w:t>have higher adaptive capacity than poor census blocks</w:t>
      </w:r>
      <w:r w:rsidRPr="005128F4">
        <w:t>.</w:t>
      </w:r>
      <w:r>
        <w:t xml:space="preserve"> T</w:t>
      </w:r>
      <w:r w:rsidRPr="00B05E3C">
        <w:t>hat</w:t>
      </w:r>
      <w:r w:rsidRPr="008A409B">
        <w:rPr>
          <w:rFonts w:eastAsiaTheme="minorEastAsia"/>
          <w:color w:val="000000"/>
          <w:sz w:val="18"/>
        </w:rPr>
        <w:t xml:space="preserve"> </w:t>
      </w:r>
      <w:r>
        <w:rPr>
          <w:rFonts w:eastAsiaTheme="minorEastAsia"/>
          <w:color w:val="000000"/>
          <w:sz w:val="18"/>
        </w:rPr>
        <w:t xml:space="preserve">is, </w:t>
      </w:r>
      <w:r w:rsidRPr="005128F4">
        <w:t xml:space="preserve">wealthy areas are less vulnerable because they have more access to resources to take action. We use purchase power as </w:t>
      </w:r>
      <w:r>
        <w:t xml:space="preserve">an </w:t>
      </w:r>
      <w:r w:rsidRPr="005128F4">
        <w:t xml:space="preserve">indicator of adaptive capacity. </w:t>
      </w:r>
    </w:p>
    <w:p w:rsidR="002E09FB" w:rsidRDefault="002E09FB" w:rsidP="002E09FB">
      <w:pPr>
        <w:spacing w:line="240" w:lineRule="auto"/>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t xml:space="preserve">Inequality in exposure </w:t>
      </w:r>
    </w:p>
    <w:p w:rsidR="002E09FB" w:rsidRPr="00B579CF" w:rsidRDefault="002E09FB" w:rsidP="002E09FB">
      <w:pPr>
        <w:spacing w:line="240" w:lineRule="auto"/>
        <w:ind w:firstLine="720"/>
      </w:pPr>
      <w:r>
        <w:t xml:space="preserve">This index </w:t>
      </w:r>
      <w:proofErr w:type="gramStart"/>
      <w:r w:rsidRPr="00B579CF">
        <w:t>is obtained</w:t>
      </w:r>
      <w:proofErr w:type="gramEnd"/>
      <w:r w:rsidRPr="00B579CF">
        <w:t xml:space="preserve">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w:t>
      </w:r>
      <w:proofErr w:type="gramStart"/>
      <w:r w:rsidRPr="00B579CF">
        <w:t>0</w:t>
      </w:r>
      <w:proofErr w:type="gramEnd"/>
      <w:r w:rsidRPr="00B579CF">
        <w:t>, complete</w:t>
      </w:r>
      <w:r>
        <w:t>ly</w:t>
      </w:r>
      <w:r w:rsidRPr="00B579CF">
        <w:t xml:space="preserve"> equal, to 1</w:t>
      </w:r>
      <w:r>
        <w:t>,</w:t>
      </w:r>
      <w:r w:rsidRPr="00B579CF">
        <w:t xml:space="preserve"> completely unequal. Thus</w:t>
      </w:r>
      <w:r>
        <w:t>,</w:t>
      </w:r>
      <w:r w:rsidRPr="00B579CF">
        <w:t xml:space="preserve"> the larger the value of the index</w:t>
      </w:r>
      <w:r>
        <w:t>,</w:t>
      </w:r>
      <w:r w:rsidRPr="00B579CF">
        <w:t xml:space="preserve"> the higher the inequality in exposure. The Gini is effectively calculating by </w:t>
      </w:r>
    </w:p>
    <w:p w:rsidR="002E09FB" w:rsidRPr="00B579CF" w:rsidRDefault="002E09FB" w:rsidP="002E09FB">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Pr>
          <w:rFonts w:eastAsiaTheme="minorEastAsia"/>
        </w:rPr>
        <w:t xml:space="preserve"> (49)</w:t>
      </w:r>
    </w:p>
    <w:p w:rsidR="002E09FB" w:rsidRPr="00B579CF" w:rsidRDefault="002E09FB" w:rsidP="002E09FB">
      <w:pPr>
        <w:spacing w:line="240" w:lineRule="auto"/>
      </w:pPr>
      <w:proofErr w:type="gramStart"/>
      <w:r>
        <w:t>w</w:t>
      </w:r>
      <w:r w:rsidRPr="00B579CF">
        <w:t>here</w:t>
      </w:r>
      <w:proofErr w:type="gramEnd"/>
      <w:r w:rsidRPr="00B579CF">
        <w:t xml:space="preserve"> </w:t>
      </w:r>
      <m:oMath>
        <m:r>
          <w:rPr>
            <w:rFonts w:ascii="Cambria Math" w:hAnsi="Cambria Math"/>
          </w:rPr>
          <m:t>j</m:t>
        </m:r>
      </m:oMath>
      <w:r w:rsidRPr="00B579CF">
        <w:t xml:space="preserve"> is the population of </w:t>
      </w:r>
      <w:r>
        <w:t>census blocks</w:t>
      </w:r>
      <w:r w:rsidRPr="00B579CF">
        <w:t xml:space="preserve">. </w:t>
      </w:r>
    </w:p>
    <w:p w:rsidR="002E09FB" w:rsidRPr="00B579CF" w:rsidRDefault="002E09FB" w:rsidP="002E09FB">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Pr="00B579CF">
        <w:t xml:space="preserve"> </w:t>
      </w:r>
      <w:proofErr w:type="gramStart"/>
      <w:r w:rsidRPr="00B579CF">
        <w:t>is</w:t>
      </w:r>
      <w:proofErr w:type="gramEnd"/>
      <w:r w:rsidRPr="00B579CF">
        <w:t xml:space="preserve"> the sum of exposure to flood</w:t>
      </w:r>
      <w:proofErr w:type="spellStart"/>
      <w:r>
        <w:t>ing</w:t>
      </w:r>
      <w:proofErr w:type="spellEnd"/>
      <w:r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Pr="00B579CF">
        <w:t xml:space="preserve"> are the values of </w:t>
      </w:r>
      <w:r>
        <w:t xml:space="preserve">the vulnerability index of census blocks, </w:t>
      </w:r>
      <w:r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Pr="00B579CF">
        <w:t xml:space="preserve">). The inequality index is then the average of the </w:t>
      </w:r>
      <w:r>
        <w:t>Gini coefficient over the last</w:t>
      </w:r>
      <w:r w:rsidRPr="00B579CF">
        <w:t xml:space="preserve"> </w:t>
      </w:r>
      <w:r>
        <w:t xml:space="preserve">yearly decision </w:t>
      </w:r>
      <w:r w:rsidRPr="00B579CF">
        <w:t>cycle:</w:t>
      </w:r>
    </w:p>
    <w:p w:rsidR="002E09FB" w:rsidRPr="00B579CF" w:rsidRDefault="002E09FB" w:rsidP="002E09FB">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rsidR="002E09FB" w:rsidRDefault="002E09FB" w:rsidP="002E09FB">
      <w:pPr>
        <w:spacing w:line="240" w:lineRule="auto"/>
        <w:ind w:left="360"/>
        <w:rPr>
          <w:sz w:val="24"/>
          <w:szCs w:val="24"/>
        </w:rPr>
      </w:pPr>
    </w:p>
    <w:p w:rsidR="002E09FB" w:rsidRPr="00D24FC6" w:rsidRDefault="002E09FB" w:rsidP="002E09FB">
      <w:pPr>
        <w:spacing w:line="240" w:lineRule="auto"/>
      </w:pPr>
      <w:r w:rsidRPr="00D24FC6">
        <w:rPr>
          <w:rFonts w:asciiTheme="majorHAnsi" w:eastAsiaTheme="majorEastAsia" w:hAnsiTheme="majorHAnsi" w:cstheme="majorBidi"/>
          <w:color w:val="1F4D78" w:themeColor="accent1" w:themeShade="7F"/>
          <w:sz w:val="24"/>
          <w:szCs w:val="24"/>
        </w:rPr>
        <w:lastRenderedPageBreak/>
        <w:t>Sensitivity to policy changes</w:t>
      </w:r>
    </w:p>
    <w:p w:rsidR="002E09FB" w:rsidRPr="00736AE1" w:rsidRDefault="002E09FB" w:rsidP="002E09FB">
      <w:pPr>
        <w:spacing w:line="240" w:lineRule="auto"/>
        <w:ind w:firstLine="720"/>
      </w:pPr>
      <w:r w:rsidRPr="00736AE1">
        <w:t xml:space="preserve">To evaluate the sensitivity of each </w:t>
      </w:r>
      <w:r>
        <w:t>census block</w:t>
      </w:r>
      <w:r w:rsidRPr="00736AE1">
        <w:t xml:space="preserve"> to changes in the policy scenarios, we calculate the coefficient of variation in exposure. The coefficient of variation is </w:t>
      </w:r>
      <w:r>
        <w:t xml:space="preserve">a </w:t>
      </w:r>
      <w:r w:rsidRPr="00736AE1">
        <w:t>measure of the variance in a sample relative to its mean</w:t>
      </w:r>
      <w:r>
        <w:t>,</w:t>
      </w:r>
      <w:r w:rsidRPr="00736AE1">
        <w:t xml:space="preserve"> as </w:t>
      </w:r>
      <w:r>
        <w:t xml:space="preserve">it </w:t>
      </w:r>
      <w:r w:rsidRPr="00736AE1">
        <w:t>is calculated.</w:t>
      </w:r>
    </w:p>
    <w:p w:rsidR="002E09FB" w:rsidRPr="00736AE1" w:rsidRDefault="002E09FB" w:rsidP="002E09FB">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Pr>
          <w:rFonts w:eastAsiaTheme="minorEastAsia"/>
        </w:rPr>
        <w:t>,</w:t>
      </w:r>
    </w:p>
    <w:p w:rsidR="002E09FB" w:rsidRPr="00736AE1" w:rsidRDefault="002E09FB" w:rsidP="002E09FB">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Pr>
          <w:rFonts w:eastAsiaTheme="minorEastAsia"/>
        </w:rPr>
        <w:t xml:space="preserve"> to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Pr="00736AE1">
        <w:rPr>
          <w:rFonts w:eastAsiaTheme="minorEastAsia"/>
        </w:rPr>
        <w:t xml:space="preserve"> in </w:t>
      </w:r>
      <w:r>
        <w:rPr>
          <w:rFonts w:eastAsiaTheme="minorEastAsia"/>
        </w:rPr>
        <w:t>census block</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rPr>
        <w:t xml:space="preserve"> is</w:t>
      </w:r>
      <w:r w:rsidRPr="00736AE1">
        <w:rPr>
          <w:rFonts w:eastAsiaTheme="minorEastAsia"/>
        </w:rPr>
        <w:t xml:space="preserve"> </w:t>
      </w:r>
      <w:r>
        <w:rPr>
          <w:rFonts w:eastAsiaTheme="minorEastAsia"/>
        </w:rPr>
        <w:t xml:space="preserve">the </w:t>
      </w:r>
      <w:r w:rsidRPr="00736AE1">
        <w:rPr>
          <w:rFonts w:eastAsiaTheme="minorEastAsia"/>
        </w:rPr>
        <w:t>standard deviation</w:t>
      </w:r>
      <w:r>
        <w:rPr>
          <w:rFonts w:eastAsiaTheme="minorEastAsia"/>
        </w:rPr>
        <w:t xml:space="preserve"> of the sample of simulations</w:t>
      </w:r>
      <w:r w:rsidRPr="00736AE1">
        <w:rPr>
          <w:rFonts w:eastAsiaTheme="minorEastAsia"/>
        </w:rPr>
        <w:t xml:space="preserve">. </w:t>
      </w:r>
      <w:r w:rsidRPr="00736AE1">
        <w:t xml:space="preserve">Thus, if </w:t>
      </w:r>
      <w:r>
        <w:t>census block</w:t>
      </w:r>
      <w:r w:rsidRPr="00736AE1">
        <w:t xml:space="preserve"> </w:t>
      </w:r>
      <w:proofErr w:type="gramStart"/>
      <w:r w:rsidRPr="00C80AEE">
        <w:rPr>
          <w:i/>
        </w:rPr>
        <w:t>a</w:t>
      </w:r>
      <w:r w:rsidRPr="00736AE1">
        <w:t xml:space="preserve"> has</w:t>
      </w:r>
      <w:proofErr w:type="gramEnd"/>
      <w:r w:rsidRPr="00736AE1">
        <w:t xml:space="preserve"> </w:t>
      </w:r>
      <w:r>
        <w:t xml:space="preserve">a </w:t>
      </w:r>
      <w:r w:rsidRPr="00736AE1">
        <w:t xml:space="preserve">higher coefficient of variation than </w:t>
      </w:r>
      <w:r>
        <w:t>census block</w:t>
      </w:r>
      <w:r w:rsidRPr="00736AE1">
        <w:t xml:space="preserve"> </w:t>
      </w:r>
      <w:r w:rsidRPr="00C80AEE">
        <w:rPr>
          <w:i/>
        </w:rPr>
        <w:t>b</w:t>
      </w:r>
      <w:r w:rsidRPr="00736AE1">
        <w:t xml:space="preserve">, we say that </w:t>
      </w:r>
      <w:r>
        <w:t>census block</w:t>
      </w:r>
      <w:r w:rsidRPr="00736AE1">
        <w:t xml:space="preserve"> </w:t>
      </w:r>
      <w:r w:rsidRPr="00C80AEE">
        <w:rPr>
          <w:i/>
        </w:rPr>
        <w:t>a</w:t>
      </w:r>
      <w:r w:rsidRPr="00736AE1">
        <w:t xml:space="preserve"> is more sensi</w:t>
      </w:r>
      <w:r>
        <w:t>tiv</w:t>
      </w:r>
      <w:r w:rsidRPr="00736AE1">
        <w:t>e to changes in policy.</w:t>
      </w:r>
    </w:p>
    <w:p w:rsidR="002E09FB" w:rsidRDefault="002E09FB" w:rsidP="002E09FB">
      <w:pPr>
        <w:pStyle w:val="Heading2"/>
      </w:pPr>
    </w:p>
    <w:p w:rsidR="002E09FB" w:rsidRPr="008A409B" w:rsidRDefault="002E09FB" w:rsidP="002E09FB">
      <w:pPr>
        <w:pStyle w:val="Heading2"/>
      </w:pPr>
      <w:bookmarkStart w:id="2" w:name="_Toc518901566"/>
      <w:r w:rsidRPr="008A409B">
        <w:t>Appendix</w:t>
      </w:r>
      <w:bookmarkEnd w:id="2"/>
    </w:p>
    <w:p w:rsidR="002E09FB" w:rsidRDefault="002E09FB" w:rsidP="002E09FB">
      <w:pPr>
        <w:pStyle w:val="Heading3"/>
        <w:rPr>
          <w:rStyle w:val="Heading4Char"/>
          <w:i w:val="0"/>
          <w:iCs w:val="0"/>
          <w:color w:val="1F4D78" w:themeColor="accent1" w:themeShade="7F"/>
        </w:rPr>
      </w:pPr>
    </w:p>
    <w:p w:rsidR="002E09FB" w:rsidRDefault="002E09FB" w:rsidP="002E09FB">
      <w:pPr>
        <w:pStyle w:val="Heading2"/>
      </w:pPr>
      <w:bookmarkStart w:id="3" w:name="_Toc518901544"/>
      <w:r>
        <w:t>Criteria for decisions and standardization function - Water authority</w:t>
      </w:r>
      <w:bookmarkEnd w:id="3"/>
    </w:p>
    <w:p w:rsidR="002E09FB" w:rsidRDefault="002E09FB" w:rsidP="002E09FB">
      <w:pPr>
        <w:pStyle w:val="Heading3"/>
      </w:pPr>
    </w:p>
    <w:p w:rsidR="002E09FB" w:rsidRDefault="002E09FB" w:rsidP="002E09FB">
      <w:pPr>
        <w:pStyle w:val="Heading3"/>
      </w:pPr>
      <w:bookmarkStart w:id="4" w:name="_Toc518901545"/>
      <w:r w:rsidRPr="00530E67">
        <w:t>Capacity</w:t>
      </w:r>
      <w:bookmarkEnd w:id="4"/>
    </w:p>
    <w:p w:rsidR="002E09FB" w:rsidRDefault="002E09FB" w:rsidP="002E09FB">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 the standardized value of the criterion “capacity”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is constructed using:</w:t>
      </w:r>
    </w:p>
    <w:p w:rsidR="002E09FB" w:rsidRDefault="002E09FB" w:rsidP="002E09FB">
      <w:pPr>
        <w:jc w:val="cente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26</m:t>
              </m:r>
            </m:e>
          </m:d>
          <m:r>
            <m:rPr>
              <m:sty m:val="p"/>
            </m:rPr>
            <w:rPr>
              <w:rFonts w:ascii="Cambria Math" w:eastAsiaTheme="minorEastAsia"/>
              <w:sz w:val="24"/>
              <w:szCs w:val="24"/>
            </w:rPr>
            <m:t>,</m:t>
          </m:r>
        </m:oMath>
      </m:oMathPara>
    </w:p>
    <w:p w:rsidR="002E09FB" w:rsidRDefault="002E09FB" w:rsidP="002E09FB">
      <w:pPr>
        <w:pStyle w:val="Heading3"/>
      </w:pPr>
      <w:bookmarkStart w:id="5" w:name="_Toc518901546"/>
      <w:r>
        <w:rPr>
          <w:noProof/>
        </w:rPr>
        <w:lastRenderedPageBreak/>
        <w:drawing>
          <wp:inline distT="0" distB="0" distL="0" distR="0" wp14:anchorId="28CCB141" wp14:editId="4FB8D4F2">
            <wp:extent cx="5924550" cy="3581400"/>
            <wp:effectExtent l="0" t="0" r="0" b="0"/>
            <wp:docPr id="9" name="Chart 9">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5"/>
    </w:p>
    <w:p w:rsidR="002E09FB" w:rsidRDefault="002E09FB" w:rsidP="002E09FB">
      <w:pPr>
        <w:rPr>
          <w:rFonts w:eastAsiaTheme="minorEastAsia"/>
          <w:sz w:val="24"/>
        </w:rPr>
      </w:pPr>
      <w:r>
        <w:t xml:space="preserve">Figure 3: This plot represents the relationship between the capacity of the sewer system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oMath>
      <w:r>
        <w:rPr>
          <w:rFonts w:eastAsiaTheme="minorEastAsia"/>
          <w:sz w:val="24"/>
          <w:szCs w:val="24"/>
        </w:rPr>
        <w:t xml:space="preserve"> </w:t>
      </w:r>
      <w:r>
        <w:t xml:space="preserve">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BA0D73" w:rsidRDefault="002E09FB" w:rsidP="002E09FB"/>
    <w:p w:rsidR="002E09FB" w:rsidRDefault="002E09FB" w:rsidP="002E09FB">
      <w:pPr>
        <w:pStyle w:val="Heading3"/>
      </w:pPr>
      <w:bookmarkStart w:id="6" w:name="_Toc518901547"/>
      <w:r w:rsidRPr="00530E67">
        <w:t>Failures</w:t>
      </w:r>
      <w:bookmarkEnd w:id="6"/>
    </w:p>
    <w:p w:rsidR="002E09FB" w:rsidRDefault="002E09FB" w:rsidP="002E09FB">
      <w:pPr>
        <w:ind w:firstLine="720"/>
      </w:pPr>
      <w:r>
        <w:t xml:space="preserve">The criterion “failure”,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authority’s perception of 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(27)</w:t>
      </w:r>
    </w:p>
    <w:p w:rsidR="002E09FB" w:rsidRPr="00530E67" w:rsidRDefault="002E09FB" w:rsidP="002E09FB"/>
    <w:p w:rsidR="002E09FB" w:rsidRDefault="002E09FB" w:rsidP="002E09FB">
      <w:pPr>
        <w:pStyle w:val="Heading3"/>
      </w:pPr>
      <w:bookmarkStart w:id="7" w:name="_Toc518901548"/>
      <w:r w:rsidRPr="0064259B">
        <w:t>Lack of infrastructure</w:t>
      </w:r>
      <w:bookmarkEnd w:id="7"/>
    </w:p>
    <w:p w:rsidR="002E09FB" w:rsidRDefault="002E09FB" w:rsidP="002E09FB">
      <w:pPr>
        <w:ind w:firstLine="720"/>
      </w:pPr>
      <w:r>
        <w:t xml:space="preserve">Lack of infrastructure,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Pr>
          <w:rFonts w:eastAsiaTheme="minorEastAsia"/>
        </w:rPr>
        <w:t>,</w:t>
      </w:r>
      <w:r>
        <w:t xml:space="preserve"> is a criterion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(28)</w:t>
      </w:r>
    </w:p>
    <w:p w:rsidR="002E09FB" w:rsidRDefault="002E09FB" w:rsidP="002E09FB">
      <w:r>
        <w:t xml:space="preserve">Thus, census blocks with more unconnected residents </w:t>
      </w:r>
      <w:proofErr w:type="gramStart"/>
      <w:r>
        <w:t>will be prioritized</w:t>
      </w:r>
      <w:proofErr w:type="gramEnd"/>
      <w:r>
        <w:t>.</w:t>
      </w:r>
    </w:p>
    <w:p w:rsidR="002E09FB" w:rsidRDefault="002E09FB" w:rsidP="002E09FB">
      <w:pPr>
        <w:pStyle w:val="Heading3"/>
      </w:pPr>
    </w:p>
    <w:p w:rsidR="002E09FB" w:rsidRDefault="002E09FB" w:rsidP="002E09FB">
      <w:pPr>
        <w:rPr>
          <w:rFonts w:asciiTheme="majorHAnsi" w:eastAsiaTheme="majorEastAsia" w:hAnsiTheme="majorHAnsi" w:cstheme="majorBidi"/>
          <w:color w:val="1F4D78" w:themeColor="accent1" w:themeShade="7F"/>
          <w:sz w:val="24"/>
          <w:szCs w:val="24"/>
        </w:rPr>
      </w:pPr>
    </w:p>
    <w:p w:rsidR="002E09FB" w:rsidRPr="00E04275"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rsidR="002E09FB" w:rsidRDefault="002E09FB" w:rsidP="002E09FB">
      <w:pPr>
        <w:ind w:firstLine="720"/>
      </w:pPr>
      <w:proofErr w:type="gramStart"/>
      <w:r>
        <w:lastRenderedPageBreak/>
        <w:t>This criteria</w:t>
      </w:r>
      <w:proofErr w:type="gramEnd"/>
      <w:r>
        <w:t xml:space="preserve"> Water Scarcity is define differently according to the action. Specifically scarcity for the action of distributing water uses monthly days without water to calculate the weekly distribution of water. However to conduct maintenance and new infrastructure provision the water authority uses the annual number of days without water. Both variables, days in a month and in a year without water, are represented by the accumulation of disruption of the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t xml:space="preserve">, evaluated monthly and yearly as part of the decision 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rsidR="002E09FB" w:rsidRPr="00642CED" w:rsidRDefault="002E09FB" w:rsidP="002E09FB">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rsidR="002E09FB" w:rsidRDefault="002E09FB" w:rsidP="002E09FB">
      <w:pPr>
        <w:rPr>
          <w:rFonts w:eastAsiaTheme="minorEastAsia"/>
        </w:rPr>
      </w:pPr>
      <w:proofErr w:type="gramStart"/>
      <w:r>
        <w:t>where</w:t>
      </w:r>
      <w:proofErr w:type="gramEnd"/>
      <w:r>
        <w:t xml:space="preserve"> </w:t>
      </w:r>
    </w:p>
    <w:p w:rsidR="002E09FB" w:rsidRDefault="002E09FB" w:rsidP="002E09FB">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m</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rsidR="002E09FB" w:rsidRDefault="002E09FB" w:rsidP="002E09FB">
      <w:pPr>
        <w:rPr>
          <w:rFonts w:eastAsiaTheme="minorEastAsia"/>
          <w:sz w:val="24"/>
          <w:szCs w:val="24"/>
        </w:rPr>
      </w:pPr>
      <w:proofErr w:type="gramStart"/>
      <w:r>
        <w:t>represents</w:t>
      </w:r>
      <w:proofErr w:type="gramEnd"/>
      <w:r>
        <w:t xml:space="preserve"> the number of days in a year census block </w:t>
      </w:r>
      <m:oMath>
        <m:r>
          <w:rPr>
            <w:rFonts w:ascii="Cambria Math" w:hAnsi="Cambria Math"/>
          </w:rPr>
          <m:t>j</m:t>
        </m:r>
      </m:oMath>
      <w:r>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Pr>
          <w:rFonts w:eastAsiaTheme="minorEastAsia"/>
          <w:sz w:val="24"/>
          <w:szCs w:val="24"/>
        </w:rPr>
        <w:t xml:space="preserve"> </w:t>
      </w:r>
      <w:proofErr w:type="gramStart"/>
      <w:r>
        <w:rPr>
          <w:rFonts w:eastAsiaTheme="minorEastAsia"/>
          <w:sz w:val="24"/>
          <w:szCs w:val="24"/>
        </w:rPr>
        <w:t>are</w:t>
      </w:r>
      <w:proofErr w:type="gramEnd"/>
      <w:r>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are the days that census block </w:t>
      </w:r>
      <m:oMath>
        <m:r>
          <w:rPr>
            <w:rFonts w:ascii="Cambria Math" w:eastAsiaTheme="minorEastAsia" w:hAnsi="Cambria Math"/>
            <w:sz w:val="24"/>
            <w:szCs w:val="24"/>
          </w:rPr>
          <m:t>j</m:t>
        </m:r>
      </m:oMath>
      <w:r>
        <w:rPr>
          <w:rFonts w:eastAsiaTheme="minorEastAsia"/>
          <w:sz w:val="24"/>
          <w:szCs w:val="24"/>
        </w:rPr>
        <w:t xml:space="preserve"> did not receive water in a week via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sz w:val="24"/>
          <w:szCs w:val="24"/>
        </w:rPr>
        <w:t>.</w:t>
      </w:r>
    </w:p>
    <w:p w:rsidR="002E09FB" w:rsidRDefault="002E09FB" w:rsidP="002E09FB">
      <w:r>
        <w:rPr>
          <w:noProof/>
        </w:rPr>
        <w:drawing>
          <wp:inline distT="0" distB="0" distL="0" distR="0" wp14:anchorId="00CE1997" wp14:editId="7DB868E1">
            <wp:extent cx="5934075" cy="3533775"/>
            <wp:effectExtent l="0" t="0" r="0" b="0"/>
            <wp:docPr id="1" name="Chart 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09FB" w:rsidRDefault="002E09FB" w:rsidP="002E09FB">
      <w:pPr>
        <w:rPr>
          <w:rFonts w:eastAsiaTheme="minorEastAsia"/>
          <w:sz w:val="24"/>
        </w:rPr>
      </w:pPr>
      <w:r>
        <w:t xml:space="preserve">Figure 4: This plot represents the relationship between days in a month without </w:t>
      </w:r>
      <w:proofErr w:type="gramStart"/>
      <w:r>
        <w:t xml:space="preserve">water </w:t>
      </w:r>
      <w:proofErr w:type="gramEnd"/>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oMath>
      <w:r>
        <w:rPr>
          <w:rFonts w:eastAsiaTheme="minorEastAsia"/>
          <w:sz w:val="24"/>
        </w:rPr>
        <w:t xml:space="preserve">, </w:t>
      </w:r>
      <w: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 w:rsidR="002E09FB" w:rsidRPr="003F6BC7" w:rsidRDefault="002E09FB" w:rsidP="002E09FB">
      <w:pPr>
        <w:rPr>
          <w:rFonts w:eastAsiaTheme="minorEastAsia"/>
          <w:sz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S</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sup>
                  </m:sSup>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en>
          </m:f>
        </m:oMath>
      </m:oMathPara>
    </w:p>
    <w:p w:rsidR="002E09FB" w:rsidRDefault="002E09FB" w:rsidP="002E09F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x</m:t>
            </m:r>
          </m:sup>
        </m:sSup>
      </m:oMath>
      <w:r>
        <w:rPr>
          <w:rFonts w:eastAsiaTheme="minorEastAsia"/>
          <w:sz w:val="24"/>
        </w:rPr>
        <w:t xml:space="preserve"> evaluated at </w:t>
      </w:r>
      <m:oMath>
        <m:r>
          <w:rPr>
            <w:rFonts w:ascii="Cambria Math" w:hAnsi="Cambria Math"/>
            <w:sz w:val="24"/>
          </w:rPr>
          <m:t>x=</m:t>
        </m:r>
        <m:r>
          <m:rPr>
            <m:sty m:val="p"/>
          </m:rPr>
          <w:rPr>
            <w:rFonts w:ascii="Cambria Math" w:hAnsi="Cambria Math"/>
            <w:sz w:val="24"/>
          </w:rPr>
          <m:t>28</m:t>
        </m:r>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respectively, which are the limit of the range of possible monthly values in the model (28=4*7, 4 weeks per month and 7 days per week) (Fig. 4).</w:t>
      </w:r>
    </w:p>
    <w:p w:rsidR="002E09FB" w:rsidRDefault="002E09FB" w:rsidP="002E09FB"/>
    <w:p w:rsidR="002E09FB"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rsidR="002E09FB" w:rsidRDefault="002E09FB" w:rsidP="002E09FB">
      <w:pPr>
        <w:ind w:firstLine="720"/>
        <w:rPr>
          <w:rFonts w:eastAsiaTheme="minorEastAsia"/>
          <w:sz w:val="18"/>
        </w:rPr>
      </w:pPr>
      <w:r>
        <w:t>The criterion “flooding” is represented by the variable 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 xml:space="preserve">. </w:t>
      </w:r>
      <w:r w:rsidRPr="00C80AEE">
        <w:t>Thus</w:t>
      </w:r>
      <w:r>
        <w:t>,</w:t>
      </w:r>
    </w:p>
    <w:p w:rsidR="002E09FB" w:rsidRPr="009565C9"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v1</m:t>
                </m:r>
              </m:sub>
              <m:sup>
                <m:r>
                  <w:rPr>
                    <w:rFonts w:ascii="Cambria Math" w:eastAsiaTheme="minorEastAsia" w:hAnsi="Cambria Math"/>
                    <w:sz w:val="24"/>
                  </w:rPr>
                  <m:t>k</m:t>
                </m:r>
              </m:sup>
            </m:sSubSup>
          </m:e>
        </m:d>
      </m:oMath>
      <w:r>
        <w:rPr>
          <w:rFonts w:eastAsiaTheme="minorEastAsia"/>
          <w:sz w:val="24"/>
        </w:rPr>
        <w:t>. (30)</w:t>
      </w:r>
    </w:p>
    <w:p w:rsidR="002E09FB" w:rsidRDefault="002E09FB" w:rsidP="002E09FB">
      <w:pPr>
        <w:rPr>
          <w:rFonts w:asciiTheme="majorHAnsi" w:eastAsiaTheme="majorEastAsia" w:hAnsiTheme="majorHAnsi" w:cstheme="majorBidi"/>
          <w:color w:val="1F4D78" w:themeColor="accent1" w:themeShade="7F"/>
          <w:sz w:val="24"/>
          <w:szCs w:val="24"/>
        </w:rPr>
      </w:pPr>
    </w:p>
    <w:p w:rsidR="002E09FB" w:rsidRPr="002B7855" w:rsidRDefault="002E09FB" w:rsidP="002E09FB">
      <w:pPr>
        <w:rPr>
          <w:rFonts w:eastAsiaTheme="minorEastAsia"/>
          <w:sz w:val="24"/>
          <w:szCs w:val="24"/>
        </w:rPr>
      </w:pPr>
      <w:r>
        <w:rPr>
          <w:rFonts w:asciiTheme="majorHAnsi" w:eastAsiaTheme="majorEastAsia" w:hAnsiTheme="majorHAnsi" w:cstheme="majorBidi"/>
          <w:color w:val="1F4D78" w:themeColor="accent1" w:themeShade="7F"/>
          <w:sz w:val="24"/>
          <w:szCs w:val="24"/>
        </w:rPr>
        <w:t xml:space="preserve">Ponding </w:t>
      </w:r>
      <m:oMath>
        <m:r>
          <m:rPr>
            <m:sty m:val="p"/>
          </m:rPr>
          <w:rPr>
            <w:rFonts w:ascii="Cambria Math" w:hAnsi="Cambria Math"/>
            <w:sz w:val="24"/>
          </w:rPr>
          <w:br/>
        </m:r>
      </m:oMath>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eastAsiaTheme="minorEastAsia" w:hAnsi="Cambria Math"/>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den>
                          </m:f>
                        </m:e>
                      </m:d>
                    </m:e>
                    <m:sup>
                      <m:r>
                        <w:rPr>
                          <w:rFonts w:ascii="Cambria Math" w:hAnsi="Cambria Math" w:cstheme="minorHAnsi"/>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oMath>
      </m:oMathPara>
    </w:p>
    <w:p w:rsidR="002E09FB" w:rsidRDefault="002E09FB" w:rsidP="002E09F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cstheme="minorHAnsi"/>
                    <w:i/>
                    <w:sz w:val="18"/>
                  </w:rPr>
                </m:ctrlPr>
              </m:sSupPr>
              <m:e>
                <m:d>
                  <m:dPr>
                    <m:ctrlPr>
                      <w:rPr>
                        <w:rFonts w:ascii="Cambria Math" w:hAnsi="Cambria Math" w:cstheme="minorHAnsi"/>
                        <w:i/>
                        <w:sz w:val="18"/>
                      </w:rPr>
                    </m:ctrlPr>
                  </m:dPr>
                  <m:e>
                    <m:r>
                      <w:rPr>
                        <w:rFonts w:ascii="Cambria Math" w:eastAsiaTheme="minorEastAsia" w:hAnsi="Cambria Math"/>
                        <w:sz w:val="24"/>
                      </w:rPr>
                      <m:t xml:space="preserve"> </m:t>
                    </m:r>
                    <m:f>
                      <m:fPr>
                        <m:ctrlPr>
                          <w:rPr>
                            <w:rFonts w:ascii="Cambria Math" w:hAnsi="Cambria Math" w:cstheme="minorHAnsi"/>
                            <w:i/>
                            <w:sz w:val="18"/>
                          </w:rPr>
                        </m:ctrlPr>
                      </m:fPr>
                      <m:num>
                        <m:r>
                          <w:rPr>
                            <w:rFonts w:ascii="Cambria Math" w:hAnsi="Cambria Math" w:cstheme="minorHAnsi"/>
                            <w:sz w:val="18"/>
                          </w:rPr>
                          <m:t>x</m:t>
                        </m:r>
                      </m:num>
                      <m:den>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den>
                    </m:f>
                  </m:e>
                </m:d>
              </m:e>
              <m:sup>
                <m:r>
                  <w:rPr>
                    <w:rFonts w:ascii="Cambria Math" w:hAnsi="Cambria Math" w:cstheme="minorHAnsi"/>
                    <w:sz w:val="18"/>
                  </w:rPr>
                  <m:t>2</m:t>
                </m:r>
              </m:sup>
            </m:sSup>
          </m:sup>
        </m:sSup>
      </m:oMath>
      <w:r>
        <w:rPr>
          <w:rFonts w:eastAsiaTheme="minorEastAsia"/>
          <w:sz w:val="24"/>
        </w:rPr>
        <w:t xml:space="preserve">evaluated at </w:t>
      </w:r>
      <m:oMath>
        <m:r>
          <w:rPr>
            <w:rFonts w:ascii="Cambria Math" w:hAnsi="Cambria Math"/>
            <w:sz w:val="24"/>
          </w:rPr>
          <m:t>x=</m:t>
        </m:r>
        <m:acc>
          <m:accPr>
            <m:chr m:val="̅"/>
            <m:ctrlPr>
              <w:rPr>
                <w:rFonts w:ascii="Cambria Math" w:hAnsi="Cambria Math" w:cstheme="minorHAnsi"/>
                <w:i/>
                <w:sz w:val="18"/>
              </w:rPr>
            </m:ctrlPr>
          </m:accPr>
          <m:e>
            <m:r>
              <w:rPr>
                <w:rFonts w:ascii="Cambria Math" w:hAnsi="Cambria Math" w:cstheme="minorHAnsi"/>
                <w:sz w:val="18"/>
              </w:rPr>
              <m:t>f</m:t>
            </m:r>
          </m:e>
        </m:acc>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limits of the range of possible annual number of ponding in a year (Fig. 4). The data suggests </w:t>
      </w:r>
      <w:proofErr w:type="gramStart"/>
      <w:r>
        <w:rPr>
          <w:rFonts w:eastAsiaTheme="minorEastAsia"/>
          <w:sz w:val="24"/>
        </w:rPr>
        <w:t xml:space="preserve">that </w:t>
      </w:r>
      <w:proofErr w:type="gramEnd"/>
      <m:oMath>
        <m:acc>
          <m:accPr>
            <m:chr m:val="̅"/>
            <m:ctrlPr>
              <w:rPr>
                <w:rFonts w:ascii="Cambria Math" w:hAnsi="Cambria Math" w:cstheme="minorHAnsi"/>
                <w:i/>
                <w:sz w:val="18"/>
              </w:rPr>
            </m:ctrlPr>
          </m:accPr>
          <m:e>
            <m:r>
              <w:rPr>
                <w:rFonts w:ascii="Cambria Math" w:hAnsi="Cambria Math" w:cstheme="minorHAnsi"/>
                <w:sz w:val="18"/>
              </w:rPr>
              <m:t>f</m:t>
            </m:r>
          </m:e>
        </m:acc>
        <m:r>
          <w:rPr>
            <w:rFonts w:ascii="Cambria Math" w:hAnsi="Cambria Math" w:cstheme="minorHAnsi"/>
            <w:sz w:val="18"/>
          </w:rPr>
          <m:t>≅80</m:t>
        </m:r>
      </m:oMath>
      <w:r>
        <w:rPr>
          <w:rFonts w:eastAsiaTheme="minorEastAsia"/>
          <w:sz w:val="18"/>
        </w:rPr>
        <w:t>.</w:t>
      </w:r>
    </w:p>
    <w:p w:rsidR="002E09FB" w:rsidRDefault="002E09FB" w:rsidP="002E09FB">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69C7454" wp14:editId="5B2791CE">
            <wp:extent cx="5934075" cy="3638550"/>
            <wp:effectExtent l="0" t="0" r="0" b="0"/>
            <wp:docPr id="2" name="Chart 2">
              <a:extLst xmlns:a="http://schemas.openxmlformats.org/drawingml/2006/main">
                <a:ext uri="{FF2B5EF4-FFF2-40B4-BE49-F238E27FC236}">
                  <a16:creationId xmlns:a16="http://schemas.microsoft.com/office/drawing/2014/main" id="{00000000-0008-0000-0500-0000081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09FB" w:rsidRDefault="002E09FB" w:rsidP="002E09FB">
      <w:pPr>
        <w:rPr>
          <w:rFonts w:eastAsiaTheme="minorEastAsia"/>
          <w:sz w:val="24"/>
        </w:rPr>
      </w:pPr>
      <w:r>
        <w:t xml:space="preserve">Figure 5: This plot represents the relationship between number of ponding events </w:t>
      </w: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r>
          <w:rPr>
            <w:rFonts w:ascii="Cambria Math" w:hAnsi="Cambria Math" w:cstheme="minorHAnsi"/>
            <w:sz w:val="24"/>
            <w:szCs w:val="24"/>
          </w:rPr>
          <m:t xml:space="preserve">, </m:t>
        </m:r>
      </m:oMath>
      <w:r>
        <w:t xml:space="preserve">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F</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Pr>
        <w:rPr>
          <w:rFonts w:eastAsiaTheme="minorEastAsia"/>
          <w:sz w:val="24"/>
        </w:rPr>
      </w:pPr>
    </w:p>
    <w:p w:rsidR="002E09FB" w:rsidRPr="00E04275" w:rsidRDefault="002E09FB" w:rsidP="002E09FB">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rsidR="002E09FB" w:rsidRDefault="002E09FB" w:rsidP="002E09FB">
      <w:pPr>
        <w:ind w:firstLine="720"/>
      </w:pPr>
      <w:r>
        <w:t>Health is represented by the annual number of incidences per year, such that</w:t>
      </w:r>
    </w:p>
    <w:p w:rsidR="002E09FB" w:rsidRPr="004D1717" w:rsidRDefault="002E09FB" w:rsidP="002E09FB">
      <w:pPr>
        <w:jc w:val="center"/>
        <w:rPr>
          <w:rFonts w:asciiTheme="majorHAnsi" w:eastAsiaTheme="majorEastAsia" w:hAnsiTheme="majorHAnsi" w:cstheme="majorBidi"/>
          <w:sz w:val="24"/>
        </w:rPr>
      </w:pP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jt</m:t>
                            </m:r>
                          </m:sub>
                        </m:sSub>
                        <m:r>
                          <w:rPr>
                            <w:rFonts w:ascii="Cambria Math" w:hAnsi="Cambria Math" w:cstheme="minorHAnsi"/>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den>
        </m:f>
      </m:oMath>
      <w:r>
        <w:rPr>
          <w:rFonts w:asciiTheme="majorHAnsi" w:eastAsiaTheme="majorEastAsia" w:hAnsiTheme="majorHAnsi" w:cstheme="majorBidi"/>
          <w:sz w:val="24"/>
          <w:szCs w:val="24"/>
        </w:rPr>
        <w:t xml:space="preserve"> </w:t>
      </w:r>
      <w:r>
        <w:rPr>
          <w:rFonts w:eastAsiaTheme="minorEastAsia"/>
          <w:sz w:val="24"/>
        </w:rPr>
        <w:t>(31)</w:t>
      </w:r>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 xml:space="preserve">- </m:t>
                    </m:r>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num>
                  <m:den>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den>
                </m:f>
              </m:e>
            </m:d>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g</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oMath>
      <w:r w:rsidRPr="00CF6A48">
        <w:t xml:space="preserve">and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oMath>
      <w:r w:rsidRPr="00CF6A48">
        <w:t xml:space="preserve">are control parameters to </w:t>
      </w:r>
      <w:proofErr w:type="gramStart"/>
      <w:r w:rsidRPr="00CF6A48">
        <w:t xml:space="preserve">ensure </w:t>
      </w:r>
      <w:proofErr w:type="gramEnd"/>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jvt</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Default="002E09FB" w:rsidP="002E09FB">
      <w:r>
        <w:rPr>
          <w:noProof/>
        </w:rPr>
        <w:lastRenderedPageBreak/>
        <w:drawing>
          <wp:inline distT="0" distB="0" distL="0" distR="0" wp14:anchorId="18117D21" wp14:editId="71FA270A">
            <wp:extent cx="5943600" cy="3251835"/>
            <wp:effectExtent l="0" t="0" r="0" b="5715"/>
            <wp:docPr id="4" name="Chart 4">
              <a:extLst xmlns:a="http://schemas.openxmlformats.org/drawingml/2006/main">
                <a:ext uri="{FF2B5EF4-FFF2-40B4-BE49-F238E27FC236}">
                  <a16:creationId xmlns:a16="http://schemas.microsoft.com/office/drawing/2014/main" id="{00000000-0008-0000-0400-0000081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09FB" w:rsidRDefault="002E09FB" w:rsidP="002E09FB">
      <w:pPr>
        <w:rPr>
          <w:rFonts w:eastAsiaTheme="minorEastAsia"/>
          <w:sz w:val="24"/>
        </w:rPr>
      </w:pPr>
      <w:r>
        <w:t xml:space="preserve">Figure 6: This plot represents the relationship between number of incidences of gastro intestinal diseases (GID) 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CF6A48" w:rsidRDefault="002E09FB" w:rsidP="002E09FB"/>
    <w:p w:rsidR="002E09FB" w:rsidRPr="00E04275" w:rsidRDefault="002E09FB" w:rsidP="002E09FB">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rsidR="002E09FB" w:rsidRPr="00DF4473" w:rsidRDefault="002E09FB" w:rsidP="002E09FB">
      <w:pPr>
        <w:ind w:firstLine="720"/>
        <w:rPr>
          <w:sz w:val="24"/>
          <w:szCs w:val="24"/>
        </w:rPr>
      </w:pPr>
      <w:r w:rsidRPr="00DF4473">
        <w:rPr>
          <w:sz w:val="24"/>
          <w:szCs w:val="24"/>
        </w:rPr>
        <w:t xml:space="preserve">The criterion “lack of supply” represents the </w:t>
      </w:r>
      <w:r>
        <w:rPr>
          <w:sz w:val="24"/>
          <w:szCs w:val="24"/>
        </w:rPr>
        <w:t xml:space="preserve">perception of the authority and the resident about the lack of </w:t>
      </w:r>
      <w:r w:rsidRPr="00DF4473">
        <w:rPr>
          <w:sz w:val="24"/>
          <w:szCs w:val="24"/>
        </w:rPr>
        <w:t xml:space="preserve">water </w:t>
      </w:r>
      <w:r>
        <w:rPr>
          <w:sz w:val="24"/>
          <w:szCs w:val="24"/>
        </w:rPr>
        <w:t xml:space="preserve">related </w:t>
      </w:r>
      <w:r w:rsidRPr="00DF4473">
        <w:rPr>
          <w:sz w:val="24"/>
          <w:szCs w:val="24"/>
        </w:rPr>
        <w:t>infrastructure</w:t>
      </w:r>
      <w:r>
        <w:rPr>
          <w:sz w:val="24"/>
          <w:szCs w:val="24"/>
        </w:rPr>
        <w:t xml:space="preserve">. This </w:t>
      </w:r>
      <w:proofErr w:type="gramStart"/>
      <w:r>
        <w:rPr>
          <w:sz w:val="24"/>
          <w:szCs w:val="24"/>
        </w:rPr>
        <w:t>is assumed to be related</w:t>
      </w:r>
      <w:proofErr w:type="gramEnd"/>
      <w:r>
        <w:rPr>
          <w:sz w:val="24"/>
          <w:szCs w:val="24"/>
        </w:rPr>
        <w:t xml:space="preserve"> to the lack of infrastructure. Operationally we implemented a value associated to the proportion of the population connected to infrastructure systems, that is using </w:t>
      </w:r>
      <w:proofErr w:type="gramStart"/>
      <w:r>
        <w:rPr>
          <w:sz w:val="24"/>
          <w:szCs w:val="24"/>
        </w:rPr>
        <w:t xml:space="preserve">variable </w:t>
      </w:r>
      <w:proofErr w:type="gramEnd"/>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oMath>
      <w:r>
        <w:rPr>
          <w:sz w:val="24"/>
          <w:szCs w:val="24"/>
        </w:rPr>
        <w:t xml:space="preserve">. Thus for all infrastructure system we have the value functions </w:t>
      </w:r>
    </w:p>
    <w:p w:rsidR="002E09FB" w:rsidRPr="00DF4473" w:rsidRDefault="002E09FB" w:rsidP="002E09FB">
      <w:pPr>
        <w:rPr>
          <w:rFonts w:asciiTheme="majorHAnsi" w:eastAsiaTheme="majorEastAsia" w:hAnsiTheme="majorHAnsi" w:cstheme="majorBidi"/>
          <w:color w:val="1F4D78" w:themeColor="accent1" w:themeShade="7F"/>
          <w:sz w:val="24"/>
          <w:szCs w:val="24"/>
        </w:rPr>
      </w:pPr>
    </w:p>
    <w:p w:rsidR="002E09FB" w:rsidRPr="00DF4473" w:rsidRDefault="002E09FB" w:rsidP="002E09FB">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(32)</m:t>
          </m:r>
          <m:r>
            <w:rPr>
              <w:rFonts w:ascii="Cambria Math" w:eastAsiaTheme="minorEastAsia" w:hAnsi="Cambria Math"/>
              <w:sz w:val="24"/>
              <w:szCs w:val="24"/>
            </w:rPr>
            <m:t>,</m:t>
          </m:r>
        </m:oMath>
      </m:oMathPara>
    </w:p>
    <w:p w:rsidR="002E09FB" w:rsidRPr="00DF4473" w:rsidRDefault="002E09FB" w:rsidP="002E09FB">
      <w:pPr>
        <w:rPr>
          <w:sz w:val="24"/>
          <w:szCs w:val="24"/>
        </w:rPr>
      </w:pPr>
      <w:r w:rsidRPr="00DF4473">
        <w:rPr>
          <w:sz w:val="24"/>
          <w:szCs w:val="24"/>
        </w:rPr>
        <w:t xml:space="preserve">Where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and </w:t>
      </w:r>
      <m:oMath>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m:t>
            </m:r>
          </m:sup>
        </m:sSup>
      </m:oMath>
      <w:r w:rsidRPr="00DF4473">
        <w:rPr>
          <w:sz w:val="24"/>
          <w:szCs w:val="24"/>
        </w:rPr>
        <w:t xml:space="preserve">are the value for the function </w:t>
      </w:r>
      <m:oMath>
        <m:sSup>
          <m:sSupPr>
            <m:ctrlPr>
              <w:rPr>
                <w:rFonts w:ascii="Cambria Math" w:eastAsiaTheme="minorEastAsia" w:hAnsi="Cambria Math"/>
                <w:i/>
                <w:sz w:val="24"/>
                <w:szCs w:val="24"/>
              </w:rPr>
            </m:ctrlPr>
          </m:sSupPr>
          <m:e>
            <m:r>
              <w:rPr>
                <w:rFonts w:ascii="Cambria Math" w:hAnsi="Cambria Math"/>
                <w:sz w:val="24"/>
                <w:szCs w:val="24"/>
              </w:rPr>
              <m:t>e</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P</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r>
              <w:rPr>
                <w:rFonts w:ascii="Cambria Math" w:eastAsiaTheme="minorEastAsia" w:hAnsi="Cambria Math"/>
                <w:sz w:val="24"/>
                <w:szCs w:val="24"/>
              </w:rPr>
              <m:t>(1-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η</m:t>
                </m:r>
              </m:e>
              <m:sub>
                <m:r>
                  <w:rPr>
                    <w:rFonts w:ascii="Cambria Math" w:eastAsia="Times New Roman" w:hAnsi="Cambria Math" w:cs="Times New Roman"/>
                    <w:color w:val="000000"/>
                    <w:sz w:val="24"/>
                    <w:szCs w:val="24"/>
                  </w:rPr>
                  <m:t>j</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up>
        </m:sSup>
      </m:oMath>
      <w:r w:rsidRPr="00DF4473">
        <w:rPr>
          <w:sz w:val="24"/>
          <w:szCs w:val="24"/>
        </w:rPr>
        <w:t xml:space="preserve">evaluated at </w:t>
      </w:r>
      <m:oMath>
        <m:r>
          <w:rPr>
            <w:rFonts w:ascii="Cambria Math" w:hAnsi="Cambria Math"/>
            <w:sz w:val="24"/>
            <w:szCs w:val="24"/>
          </w:rPr>
          <m:t>x</m:t>
        </m:r>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g</m:t>
            </m:r>
          </m:e>
        </m:acc>
      </m:oMath>
      <w:r w:rsidRPr="00DF4473">
        <w:rPr>
          <w:sz w:val="24"/>
          <w:szCs w:val="24"/>
        </w:rPr>
        <w:t xml:space="preserve"> and </w:t>
      </w:r>
      <m:oMath>
        <m:r>
          <w:rPr>
            <w:rFonts w:ascii="Cambria Math" w:hAnsi="Cambria Math"/>
            <w:sz w:val="24"/>
            <w:szCs w:val="24"/>
          </w:rPr>
          <m:t>x</m:t>
        </m:r>
        <m:r>
          <m:rPr>
            <m:sty m:val="p"/>
          </m:rPr>
          <w:rPr>
            <w:rFonts w:ascii="Cambria Math" w:hAnsi="Cambria Math"/>
            <w:sz w:val="24"/>
            <w:szCs w:val="24"/>
          </w:rPr>
          <m:t>=0</m:t>
        </m:r>
      </m:oMath>
      <w:r w:rsidRPr="00DF4473">
        <w:rPr>
          <w:sz w:val="24"/>
          <w:szCs w:val="24"/>
        </w:rPr>
        <w:t xml:space="preserve"> respectivelly. Parameters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1</m:t>
            </m:r>
          </m:sub>
          <m:sup>
            <m:r>
              <w:rPr>
                <w:rFonts w:ascii="Cambria Math" w:hAnsi="Cambria Math"/>
                <w:sz w:val="24"/>
                <w:szCs w:val="24"/>
              </w:rPr>
              <m:t>k</m:t>
            </m:r>
          </m:sup>
        </m:sSubSup>
      </m:oMath>
      <w:r w:rsidRPr="00DF4473">
        <w:rPr>
          <w:sz w:val="24"/>
          <w:szCs w:val="24"/>
        </w:rPr>
        <w:t xml:space="preserve">and </w:t>
      </w:r>
      <m:oMath>
        <m:sSubSup>
          <m:sSubSupPr>
            <m:ctrlPr>
              <w:rPr>
                <w:rFonts w:ascii="Cambria Math" w:hAnsi="Cambria Math"/>
                <w:sz w:val="24"/>
                <w:szCs w:val="24"/>
              </w:rPr>
            </m:ctrlPr>
          </m:sSubSupPr>
          <m:e>
            <m:r>
              <w:rPr>
                <w:rFonts w:ascii="Cambria Math" w:hAnsi="Cambria Math"/>
                <w:sz w:val="24"/>
                <w:szCs w:val="24"/>
              </w:rPr>
              <m:t>ϱ</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v</m:t>
            </m:r>
            <m:r>
              <m:rPr>
                <m:sty m:val="p"/>
              </m:rPr>
              <w:rPr>
                <w:rFonts w:ascii="Cambria Math" w:hAnsi="Cambria Math"/>
                <w:sz w:val="24"/>
                <w:szCs w:val="24"/>
              </w:rPr>
              <m:t>2</m:t>
            </m:r>
          </m:sub>
          <m:sup>
            <m:r>
              <w:rPr>
                <w:rFonts w:ascii="Cambria Math" w:hAnsi="Cambria Math"/>
                <w:sz w:val="24"/>
                <w:szCs w:val="24"/>
              </w:rPr>
              <m:t>k</m:t>
            </m:r>
          </m:sup>
        </m:sSubSup>
      </m:oMath>
      <w:r w:rsidRPr="00DF4473">
        <w:rPr>
          <w:sz w:val="24"/>
          <w:szCs w:val="24"/>
        </w:rPr>
        <w:t xml:space="preserve">are control parameters to </w:t>
      </w:r>
      <w:proofErr w:type="gramStart"/>
      <w:r w:rsidRPr="00DF4473">
        <w:rPr>
          <w:sz w:val="24"/>
          <w:szCs w:val="24"/>
        </w:rPr>
        <w:t xml:space="preserve">ensure </w:t>
      </w:r>
      <w:proofErr w:type="gramEnd"/>
      <m:oMath>
        <m:sSubSup>
          <m:sSubSupPr>
            <m:ctrlPr>
              <w:rPr>
                <w:rFonts w:ascii="Cambria Math" w:hAnsi="Cambria Math"/>
                <w:sz w:val="24"/>
                <w:szCs w:val="24"/>
              </w:rPr>
            </m:ctrlPr>
          </m:sSubSupPr>
          <m:e>
            <m:r>
              <w:rPr>
                <w:rFonts w:ascii="Cambria Math" w:hAnsi="Cambria Math"/>
                <w:sz w:val="24"/>
                <w:szCs w:val="24"/>
              </w:rPr>
              <m:t>x</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G</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oMath>
      <w:r w:rsidRPr="00DF4473">
        <w:rPr>
          <w:sz w:val="24"/>
          <w:szCs w:val="24"/>
        </w:rPr>
        <w:t>.</w:t>
      </w:r>
    </w:p>
    <w:p w:rsidR="002E09FB" w:rsidRDefault="002E09FB" w:rsidP="002E09FB">
      <w:r>
        <w:rPr>
          <w:noProof/>
        </w:rPr>
        <w:lastRenderedPageBreak/>
        <w:drawing>
          <wp:inline distT="0" distB="0" distL="0" distR="0" wp14:anchorId="24B8927C" wp14:editId="57D86F98">
            <wp:extent cx="5924550" cy="3581400"/>
            <wp:effectExtent l="0" t="0" r="0" b="0"/>
            <wp:docPr id="6" name="Chart 6">
              <a:extLst xmlns:a="http://schemas.openxmlformats.org/drawingml/2006/main">
                <a:ext uri="{FF2B5EF4-FFF2-40B4-BE49-F238E27FC236}">
                  <a16:creationId xmlns:a16="http://schemas.microsoft.com/office/drawing/2014/main"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09FB" w:rsidRDefault="002E09FB" w:rsidP="002E09FB">
      <w:pPr>
        <w:rPr>
          <w:rFonts w:eastAsiaTheme="minorEastAsia"/>
          <w:sz w:val="24"/>
        </w:rPr>
      </w:pPr>
      <w:r>
        <w:t xml:space="preserve">Figure 7. This plot represents the relationship between the lack of </w:t>
      </w:r>
      <w:proofErr w:type="gramStart"/>
      <w:r>
        <w:t xml:space="preserve">infrastructure </w:t>
      </w:r>
      <w:proofErr w:type="gramEnd"/>
      <m:oMath>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oMath>
      <w:r>
        <w:rPr>
          <w:rFonts w:eastAsiaTheme="minorEastAsia"/>
          <w:color w:val="000000"/>
          <w:sz w:val="20"/>
        </w:rPr>
        <w:t xml:space="preserve">, </w:t>
      </w:r>
      <w:r>
        <w:t>and the standardized score</w:t>
      </w:r>
      <m:oMath>
        <m:r>
          <w:rPr>
            <w:rFonts w:ascii="Cambria Math" w:hAnsi="Cambria Math"/>
          </w:rPr>
          <m:t xml:space="preserve"> </m:t>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530E67"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 xml:space="preserve">Social pressure </w:t>
      </w:r>
    </w:p>
    <w:p w:rsidR="002E09FB" w:rsidRDefault="002E09FB" w:rsidP="002E09FB">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census block over a period of time </w:t>
      </w:r>
      <m:oMath>
        <m:r>
          <w:rPr>
            <w:rFonts w:ascii="Cambria Math" w:hAnsi="Cambria Math" w:cstheme="minorHAnsi"/>
          </w:rPr>
          <m:t>T</m:t>
        </m:r>
      </m:oMath>
      <w:r>
        <w:rPr>
          <w:rFonts w:cstheme="minorHAnsi"/>
        </w:rPr>
        <w:t xml:space="preserve">. Formally, it </w:t>
      </w:r>
      <w:proofErr w:type="gramStart"/>
      <w:r>
        <w:rPr>
          <w:rFonts w:cstheme="minorHAnsi"/>
        </w:rPr>
        <w:t>is represented</w:t>
      </w:r>
      <w:proofErr w:type="gramEnd"/>
      <w:r>
        <w:rPr>
          <w:rFonts w:cstheme="minorHAnsi"/>
        </w:rPr>
        <w:t xml:space="preserve"> as follows:</w:t>
      </w:r>
    </w:p>
    <w:p w:rsidR="002E09FB" w:rsidRDefault="002E09FB" w:rsidP="002E09FB">
      <w:pPr>
        <w:spacing w:line="240" w:lineRule="auto"/>
        <w:ind w:firstLine="708"/>
        <w:jc w:val="center"/>
        <w:rPr>
          <w:rFonts w:eastAsiaTheme="minorEastAsia"/>
          <w:sz w:val="24"/>
        </w:rP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rsidR="002E09FB" w:rsidRDefault="002E09FB" w:rsidP="002E09FB">
      <w:pPr>
        <w:spacing w:line="240" w:lineRule="auto"/>
        <w:ind w:firstLine="708"/>
        <w:jc w:val="cente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m:t>
          </m:r>
        </m:oMath>
      </m:oMathPara>
    </w:p>
    <w:p w:rsidR="002E09FB" w:rsidRDefault="002E09FB" w:rsidP="002E09FB">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Pr>
          <w:rFonts w:eastAsiaTheme="minorEastAsia" w:cstheme="minorHAnsi"/>
        </w:rPr>
        <w:t xml:space="preserve">  (34)</w:t>
      </w:r>
    </w:p>
    <w:p w:rsidR="002E09FB" w:rsidRDefault="002E09FB" w:rsidP="002E09FB">
      <w:pPr>
        <w:spacing w:line="240" w:lineRule="auto"/>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census block </w:t>
      </w:r>
      <m:oMath>
        <m:r>
          <w:rPr>
            <w:rFonts w:ascii="Cambria Math" w:eastAsiaTheme="minorEastAsia" w:hAnsi="Cambria Math"/>
          </w:rPr>
          <m:t>j</m:t>
        </m:r>
      </m:oMath>
      <w:r>
        <w:rPr>
          <w:rFonts w:eastAsiaTheme="minorEastAsia"/>
        </w:rPr>
        <w:t>, accumulated over the past yearly decision cycle</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rsidR="002E09FB" w:rsidRDefault="002E09FB" w:rsidP="002E09FB">
      <w:pPr>
        <w:pStyle w:val="Heading3"/>
      </w:pPr>
      <w:bookmarkStart w:id="8" w:name="_Toc518901549"/>
      <w:r>
        <w:rPr>
          <w:noProof/>
        </w:rPr>
        <w:lastRenderedPageBreak/>
        <w:drawing>
          <wp:inline distT="0" distB="0" distL="0" distR="0" wp14:anchorId="253DFE2D" wp14:editId="564CC3A9">
            <wp:extent cx="5934075" cy="3495675"/>
            <wp:effectExtent l="0" t="0" r="0" b="0"/>
            <wp:docPr id="7" name="Chart 7">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8"/>
    </w:p>
    <w:p w:rsidR="002E09FB" w:rsidRDefault="002E09FB" w:rsidP="002E09FB">
      <w:pPr>
        <w:rPr>
          <w:rFonts w:eastAsiaTheme="minorEastAsia"/>
          <w:sz w:val="24"/>
        </w:rPr>
      </w:pPr>
      <w:r>
        <w:t xml:space="preserve">Figure 8: The relationship between the number of protests accumulated in a </w:t>
      </w:r>
      <w:proofErr w:type="gramStart"/>
      <w:r>
        <w:t xml:space="preserve">year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Pr="005639F8"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Age of infrastructure</w:t>
      </w:r>
    </w:p>
    <w:p w:rsidR="002E09FB" w:rsidRDefault="002E09FB" w:rsidP="002E09FB">
      <w:pPr>
        <w:ind w:firstLine="720"/>
        <w:rPr>
          <w:rFonts w:eastAsiaTheme="minorEastAsia"/>
        </w:rPr>
      </w:pPr>
      <w:r>
        <w:t>The criterion “age of infrastructure” represents the water operator’s 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rsidR="002E09FB" w:rsidRPr="003053EA" w:rsidRDefault="002E09FB" w:rsidP="002E09FB">
      <w:pPr>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m:rPr>
              <m:sty m:val="p"/>
            </m:rPr>
            <w:rPr>
              <w:rFonts w:ascii="Cambria Math" w:eastAsiaTheme="minorEastAsia"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35</m:t>
              </m:r>
            </m:e>
          </m:d>
          <m:r>
            <w:rPr>
              <w:rFonts w:ascii="Cambria Math" w:eastAsiaTheme="minorEastAsia" w:hAnsi="Cambria Math"/>
              <w:sz w:val="24"/>
              <w:szCs w:val="24"/>
            </w:rPr>
            <m:t>,</m:t>
          </m:r>
        </m:oMath>
      </m:oMathPara>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3053EA" w:rsidRDefault="002E09FB" w:rsidP="002E09FB">
      <w:pPr>
        <w:jc w:val="center"/>
        <w:rPr>
          <w:b/>
          <w:sz w:val="24"/>
          <w:szCs w:val="24"/>
        </w:rPr>
      </w:pPr>
    </w:p>
    <w:p w:rsidR="002E09FB" w:rsidRDefault="002E09FB" w:rsidP="002E09FB">
      <w:bookmarkStart w:id="9" w:name="_Toc518901550"/>
      <w:r>
        <w:rPr>
          <w:noProof/>
        </w:rPr>
        <w:lastRenderedPageBreak/>
        <w:drawing>
          <wp:inline distT="0" distB="0" distL="0" distR="0" wp14:anchorId="59FB16E4" wp14:editId="10AA0345">
            <wp:extent cx="5934075" cy="3495675"/>
            <wp:effectExtent l="0" t="0" r="0" b="0"/>
            <wp:docPr id="8" name="Chart 8">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9"/>
    </w:p>
    <w:p w:rsidR="002E09FB" w:rsidRDefault="002E09FB" w:rsidP="002E09FB">
      <w:pPr>
        <w:rPr>
          <w:rFonts w:eastAsiaTheme="minorEastAsia"/>
          <w:sz w:val="24"/>
        </w:rPr>
      </w:pPr>
      <w:r>
        <w:t>Figure 8: The relationship between the average age of infrastructure systems in a census block</w:t>
      </w:r>
      <w:proofErr w:type="gramStart"/>
      <w:r>
        <w:t xml:space="preserve">, </w:t>
      </w:r>
      <w:proofErr w:type="gramEnd"/>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Pr>
          <w:rFonts w:eastAsiaTheme="minorEastAsia"/>
        </w:rPr>
        <w:t xml:space="preserve">, 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oMath>
      <w:r>
        <w:rPr>
          <w:rFonts w:eastAsiaTheme="minorEastAsia"/>
          <w:sz w:val="24"/>
        </w:rPr>
        <w:t>.</w:t>
      </w:r>
    </w:p>
    <w:p w:rsidR="002E09FB" w:rsidRDefault="002E09FB" w:rsidP="002E09FB"/>
    <w:p w:rsidR="002E09FB" w:rsidRPr="009C47F6" w:rsidRDefault="002E09FB" w:rsidP="002E09FB">
      <w:r>
        <w:t xml:space="preserve">Layers </w:t>
      </w:r>
      <w:proofErr w:type="gramStart"/>
      <w:r>
        <w:t>needed to be created and</w:t>
      </w:r>
      <w:proofErr w:type="gramEnd"/>
      <w:r>
        <w:t xml:space="preserve"> defined are the “Amount” and “</w:t>
      </w:r>
      <w:r w:rsidRPr="009C47F6">
        <w:t>Water quality</w:t>
      </w:r>
      <w:r>
        <w:t>”</w:t>
      </w:r>
    </w:p>
    <w:p w:rsidR="002E09FB" w:rsidRPr="009C47F6" w:rsidRDefault="002E09FB" w:rsidP="002E09FB"/>
    <w:p w:rsidR="002E09FB" w:rsidRDefault="002E09FB" w:rsidP="002E09FB">
      <w:pPr>
        <w:pStyle w:val="Heading2"/>
      </w:pPr>
      <w:bookmarkStart w:id="10" w:name="_Toc518901551"/>
      <w:r>
        <w:t>Criteria for decisions - Residents</w:t>
      </w:r>
      <w:bookmarkEnd w:id="10"/>
    </w:p>
    <w:p w:rsidR="002E09FB" w:rsidRDefault="002E09FB" w:rsidP="002E09FB">
      <w:pPr>
        <w:pStyle w:val="Heading3"/>
      </w:pPr>
    </w:p>
    <w:p w:rsidR="002E09FB" w:rsidRPr="000460FB" w:rsidRDefault="002E09FB" w:rsidP="002E09FB">
      <w:r w:rsidRPr="000460FB">
        <w:rPr>
          <w:rFonts w:asciiTheme="majorHAnsi" w:eastAsiaTheme="majorEastAsia" w:hAnsiTheme="majorHAnsi" w:cstheme="majorBidi"/>
          <w:color w:val="1F4D78" w:themeColor="accent1" w:themeShade="7F"/>
          <w:sz w:val="24"/>
          <w:szCs w:val="24"/>
        </w:rPr>
        <w:t>Urbanization</w:t>
      </w:r>
    </w:p>
    <w:p w:rsidR="002E09FB" w:rsidRDefault="002E09FB" w:rsidP="002E09FB">
      <w:pPr>
        <w:ind w:firstLine="720"/>
      </w:pPr>
      <w:r>
        <w:t xml:space="preserve">Urbanization is the perception that green areas </w:t>
      </w:r>
      <w:proofErr w:type="gramStart"/>
      <w:r>
        <w:t>are being replaced</w:t>
      </w:r>
      <w:proofErr w:type="gramEnd"/>
      <w:r>
        <w:t xml:space="preserve"> by new urban areas. This </w:t>
      </w:r>
      <w:proofErr w:type="gramStart"/>
      <w:r>
        <w:t>is represented</w:t>
      </w:r>
      <w:proofErr w:type="gramEnd"/>
      <w:r>
        <w:t xml:space="preserve"> by the percentage of area urbanized in a census block at the time of the re-evaluation of priorities. Formally,</w:t>
      </w:r>
    </w:p>
    <w:p w:rsidR="002E09FB" w:rsidRPr="00F56C5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Pr>
          <w:rFonts w:eastAsiaTheme="minorEastAsia"/>
          <w:sz w:val="24"/>
        </w:rPr>
        <w:t>. (36)</w:t>
      </w:r>
    </w:p>
    <w:p w:rsidR="002E09FB" w:rsidRPr="00D40BB6"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t>Clogged drainage</w:t>
      </w:r>
    </w:p>
    <w:p w:rsidR="002E09FB" w:rsidRDefault="002E09FB" w:rsidP="002E09FB">
      <w:pPr>
        <w:ind w:firstLine="720"/>
      </w:pPr>
      <w:r>
        <w:t xml:space="preserve">Clogged drainage is a criterion that represents the perception of the residents that the problem of flooding </w:t>
      </w:r>
      <w:proofErr w:type="gramStart"/>
      <w:r>
        <w:t>is related</w:t>
      </w:r>
      <w:proofErr w:type="gramEnd"/>
      <w:r>
        <w:t xml:space="preserve"> to the accumulation of garbage and the lack of maintenance of the drainages. To represent this criterion geographically, we use the variable garbage</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t>, as a proxy, such that</w:t>
      </w:r>
    </w:p>
    <w:p w:rsidR="002E09FB" w:rsidRPr="004821F4" w:rsidRDefault="002E09FB" w:rsidP="002E09FB">
      <w:pPr>
        <w:spacing w:line="240" w:lineRule="auto"/>
        <w:jc w:val="center"/>
        <w:rPr>
          <w:rFonts w:asciiTheme="majorHAnsi" w:eastAsiaTheme="majorEastAsia" w:hAnsiTheme="majorHAnsi" w:cstheme="majorBidi"/>
          <w:sz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m:t>
          </m:r>
          <m:d>
            <m:dPr>
              <m:ctrlPr>
                <w:rPr>
                  <w:rFonts w:ascii="Cambria Math" w:eastAsiaTheme="majorEastAsia" w:hAnsi="Cambria Math" w:cstheme="majorBidi"/>
                  <w:sz w:val="24"/>
                </w:rPr>
              </m:ctrlPr>
            </m:dPr>
            <m:e>
              <m:r>
                <m:rPr>
                  <m:sty m:val="p"/>
                </m:rPr>
                <w:rPr>
                  <w:rFonts w:ascii="Cambria Math" w:eastAsiaTheme="majorEastAsia" w:hAnsi="Cambria Math" w:cstheme="majorBidi"/>
                  <w:sz w:val="24"/>
                </w:rPr>
                <m:t>37</m:t>
              </m:r>
            </m:e>
          </m:d>
          <m:r>
            <m:rPr>
              <m:sty m:val="p"/>
            </m:rPr>
            <w:rPr>
              <w:rFonts w:ascii="Cambria Math" w:eastAsiaTheme="majorEastAsia" w:hAnsiTheme="majorHAnsi" w:cstheme="majorBidi"/>
              <w:sz w:val="24"/>
            </w:rPr>
            <m:t>,</m:t>
          </m:r>
        </m:oMath>
      </m:oMathPara>
    </w:p>
    <w:p w:rsidR="002E09FB" w:rsidRDefault="002E09FB" w:rsidP="002E09FB">
      <w:pPr>
        <w:spacing w:line="240" w:lineRule="auto"/>
        <w:jc w:val="center"/>
        <w:rPr>
          <w:rFonts w:asciiTheme="majorHAnsi" w:eastAsiaTheme="majorEastAsia" w:hAnsiTheme="majorHAnsi" w:cstheme="majorBidi"/>
          <w:sz w:val="24"/>
        </w:rPr>
      </w:pPr>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eastAsia="Times New Roman" w:hAnsi="Cambria Math" w:cs="Times New Roman"/>
                <w:color w:val="000000"/>
                <w:sz w:val="24"/>
                <w:szCs w:val="24"/>
              </w:rPr>
              <m:t>Θ</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787F85" w:rsidRDefault="002E09FB" w:rsidP="002E09FB">
      <w:pPr>
        <w:spacing w:line="240" w:lineRule="auto"/>
        <w:jc w:val="center"/>
        <w:rPr>
          <w:rFonts w:asciiTheme="majorHAnsi" w:eastAsiaTheme="majorEastAsia" w:hAnsiTheme="majorHAnsi" w:cstheme="majorBidi"/>
          <w:color w:val="1F4D78" w:themeColor="accent1" w:themeShade="7F"/>
          <w:sz w:val="24"/>
          <w:szCs w:val="24"/>
        </w:rPr>
      </w:pPr>
    </w:p>
    <w:p w:rsidR="002E09FB" w:rsidRDefault="002E09FB" w:rsidP="002E09FB">
      <w:r>
        <w:rPr>
          <w:noProof/>
        </w:rPr>
        <w:drawing>
          <wp:inline distT="0" distB="0" distL="0" distR="0" wp14:anchorId="654C2AC2" wp14:editId="36113343">
            <wp:extent cx="5934075" cy="3495675"/>
            <wp:effectExtent l="0" t="0" r="0" b="0"/>
            <wp:docPr id="10" name="Chart 10">
              <a:extLst xmlns:a="http://schemas.openxmlformats.org/drawingml/2006/main">
                <a:ext uri="{FF2B5EF4-FFF2-40B4-BE49-F238E27FC236}">
                  <a16:creationId xmlns:a16="http://schemas.microsoft.com/office/drawing/2014/main"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E09FB" w:rsidRDefault="002E09FB" w:rsidP="002E09FB">
      <w:pPr>
        <w:rPr>
          <w:rFonts w:eastAsiaTheme="minorEastAsia"/>
          <w:sz w:val="24"/>
        </w:rPr>
      </w:pPr>
      <w:r>
        <w:t xml:space="preserve">Figure #: the relationship between and index of garbage </w:t>
      </w:r>
      <w:proofErr w:type="gramStart"/>
      <w:r>
        <w:t xml:space="preserve">production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Pr>
          <w:rFonts w:eastAsiaTheme="minorEastAsia"/>
          <w:color w:val="000000"/>
          <w:sz w:val="18"/>
        </w:rPr>
        <w:t xml:space="preserve">, </w:t>
      </w:r>
      <w:r>
        <w:rPr>
          <w:rFonts w:eastAsiaTheme="minorEastAsia"/>
        </w:rP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rsidR="002E09FB" w:rsidRDefault="002E09FB" w:rsidP="002E09FB">
      <w:pPr>
        <w:rPr>
          <w:rFonts w:eastAsiaTheme="minorEastAsia"/>
          <w:sz w:val="24"/>
        </w:rPr>
      </w:pPr>
    </w:p>
    <w:p w:rsidR="002E09FB" w:rsidRPr="000460FB" w:rsidRDefault="002E09FB" w:rsidP="002E09FB">
      <w:r w:rsidRPr="000460FB">
        <w:rPr>
          <w:rFonts w:asciiTheme="majorHAnsi" w:eastAsiaTheme="majorEastAsia" w:hAnsiTheme="majorHAnsi" w:cstheme="majorBidi"/>
          <w:color w:val="1F4D78" w:themeColor="accent1" w:themeShade="7F"/>
          <w:sz w:val="24"/>
          <w:szCs w:val="24"/>
        </w:rPr>
        <w:t>Insufficient infrastructure</w:t>
      </w:r>
    </w:p>
    <w:p w:rsidR="002E09FB" w:rsidRDefault="002E09FB" w:rsidP="002E09FB">
      <w:pPr>
        <w:ind w:firstLine="720"/>
      </w:pPr>
      <w:r>
        <w:t xml:space="preserve">This criterion </w:t>
      </w:r>
      <w:proofErr w:type="gramStart"/>
      <w:r>
        <w:t>is represented</w:t>
      </w:r>
      <w:proofErr w:type="gramEnd"/>
      <w:r>
        <w:t xml:space="preserve"> by the lack of coverage in the census block. Depending on the action, this criterion may refer to one of a number of different infrastructure systems. Therefore:</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eastAsiaTheme="minorEastAsia"/>
          <w:sz w:val="24"/>
        </w:rPr>
        <w:t xml:space="preserve"> (38)</w:t>
      </w:r>
    </w:p>
    <w:p w:rsidR="002E09FB" w:rsidRPr="008E3506" w:rsidRDefault="002E09FB" w:rsidP="002E09FB"/>
    <w:p w:rsidR="002E09FB" w:rsidRPr="000460FB" w:rsidRDefault="002E09FB" w:rsidP="002E09FB">
      <w:r w:rsidRPr="000460FB">
        <w:rPr>
          <w:rFonts w:asciiTheme="majorHAnsi" w:eastAsiaTheme="majorEastAsia" w:hAnsiTheme="majorHAnsi" w:cstheme="majorBidi"/>
          <w:color w:val="1F4D78" w:themeColor="accent1" w:themeShade="7F"/>
          <w:sz w:val="24"/>
          <w:szCs w:val="24"/>
        </w:rPr>
        <w:lastRenderedPageBreak/>
        <w:t>Water scarcity</w:t>
      </w:r>
    </w:p>
    <w:p w:rsidR="002E09FB" w:rsidRDefault="002E09FB" w:rsidP="002E09FB">
      <w:pPr>
        <w:ind w:firstLine="720"/>
      </w:pPr>
      <w:r>
        <w:t>The criterion “scarcity”</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is the residents’ perception of lack of water, represented by the number of days without water in the last week. </w:t>
      </w:r>
    </w:p>
    <w:p w:rsidR="002E09FB" w:rsidRDefault="002E09FB" w:rsidP="002E09FB">
      <w:pPr>
        <w:spacing w:line="240" w:lineRule="auto"/>
        <w:jc w:val="center"/>
        <w:rPr>
          <w:rFonts w:asciiTheme="majorHAnsi" w:eastAsiaTheme="majorEastAsia" w:hAnsiTheme="majorHAnsi" w:cstheme="majorBidi"/>
          <w:sz w:val="24"/>
        </w:rPr>
      </w:pPr>
    </w:p>
    <w:p w:rsidR="002E09FB" w:rsidRPr="009D5D10" w:rsidRDefault="002E09FB" w:rsidP="002E09FB">
      <w:pPr>
        <w:spacing w:line="240" w:lineRule="auto"/>
        <w:jc w:val="center"/>
        <w:rPr>
          <w:rFonts w:asciiTheme="majorHAnsi" w:eastAsiaTheme="majorEastAsia" w:hAnsiTheme="majorHAnsi" w:cstheme="majorBidi"/>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(39)</m:t>
          </m:r>
        </m:oMath>
      </m:oMathPara>
    </w:p>
    <w:p w:rsidR="002E09FB" w:rsidRDefault="002E09FB" w:rsidP="002E09FB">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for the function</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r>
              <w:rPr>
                <w:rFonts w:ascii="Cambria Math" w:hAnsi="Cambria Math"/>
                <w:sz w:val="24"/>
                <w:szCs w:val="24"/>
              </w:rPr>
              <m:t>x</m:t>
            </m:r>
          </m:sup>
        </m:sSup>
      </m:oMath>
      <w:r w:rsidRPr="00CF6A48">
        <w:t>evaluated at</w:t>
      </w:r>
      <m:oMath>
        <m:r>
          <w:rPr>
            <w:rFonts w:ascii="Cambria Math" w:hAnsi="Cambria Math"/>
          </w:rPr>
          <m:t xml:space="preserve"> x</m:t>
        </m:r>
        <m:r>
          <m:rPr>
            <m:sty m:val="p"/>
          </m:rPr>
          <w:rPr>
            <w:rFonts w:ascii="Cambria Math" w:hAnsi="Cambria Math"/>
          </w:rPr>
          <m:t>=</m:t>
        </m:r>
        <m:acc>
          <m:accPr>
            <m:chr m:val="̅"/>
            <m:ctrlPr>
              <w:rPr>
                <w:rFonts w:ascii="Cambria Math" w:hAnsi="Cambria Math"/>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rsidR="002E09FB" w:rsidRPr="007B38B1" w:rsidRDefault="002E09FB" w:rsidP="002E09FB">
      <w:pPr>
        <w:spacing w:line="240" w:lineRule="auto"/>
        <w:jc w:val="center"/>
        <w:rPr>
          <w:rFonts w:asciiTheme="majorHAnsi" w:eastAsiaTheme="majorEastAsia" w:hAnsiTheme="majorHAnsi" w:cstheme="majorBidi"/>
          <w:sz w:val="24"/>
          <w:szCs w:val="24"/>
        </w:rPr>
      </w:pPr>
    </w:p>
    <w:p w:rsidR="002E09FB" w:rsidRPr="007B38B1" w:rsidRDefault="002E09FB" w:rsidP="002E09FB">
      <w:pPr>
        <w:spacing w:line="240" w:lineRule="auto"/>
        <w:jc w:val="center"/>
        <w:rPr>
          <w:rFonts w:asciiTheme="majorHAnsi" w:eastAsiaTheme="majorEastAsia" w:hAnsiTheme="majorHAnsi" w:cstheme="majorBidi"/>
          <w:sz w:val="24"/>
        </w:rPr>
      </w:pPr>
    </w:p>
    <w:p w:rsidR="002E09FB" w:rsidRPr="007B38B1" w:rsidRDefault="002E09FB" w:rsidP="002E09FB">
      <w:pPr>
        <w:spacing w:line="240" w:lineRule="auto"/>
        <w:jc w:val="center"/>
      </w:pPr>
      <w:r>
        <w:rPr>
          <w:noProof/>
        </w:rPr>
        <w:drawing>
          <wp:inline distT="0" distB="0" distL="0" distR="0" wp14:anchorId="4CE86290" wp14:editId="0A1A0442">
            <wp:extent cx="5934075" cy="3533775"/>
            <wp:effectExtent l="0" t="0" r="0" b="0"/>
            <wp:docPr id="11" name="Chart 11">
              <a:extLst xmlns:a="http://schemas.openxmlformats.org/drawingml/2006/main">
                <a:ext uri="{FF2B5EF4-FFF2-40B4-BE49-F238E27FC236}">
                  <a16:creationId xmlns:a16="http://schemas.microsoft.com/office/drawing/2014/main"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7B38B1">
        <w:t>Figure # the relationship between the number of days without water in a census block</w:t>
      </w:r>
      <w:proofErr w:type="gramStart"/>
      <w:r w:rsidRPr="007B38B1">
        <w:t xml:space="preserve">, </w:t>
      </w:r>
      <w:proofErr w:type="gramEnd"/>
      <m:oMath>
        <m:sSub>
          <m:sSubPr>
            <m:ctrlPr>
              <w:rPr>
                <w:rFonts w:ascii="Cambria Math" w:hAnsi="Cambria Math"/>
              </w:rPr>
            </m:ctrlPr>
          </m:sSubPr>
          <m:e>
            <m:r>
              <w:rPr>
                <w:rFonts w:ascii="Cambria Math" w:hAnsi="Cambria Math"/>
              </w:rPr>
              <m:t>S</m:t>
            </m:r>
          </m:e>
          <m:sub>
            <m:r>
              <w:rPr>
                <w:rFonts w:ascii="Cambria Math" w:hAnsi="Cambria Math"/>
              </w:rPr>
              <m:t>j</m:t>
            </m:r>
            <m:sSub>
              <m:sSubPr>
                <m:ctrlPr>
                  <w:rPr>
                    <w:rFonts w:ascii="Cambria Math" w:hAnsi="Cambria Math"/>
                  </w:rPr>
                </m:ctrlPr>
              </m:sSubPr>
              <m:e>
                <m:r>
                  <w:rPr>
                    <w:rFonts w:ascii="Cambria Math" w:hAnsi="Cambria Math"/>
                  </w:rPr>
                  <m:t>T</m:t>
                </m:r>
              </m:e>
              <m:sub>
                <m:r>
                  <w:rPr>
                    <w:rFonts w:ascii="Cambria Math" w:hAnsi="Cambria Math"/>
                  </w:rPr>
                  <m:t>m</m:t>
                </m:r>
              </m:sub>
            </m:sSub>
          </m:sub>
        </m:sSub>
      </m:oMath>
      <w:r>
        <w:rPr>
          <w:rFonts w:eastAsiaTheme="minorEastAsia"/>
        </w:rPr>
        <w:t>,</w:t>
      </w:r>
      <w:r>
        <w:t xml:space="preserve"> </w:t>
      </w:r>
      <w:r w:rsidRPr="007B38B1">
        <w:t xml:space="preserve">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oMath>
      <w:r>
        <w:rPr>
          <w:rFonts w:eastAsiaTheme="minorEastAsia"/>
        </w:rPr>
        <w:t xml:space="preserve"> for the residents</w:t>
      </w:r>
      <w:r w:rsidRPr="007B38B1">
        <w:t>.</w:t>
      </w:r>
    </w:p>
    <w:p w:rsidR="002E09FB" w:rsidRPr="007B38B1" w:rsidRDefault="002E09FB" w:rsidP="002E09FB">
      <w:pPr>
        <w:rPr>
          <w:rFonts w:asciiTheme="majorHAnsi" w:eastAsiaTheme="majorEastAsia" w:hAnsiTheme="majorHAnsi" w:cstheme="majorBidi"/>
        </w:rPr>
      </w:pPr>
      <w:r w:rsidRPr="000460FB">
        <w:rPr>
          <w:rFonts w:asciiTheme="majorHAnsi" w:eastAsiaTheme="majorEastAsia" w:hAnsiTheme="majorHAnsi" w:cstheme="majorBidi"/>
          <w:color w:val="1F4D78" w:themeColor="accent1" w:themeShade="7F"/>
          <w:sz w:val="24"/>
          <w:szCs w:val="24"/>
        </w:rPr>
        <w:t>Flooding</w:t>
      </w:r>
    </w:p>
    <w:p w:rsidR="002E09FB" w:rsidRDefault="002E09FB" w:rsidP="002E09FB">
      <w:pPr>
        <w:ind w:firstLine="720"/>
      </w:pPr>
      <w:r>
        <w:t xml:space="preserve">Similar to what was described for the water authority, the residents’ criterion “flooding”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rsidR="002E09FB" w:rsidRDefault="002E09FB" w:rsidP="002E09FB">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(40)</w:t>
      </w:r>
    </w:p>
    <w:p w:rsidR="002E09FB" w:rsidRPr="0064259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lastRenderedPageBreak/>
        <w:t>Health</w:t>
      </w:r>
    </w:p>
    <w:p w:rsidR="002E09FB" w:rsidRDefault="002E09FB" w:rsidP="002E09FB">
      <w:pPr>
        <w:ind w:firstLine="720"/>
      </w:pPr>
      <w:r>
        <w:t>The criterion “health” is represented by the incidence of gastrointestinal diseases</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rsidR="002E09FB" w:rsidRPr="0064259B" w:rsidRDefault="002E09FB" w:rsidP="002E09FB">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(41)</w:t>
      </w: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rsidR="002E09FB" w:rsidRDefault="002E09FB" w:rsidP="002E09FB">
      <w:pPr>
        <w:ind w:firstLine="720"/>
        <w:rPr>
          <w:rFonts w:eastAsiaTheme="minorEastAsia"/>
          <w:color w:val="000000"/>
          <w:sz w:val="18"/>
        </w:rPr>
      </w:pPr>
      <w:r>
        <w:t>This criterion refers to the perception by indigenous communities that water from local sources is being distributed to other census blocks, and it is represented by the “water deviated”</w:t>
      </w:r>
      <w:r w:rsidRPr="00E57B7B">
        <w:t xml:space="preserve"> </w:t>
      </w:r>
      <w:r>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rsidR="002E09FB" w:rsidRDefault="002E09FB" w:rsidP="002E09FB">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Pr>
          <w:rFonts w:asciiTheme="majorHAnsi" w:eastAsiaTheme="majorEastAsia" w:hAnsiTheme="majorHAnsi" w:cstheme="majorBidi"/>
          <w:sz w:val="24"/>
        </w:rPr>
        <w:t xml:space="preserve"> (42)</w:t>
      </w:r>
    </w:p>
    <w:p w:rsidR="002E09FB" w:rsidRDefault="002E09FB" w:rsidP="002E09FB">
      <w:pPr>
        <w:spacing w:line="240" w:lineRule="auto"/>
        <w:rPr>
          <w:rFonts w:asciiTheme="majorHAnsi" w:eastAsiaTheme="majorEastAsia" w:hAnsiTheme="majorHAnsi" w:cstheme="majorBidi"/>
          <w:color w:val="1F4D78" w:themeColor="accent1" w:themeShade="7F"/>
          <w:sz w:val="24"/>
          <w:szCs w:val="24"/>
        </w:rPr>
      </w:pPr>
    </w:p>
    <w:p w:rsidR="002E09FB" w:rsidRDefault="002E09FB"/>
    <w:sectPr w:rsidR="002E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TMzMTazMLAwMTRW0lEKTi0uzszPAykwrAUAGgPPoSwAAAA="/>
  </w:docVars>
  <w:rsids>
    <w:rsidRoot w:val="002E09FB"/>
    <w:rsid w:val="00131F1C"/>
    <w:rsid w:val="002E09FB"/>
    <w:rsid w:val="00A33705"/>
    <w:rsid w:val="00A5681F"/>
    <w:rsid w:val="00BE7FE2"/>
    <w:rsid w:val="00FE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ADF4"/>
  <w15:chartTrackingRefBased/>
  <w15:docId w15:val="{46188C19-9529-49CB-9FAE-D2ECF44F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5D1"/>
    <w:pPr>
      <w:keepNext/>
      <w:keepLines/>
      <w:spacing w:before="240" w:after="0"/>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uiPriority w:val="9"/>
    <w:unhideWhenUsed/>
    <w:qFormat/>
    <w:rsid w:val="002E0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9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09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09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E09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D1"/>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2E09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9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09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09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E09FB"/>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2E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0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9FB"/>
  </w:style>
  <w:style w:type="paragraph" w:styleId="Footer">
    <w:name w:val="footer"/>
    <w:basedOn w:val="Normal"/>
    <w:link w:val="FooterChar"/>
    <w:uiPriority w:val="99"/>
    <w:unhideWhenUsed/>
    <w:rsid w:val="002E0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9FB"/>
  </w:style>
  <w:style w:type="table" w:customStyle="1" w:styleId="PlainTable31">
    <w:name w:val="Plain Table 31"/>
    <w:basedOn w:val="TableNormal"/>
    <w:uiPriority w:val="43"/>
    <w:rsid w:val="002E09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2E09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E09FB"/>
    <w:rPr>
      <w:color w:val="808080"/>
    </w:rPr>
  </w:style>
  <w:style w:type="paragraph" w:styleId="TOCHeading">
    <w:name w:val="TOC Heading"/>
    <w:basedOn w:val="Heading1"/>
    <w:next w:val="Normal"/>
    <w:uiPriority w:val="39"/>
    <w:unhideWhenUsed/>
    <w:qFormat/>
    <w:rsid w:val="002E09FB"/>
    <w:pPr>
      <w:outlineLvl w:val="9"/>
    </w:pPr>
  </w:style>
  <w:style w:type="paragraph" w:styleId="TOC3">
    <w:name w:val="toc 3"/>
    <w:basedOn w:val="Normal"/>
    <w:next w:val="Normal"/>
    <w:autoRedefine/>
    <w:uiPriority w:val="39"/>
    <w:unhideWhenUsed/>
    <w:rsid w:val="002E09FB"/>
    <w:pPr>
      <w:spacing w:after="100"/>
      <w:ind w:left="440"/>
    </w:pPr>
  </w:style>
  <w:style w:type="paragraph" w:styleId="TOC2">
    <w:name w:val="toc 2"/>
    <w:basedOn w:val="Normal"/>
    <w:next w:val="Normal"/>
    <w:autoRedefine/>
    <w:uiPriority w:val="39"/>
    <w:unhideWhenUsed/>
    <w:rsid w:val="002E09FB"/>
    <w:pPr>
      <w:spacing w:after="100"/>
      <w:ind w:left="220"/>
    </w:pPr>
  </w:style>
  <w:style w:type="character" w:styleId="Hyperlink">
    <w:name w:val="Hyperlink"/>
    <w:basedOn w:val="DefaultParagraphFont"/>
    <w:uiPriority w:val="99"/>
    <w:unhideWhenUsed/>
    <w:rsid w:val="002E09FB"/>
    <w:rPr>
      <w:color w:val="0563C1" w:themeColor="hyperlink"/>
      <w:u w:val="single"/>
    </w:rPr>
  </w:style>
  <w:style w:type="paragraph" w:styleId="TOC1">
    <w:name w:val="toc 1"/>
    <w:basedOn w:val="Normal"/>
    <w:next w:val="Normal"/>
    <w:autoRedefine/>
    <w:uiPriority w:val="39"/>
    <w:unhideWhenUsed/>
    <w:rsid w:val="002E09FB"/>
    <w:pPr>
      <w:spacing w:after="100"/>
    </w:pPr>
  </w:style>
  <w:style w:type="paragraph" w:styleId="ListParagraph">
    <w:name w:val="List Paragraph"/>
    <w:basedOn w:val="Normal"/>
    <w:uiPriority w:val="34"/>
    <w:qFormat/>
    <w:rsid w:val="002E09FB"/>
    <w:pPr>
      <w:ind w:left="720"/>
      <w:contextualSpacing/>
    </w:pPr>
  </w:style>
  <w:style w:type="character" w:styleId="CommentReference">
    <w:name w:val="annotation reference"/>
    <w:basedOn w:val="DefaultParagraphFont"/>
    <w:uiPriority w:val="99"/>
    <w:semiHidden/>
    <w:unhideWhenUsed/>
    <w:rsid w:val="002E09FB"/>
    <w:rPr>
      <w:sz w:val="16"/>
      <w:szCs w:val="16"/>
    </w:rPr>
  </w:style>
  <w:style w:type="paragraph" w:styleId="CommentText">
    <w:name w:val="annotation text"/>
    <w:basedOn w:val="Normal"/>
    <w:link w:val="CommentTextChar"/>
    <w:uiPriority w:val="99"/>
    <w:semiHidden/>
    <w:unhideWhenUsed/>
    <w:rsid w:val="002E09FB"/>
    <w:pPr>
      <w:spacing w:line="240" w:lineRule="auto"/>
    </w:pPr>
    <w:rPr>
      <w:sz w:val="20"/>
      <w:szCs w:val="20"/>
    </w:rPr>
  </w:style>
  <w:style w:type="character" w:customStyle="1" w:styleId="CommentTextChar">
    <w:name w:val="Comment Text Char"/>
    <w:basedOn w:val="DefaultParagraphFont"/>
    <w:link w:val="CommentText"/>
    <w:uiPriority w:val="99"/>
    <w:semiHidden/>
    <w:rsid w:val="002E09FB"/>
    <w:rPr>
      <w:sz w:val="20"/>
      <w:szCs w:val="20"/>
    </w:rPr>
  </w:style>
  <w:style w:type="paragraph" w:styleId="BalloonText">
    <w:name w:val="Balloon Text"/>
    <w:basedOn w:val="Normal"/>
    <w:link w:val="BalloonTextChar"/>
    <w:uiPriority w:val="99"/>
    <w:semiHidden/>
    <w:unhideWhenUsed/>
    <w:rsid w:val="002E0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9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9FB"/>
    <w:rPr>
      <w:b/>
      <w:bCs/>
    </w:rPr>
  </w:style>
  <w:style w:type="character" w:customStyle="1" w:styleId="CommentSubjectChar">
    <w:name w:val="Comment Subject Char"/>
    <w:basedOn w:val="CommentTextChar"/>
    <w:link w:val="CommentSubject"/>
    <w:uiPriority w:val="99"/>
    <w:semiHidden/>
    <w:rsid w:val="002E09FB"/>
    <w:rPr>
      <w:b/>
      <w:bCs/>
      <w:sz w:val="20"/>
      <w:szCs w:val="20"/>
    </w:rPr>
  </w:style>
  <w:style w:type="paragraph" w:styleId="Caption">
    <w:name w:val="caption"/>
    <w:basedOn w:val="Normal"/>
    <w:next w:val="Normal"/>
    <w:uiPriority w:val="35"/>
    <w:unhideWhenUsed/>
    <w:qFormat/>
    <w:rsid w:val="002E09FB"/>
    <w:pPr>
      <w:spacing w:after="200" w:line="240" w:lineRule="auto"/>
    </w:pPr>
    <w:rPr>
      <w:i/>
      <w:iCs/>
      <w:color w:val="44546A" w:themeColor="text2"/>
      <w:sz w:val="18"/>
      <w:szCs w:val="18"/>
    </w:rPr>
  </w:style>
  <w:style w:type="table" w:customStyle="1" w:styleId="PlainTable21">
    <w:name w:val="Plain Table 21"/>
    <w:basedOn w:val="TableNormal"/>
    <w:uiPriority w:val="42"/>
    <w:rsid w:val="002E09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2E09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2E09FB"/>
    <w:pPr>
      <w:spacing w:after="0" w:line="240" w:lineRule="auto"/>
    </w:pPr>
  </w:style>
  <w:style w:type="paragraph" w:styleId="Revision">
    <w:name w:val="Revision"/>
    <w:hidden/>
    <w:uiPriority w:val="99"/>
    <w:semiHidden/>
    <w:rsid w:val="002E0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abaezaca\Dropbox%20(ASU)\MEGADAPT\SHV\model_description\funciones_de_valor_hypotetica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capasidad!$C$5:$C$25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capasidad!$M$5:$M$25</c:f>
              <c:numCache>
                <c:formatCode>General</c:formatCode>
                <c:ptCount val="21"/>
                <c:pt idx="0">
                  <c:v>0</c:v>
                </c:pt>
                <c:pt idx="1">
                  <c:v>7.0480522522330539E-3</c:v>
                </c:pt>
                <c:pt idx="2">
                  <c:v>1.53454807468161E-2</c:v>
                </c:pt>
                <c:pt idx="3">
                  <c:v>2.5113756741209536E-2</c:v>
                </c:pt>
                <c:pt idx="4">
                  <c:v>3.6613610697762117E-2</c:v>
                </c:pt>
                <c:pt idx="5">
                  <c:v>5.0151991584823655E-2</c:v>
                </c:pt>
                <c:pt idx="6">
                  <c:v>6.6090259821588199E-2</c:v>
                </c:pt>
                <c:pt idx="7">
                  <c:v>8.4853832549094302E-2</c:v>
                </c:pt>
                <c:pt idx="8">
                  <c:v>0.10694353867465019</c:v>
                </c:pt>
                <c:pt idx="9">
                  <c:v>0.13294898677346093</c:v>
                </c:pt>
                <c:pt idx="10">
                  <c:v>0.16356430265752059</c:v>
                </c:pt>
                <c:pt idx="11">
                  <c:v>0.19960665667193259</c:v>
                </c:pt>
                <c:pt idx="12">
                  <c:v>0.242038075240982</c:v>
                </c:pt>
                <c:pt idx="13">
                  <c:v>0.29199111884801005</c:v>
                </c:pt>
                <c:pt idx="14">
                  <c:v>0.3507991118342686</c:v>
                </c:pt>
                <c:pt idx="15">
                  <c:v>0.42003173089704871</c:v>
                </c:pt>
                <c:pt idx="16">
                  <c:v>0.50153690219939273</c:v>
                </c:pt>
                <c:pt idx="17">
                  <c:v>0.59749012539033508</c:v>
                </c:pt>
                <c:pt idx="18">
                  <c:v>0.71045254107040579</c:v>
                </c:pt>
                <c:pt idx="19">
                  <c:v>0.84343929161326536</c:v>
                </c:pt>
                <c:pt idx="20">
                  <c:v>1</c:v>
                </c:pt>
              </c:numCache>
            </c:numRef>
          </c:yVal>
          <c:smooth val="1"/>
          <c:extLst>
            <c:ext xmlns:c16="http://schemas.microsoft.com/office/drawing/2014/chart" uri="{C3380CC4-5D6E-409C-BE32-E72D297353CC}">
              <c16:uniqueId val="{00000000-52DB-454F-BECA-3DA84BEE2BB4}"/>
            </c:ext>
          </c:extLst>
        </c:ser>
        <c:dLbls>
          <c:showLegendKey val="0"/>
          <c:showVal val="0"/>
          <c:showCatName val="0"/>
          <c:showSerName val="0"/>
          <c:showPercent val="0"/>
          <c:showBubbleSize val="0"/>
        </c:dLbls>
        <c:axId val="444496600"/>
        <c:axId val="444494248"/>
      </c:scatterChart>
      <c:valAx>
        <c:axId val="444496600"/>
        <c:scaling>
          <c:orientation val="minMax"/>
        </c:scaling>
        <c:delete val="0"/>
        <c:axPos val="b"/>
        <c:title>
          <c:tx>
            <c:rich>
              <a:bodyPr/>
              <a:lstStyle/>
              <a:p>
                <a:pPr>
                  <a:defRPr b="1"/>
                </a:pPr>
                <a:r>
                  <a:rPr lang="es-MX" b="1"/>
                  <a:t>Capacity</a:t>
                </a:r>
                <a:r>
                  <a:rPr lang="es-MX" b="1" baseline="0"/>
                  <a:t> Index ()</a:t>
                </a:r>
                <a:endParaRPr lang="es-MX" b="1"/>
              </a:p>
            </c:rich>
          </c:tx>
          <c:layout>
            <c:manualLayout>
              <c:xMode val="edge"/>
              <c:yMode val="edge"/>
              <c:x val="0.45279118245267574"/>
              <c:y val="0.9156596141662666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4248"/>
        <c:crosses val="autoZero"/>
        <c:crossBetween val="midCat"/>
      </c:valAx>
      <c:valAx>
        <c:axId val="444494248"/>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6600"/>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escazes!$M$5:$M$25</c:f>
              <c:numCache>
                <c:formatCode>General</c:formatCode>
                <c:ptCount val="21"/>
                <c:pt idx="0">
                  <c:v>1</c:v>
                </c:pt>
                <c:pt idx="1">
                  <c:v>0.89875112098529497</c:v>
                </c:pt>
                <c:pt idx="2">
                  <c:v>0.80596413776187514</c:v>
                </c:pt>
                <c:pt idx="3">
                  <c:v>0.72093184565666812</c:v>
                </c:pt>
                <c:pt idx="4">
                  <c:v>0.6430061447719313</c:v>
                </c:pt>
                <c:pt idx="5">
                  <c:v>0.57159310029155586</c:v>
                </c:pt>
                <c:pt idx="6">
                  <c:v>0.50614841562327839</c:v>
                </c:pt>
                <c:pt idx="7">
                  <c:v>0.44617328387396288</c:v>
                </c:pt>
                <c:pt idx="8">
                  <c:v>0.39121058603868197</c:v>
                </c:pt>
                <c:pt idx="9">
                  <c:v>0.34084140692692694</c:v>
                </c:pt>
                <c:pt idx="10">
                  <c:v>0.29468184227099559</c:v>
                </c:pt>
                <c:pt idx="11">
                  <c:v>0.25238007268095192</c:v>
                </c:pt>
                <c:pt idx="12">
                  <c:v>0.21361368214439808</c:v>
                </c:pt>
                <c:pt idx="13">
                  <c:v>0.17808720063317721</c:v>
                </c:pt>
                <c:pt idx="14">
                  <c:v>0.14552985208722405</c:v>
                </c:pt>
                <c:pt idx="15">
                  <c:v>0.1156934906111268</c:v>
                </c:pt>
                <c:pt idx="16">
                  <c:v>8.8350709153482615E-2</c:v>
                </c:pt>
                <c:pt idx="17">
                  <c:v>6.3293106253764664E-2</c:v>
                </c:pt>
                <c:pt idx="18">
                  <c:v>4.0329697646173446E-2</c:v>
                </c:pt>
                <c:pt idx="19">
                  <c:v>1.9285460614021734E-2</c:v>
                </c:pt>
                <c:pt idx="20">
                  <c:v>0</c:v>
                </c:pt>
              </c:numCache>
            </c:numRef>
          </c:yVal>
          <c:smooth val="1"/>
          <c:extLst>
            <c:ext xmlns:c16="http://schemas.microsoft.com/office/drawing/2014/chart" uri="{C3380CC4-5D6E-409C-BE32-E72D297353CC}">
              <c16:uniqueId val="{00000000-EB61-4927-8456-549182B54A2F}"/>
            </c:ext>
          </c:extLst>
        </c:ser>
        <c:ser>
          <c:idx val="0"/>
          <c:order val="1"/>
          <c:spPr>
            <a:ln w="12700">
              <a:solidFill>
                <a:srgbClr val="00008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escazes!$X$5:$X$25</c:f>
              <c:numCache>
                <c:formatCode>General</c:formatCode>
                <c:ptCount val="21"/>
              </c:numCache>
            </c:numRef>
          </c:yVal>
          <c:smooth val="1"/>
          <c:extLst>
            <c:ext xmlns:c16="http://schemas.microsoft.com/office/drawing/2014/chart" uri="{C3380CC4-5D6E-409C-BE32-E72D297353CC}">
              <c16:uniqueId val="{00000001-EB61-4927-8456-549182B54A2F}"/>
            </c:ext>
          </c:extLst>
        </c:ser>
        <c:dLbls>
          <c:showLegendKey val="0"/>
          <c:showVal val="0"/>
          <c:showCatName val="0"/>
          <c:showSerName val="0"/>
          <c:showPercent val="0"/>
          <c:showBubbleSize val="0"/>
        </c:dLbls>
        <c:axId val="444495424"/>
        <c:axId val="444496208"/>
      </c:scatterChart>
      <c:valAx>
        <c:axId val="44449542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4496208"/>
        <c:crosses val="autoZero"/>
        <c:crossBetween val="midCat"/>
      </c:valAx>
      <c:valAx>
        <c:axId val="444496208"/>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4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encharcamientos!$C$5:$C$25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encharcamientos!$M$5:$M$25</c:f>
              <c:numCache>
                <c:formatCode>0.00</c:formatCode>
                <c:ptCount val="21"/>
                <c:pt idx="0">
                  <c:v>1</c:v>
                </c:pt>
                <c:pt idx="1">
                  <c:v>0.99506745104053296</c:v>
                </c:pt>
                <c:pt idx="2">
                  <c:v>0.98038488568463811</c:v>
                </c:pt>
                <c:pt idx="3">
                  <c:v>0.9562930851475131</c:v>
                </c:pt>
                <c:pt idx="4">
                  <c:v>0.92334538200374283</c:v>
                </c:pt>
                <c:pt idx="5">
                  <c:v>0.88228653525604039</c:v>
                </c:pt>
                <c:pt idx="6">
                  <c:v>0.8340247549059322</c:v>
                </c:pt>
                <c:pt idx="7">
                  <c:v>0.77959834286833085</c:v>
                </c:pt>
                <c:pt idx="8">
                  <c:v>0.72013865922068698</c:v>
                </c:pt>
                <c:pt idx="9">
                  <c:v>0.65683125278987187</c:v>
                </c:pt>
                <c:pt idx="10">
                  <c:v>0.59087700837095858</c:v>
                </c:pt>
                <c:pt idx="11">
                  <c:v>0.52345506385430352</c:v>
                </c:pt>
                <c:pt idx="12">
                  <c:v>0.45568905184705488</c:v>
                </c:pt>
                <c:pt idx="13">
                  <c:v>0.38861794139637756</c:v>
                </c:pt>
                <c:pt idx="14">
                  <c:v>0.32317242028863735</c:v>
                </c:pt>
                <c:pt idx="15">
                  <c:v>0.26015739370229607</c:v>
                </c:pt>
                <c:pt idx="16">
                  <c:v>0.20024080743000339</c:v>
                </c:pt>
                <c:pt idx="17">
                  <c:v>0.143948658086446</c:v>
                </c:pt>
                <c:pt idx="18">
                  <c:v>9.1665749436306898E-2</c:v>
                </c:pt>
                <c:pt idx="19">
                  <c:v>4.3641508789107726E-2</c:v>
                </c:pt>
                <c:pt idx="20">
                  <c:v>0</c:v>
                </c:pt>
              </c:numCache>
            </c:numRef>
          </c:yVal>
          <c:smooth val="1"/>
          <c:extLst>
            <c:ext xmlns:c16="http://schemas.microsoft.com/office/drawing/2014/chart" uri="{C3380CC4-5D6E-409C-BE32-E72D297353CC}">
              <c16:uniqueId val="{00000000-0BC2-48CF-9407-354709388AA9}"/>
            </c:ext>
          </c:extLst>
        </c:ser>
        <c:dLbls>
          <c:showLegendKey val="0"/>
          <c:showVal val="0"/>
          <c:showCatName val="0"/>
          <c:showSerName val="0"/>
          <c:showPercent val="0"/>
          <c:showBubbleSize val="0"/>
        </c:dLbls>
        <c:axId val="444495816"/>
        <c:axId val="435711448"/>
      </c:scatterChart>
      <c:valAx>
        <c:axId val="444495816"/>
        <c:scaling>
          <c:orientation val="minMax"/>
        </c:scaling>
        <c:delete val="0"/>
        <c:axPos val="b"/>
        <c:title>
          <c:tx>
            <c:rich>
              <a:bodyPr/>
              <a:lstStyle/>
              <a:p>
                <a:pPr>
                  <a:defRPr b="1"/>
                </a:pPr>
                <a:r>
                  <a:rPr lang="es-MX" b="1"/>
                  <a:t># of Pondings</a:t>
                </a:r>
              </a:p>
            </c:rich>
          </c:tx>
          <c:layout>
            <c:manualLayout>
              <c:xMode val="edge"/>
              <c:yMode val="edge"/>
              <c:x val="0.39921167157476123"/>
              <c:y val="0.9023899371069182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35711448"/>
        <c:crosses val="autoZero"/>
        <c:crossBetween val="midCat"/>
      </c:valAx>
      <c:valAx>
        <c:axId val="435711448"/>
        <c:scaling>
          <c:orientation val="minMax"/>
          <c:max val="1"/>
          <c:min val="0"/>
        </c:scaling>
        <c:delete val="0"/>
        <c:axPos val="l"/>
        <c:title>
          <c:tx>
            <c:rich>
              <a:bodyPr/>
              <a:lstStyle/>
              <a:p>
                <a:pPr>
                  <a:defRPr b="1"/>
                </a:pPr>
                <a:r>
                  <a:rPr lang="es-MX" b="1"/>
                  <a:t>Valor</a:t>
                </a:r>
              </a:p>
            </c:rich>
          </c:tx>
          <c:layout>
            <c:manualLayout>
              <c:xMode val="edge"/>
              <c:yMode val="edge"/>
              <c:x val="1.712145532370252E-2"/>
              <c:y val="0.36772969416558782"/>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449581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salud!$C$5:$C$25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salud!$M$5:$M$25</c:f>
              <c:numCache>
                <c:formatCode>General</c:formatCode>
                <c:ptCount val="21"/>
                <c:pt idx="0">
                  <c:v>1</c:v>
                </c:pt>
                <c:pt idx="1">
                  <c:v>0.99932414657153312</c:v>
                </c:pt>
                <c:pt idx="2">
                  <c:v>0.99839760871651373</c:v>
                </c:pt>
                <c:pt idx="3">
                  <c:v>0.99712740372734809</c:v>
                </c:pt>
                <c:pt idx="4">
                  <c:v>0.99538606018076603</c:v>
                </c:pt>
                <c:pt idx="5">
                  <c:v>0.99299882554298191</c:v>
                </c:pt>
                <c:pt idx="6">
                  <c:v>0.98972612887894795</c:v>
                </c:pt>
                <c:pt idx="7">
                  <c:v>0.98523953871086889</c:v>
                </c:pt>
                <c:pt idx="8">
                  <c:v>0.97908880327683978</c:v>
                </c:pt>
                <c:pt idx="9">
                  <c:v>0.97065666551471841</c:v>
                </c:pt>
                <c:pt idx="10">
                  <c:v>0.95909691822888576</c:v>
                </c:pt>
                <c:pt idx="11">
                  <c:v>0.94324948296607558</c:v>
                </c:pt>
                <c:pt idx="12">
                  <c:v>0.92152399034075227</c:v>
                </c:pt>
                <c:pt idx="13">
                  <c:v>0.89174017851344434</c:v>
                </c:pt>
                <c:pt idx="14">
                  <c:v>0.8509090930111296</c:v>
                </c:pt>
                <c:pt idx="15">
                  <c:v>0.79493313019737233</c:v>
                </c:pt>
                <c:pt idx="16">
                  <c:v>0.71819482225428533</c:v>
                </c:pt>
                <c:pt idx="17">
                  <c:v>0.61299309619267062</c:v>
                </c:pt>
                <c:pt idx="18">
                  <c:v>0.46877043266259638</c:v>
                </c:pt>
                <c:pt idx="19">
                  <c:v>0.27105336608588659</c:v>
                </c:pt>
                <c:pt idx="20">
                  <c:v>0</c:v>
                </c:pt>
              </c:numCache>
            </c:numRef>
          </c:yVal>
          <c:smooth val="1"/>
          <c:extLst>
            <c:ext xmlns:c16="http://schemas.microsoft.com/office/drawing/2014/chart" uri="{C3380CC4-5D6E-409C-BE32-E72D297353CC}">
              <c16:uniqueId val="{00000000-D65A-4A2D-AA68-D513792BF89E}"/>
            </c:ext>
          </c:extLst>
        </c:ser>
        <c:dLbls>
          <c:showLegendKey val="0"/>
          <c:showVal val="0"/>
          <c:showCatName val="0"/>
          <c:showSerName val="0"/>
          <c:showPercent val="0"/>
          <c:showBubbleSize val="0"/>
        </c:dLbls>
        <c:axId val="441592704"/>
        <c:axId val="441591920"/>
      </c:scatterChart>
      <c:valAx>
        <c:axId val="441592704"/>
        <c:scaling>
          <c:orientation val="minMax"/>
        </c:scaling>
        <c:delete val="0"/>
        <c:axPos val="b"/>
        <c:title>
          <c:tx>
            <c:rich>
              <a:bodyPr/>
              <a:lstStyle/>
              <a:p>
                <a:pPr>
                  <a:defRPr b="1"/>
                </a:pPr>
                <a:r>
                  <a:rPr lang="es-MX" b="1"/>
                  <a:t>Health</a:t>
                </a:r>
                <a:r>
                  <a:rPr lang="es-MX" b="1" baseline="0"/>
                  <a:t> (Incidence of GID)</a:t>
                </a:r>
                <a:endParaRPr lang="es-MX" b="1"/>
              </a:p>
            </c:rich>
          </c:tx>
          <c:layout>
            <c:manualLayout>
              <c:xMode val="edge"/>
              <c:yMode val="edge"/>
              <c:x val="0.45013164823591351"/>
              <c:y val="0.913593225914880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1591920"/>
        <c:crosses val="autoZero"/>
        <c:crossBetween val="midCat"/>
      </c:valAx>
      <c:valAx>
        <c:axId val="441591920"/>
        <c:scaling>
          <c:orientation val="minMax"/>
          <c:max val="1"/>
          <c:min val="0"/>
        </c:scaling>
        <c:delete val="0"/>
        <c:axPos val="l"/>
        <c:title>
          <c:tx>
            <c:rich>
              <a:bodyPr/>
              <a:lstStyle/>
              <a:p>
                <a:pPr>
                  <a:defRPr b="1"/>
                </a:pPr>
                <a:r>
                  <a:rPr lang="es-MX" b="1"/>
                  <a:t>Valor</a:t>
                </a:r>
              </a:p>
            </c:rich>
          </c:tx>
          <c:layout>
            <c:manualLayout>
              <c:xMode val="edge"/>
              <c:yMode val="edge"/>
              <c:x val="1.2629440277311306E-2"/>
              <c:y val="0.36640934869517333"/>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159270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falta!$C$5:$C$25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falta!$M$5:$M$25</c:f>
              <c:numCache>
                <c:formatCode>General</c:formatCode>
                <c:ptCount val="21"/>
                <c:pt idx="0">
                  <c:v>0</c:v>
                </c:pt>
                <c:pt idx="1">
                  <c:v>4.460755869285103E-15</c:v>
                </c:pt>
                <c:pt idx="2">
                  <c:v>2.9593303611095387E-14</c:v>
                </c:pt>
                <c:pt idx="3">
                  <c:v>1.7119373513069854E-13</c:v>
                </c:pt>
                <c:pt idx="4">
                  <c:v>9.6899117343742812E-13</c:v>
                </c:pt>
                <c:pt idx="5">
                  <c:v>5.4638980444003518E-12</c:v>
                </c:pt>
                <c:pt idx="6">
                  <c:v>3.0788857499662278E-11</c:v>
                </c:pt>
                <c:pt idx="7">
                  <c:v>1.7347336461454843E-10</c:v>
                </c:pt>
                <c:pt idx="8">
                  <c:v>9.7737864259073374E-10</c:v>
                </c:pt>
                <c:pt idx="9">
                  <c:v>5.5066979711259039E-9</c:v>
                </c:pt>
                <c:pt idx="10">
                  <c:v>3.102554222039828E-8</c:v>
                </c:pt>
                <c:pt idx="11">
                  <c:v>1.7480242448081363E-7</c:v>
                </c:pt>
                <c:pt idx="12">
                  <c:v>9.8486230300037654E-7</c:v>
                </c:pt>
                <c:pt idx="13">
                  <c:v>5.548857546676584E-6</c:v>
                </c:pt>
                <c:pt idx="14">
                  <c:v>3.1263070948243146E-5</c:v>
                </c:pt>
                <c:pt idx="15">
                  <c:v>1.7614069144477592E-4</c:v>
                </c:pt>
                <c:pt idx="16">
                  <c:v>9.9240228937717335E-4</c:v>
                </c:pt>
                <c:pt idx="17">
                  <c:v>5.5913389227621501E-3</c:v>
                </c:pt>
                <c:pt idx="18">
                  <c:v>3.150241719897183E-2</c:v>
                </c:pt>
                <c:pt idx="19">
                  <c:v>0.17748920304900939</c:v>
                </c:pt>
                <c:pt idx="20">
                  <c:v>1</c:v>
                </c:pt>
              </c:numCache>
            </c:numRef>
          </c:yVal>
          <c:smooth val="1"/>
          <c:extLst>
            <c:ext xmlns:c16="http://schemas.microsoft.com/office/drawing/2014/chart" uri="{C3380CC4-5D6E-409C-BE32-E72D297353CC}">
              <c16:uniqueId val="{00000000-A210-47F2-80D3-2343D74DC295}"/>
            </c:ext>
          </c:extLst>
        </c:ser>
        <c:ser>
          <c:idx val="0"/>
          <c:order val="1"/>
          <c:spPr>
            <a:ln w="12700">
              <a:solidFill>
                <a:srgbClr val="000080"/>
              </a:solidFill>
              <a:prstDash val="solid"/>
            </a:ln>
          </c:spPr>
          <c:marker>
            <c:symbol val="none"/>
          </c:marker>
          <c:xVal>
            <c:numRef>
              <c:f>falta!$D$5:$D$25</c:f>
              <c:numCache>
                <c:formatCode>General</c:formatCode>
                <c:ptCount val="21"/>
              </c:numCache>
            </c:numRef>
          </c:xVal>
          <c:smooth val="1"/>
          <c:extLst>
            <c:ext xmlns:c16="http://schemas.microsoft.com/office/drawing/2014/chart" uri="{C3380CC4-5D6E-409C-BE32-E72D297353CC}">
              <c16:uniqueId val="{00000001-A210-47F2-80D3-2343D74DC295}"/>
            </c:ext>
          </c:extLst>
        </c:ser>
        <c:dLbls>
          <c:showLegendKey val="0"/>
          <c:showVal val="0"/>
          <c:showCatName val="0"/>
          <c:showSerName val="0"/>
          <c:showPercent val="0"/>
          <c:showBubbleSize val="0"/>
        </c:dLbls>
        <c:axId val="435714976"/>
        <c:axId val="445241680"/>
      </c:scatterChart>
      <c:valAx>
        <c:axId val="435714976"/>
        <c:scaling>
          <c:orientation val="minMax"/>
        </c:scaling>
        <c:delete val="0"/>
        <c:axPos val="b"/>
        <c:title>
          <c:tx>
            <c:rich>
              <a:bodyPr/>
              <a:lstStyle/>
              <a:p>
                <a:pPr algn="ctr">
                  <a:defRPr b="1"/>
                </a:pPr>
                <a:r>
                  <a:rPr lang="es-MX" b="1"/>
                  <a:t>Lack of infrastructure (% houses</a:t>
                </a:r>
                <a:r>
                  <a:rPr lang="es-MX" b="1" baseline="0"/>
                  <a:t> connected</a:t>
                </a:r>
                <a:r>
                  <a:rPr lang="es-MX" b="1"/>
                  <a:t>)</a:t>
                </a:r>
              </a:p>
            </c:rich>
          </c:tx>
          <c:layout>
            <c:manualLayout>
              <c:xMode val="edge"/>
              <c:yMode val="edge"/>
              <c:x val="0.26031090968934345"/>
              <c:y val="0.915659518624001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1680"/>
        <c:crosses val="autoZero"/>
        <c:crossBetween val="midCat"/>
      </c:valAx>
      <c:valAx>
        <c:axId val="445241680"/>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3571497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'social pressure'!$C$5:$C$25</c:f>
              <c:numCache>
                <c:formatCode>General</c:formatCode>
                <c:ptCount val="21"/>
                <c:pt idx="0">
                  <c:v>0</c:v>
                </c:pt>
                <c:pt idx="1">
                  <c:v>2.7</c:v>
                </c:pt>
                <c:pt idx="2">
                  <c:v>5.4</c:v>
                </c:pt>
                <c:pt idx="3">
                  <c:v>8.1000000000000014</c:v>
                </c:pt>
                <c:pt idx="4">
                  <c:v>10.8</c:v>
                </c:pt>
                <c:pt idx="5">
                  <c:v>13.5</c:v>
                </c:pt>
                <c:pt idx="6">
                  <c:v>16.2</c:v>
                </c:pt>
                <c:pt idx="7">
                  <c:v>18.899999999999999</c:v>
                </c:pt>
                <c:pt idx="8">
                  <c:v>21.599999999999998</c:v>
                </c:pt>
                <c:pt idx="9">
                  <c:v>24.299999999999997</c:v>
                </c:pt>
                <c:pt idx="10">
                  <c:v>26.999999999999996</c:v>
                </c:pt>
                <c:pt idx="11">
                  <c:v>29.699999999999996</c:v>
                </c:pt>
                <c:pt idx="12">
                  <c:v>32.4</c:v>
                </c:pt>
                <c:pt idx="13">
                  <c:v>35.1</c:v>
                </c:pt>
                <c:pt idx="14">
                  <c:v>37.800000000000004</c:v>
                </c:pt>
                <c:pt idx="15">
                  <c:v>40.500000000000007</c:v>
                </c:pt>
                <c:pt idx="16">
                  <c:v>43.20000000000001</c:v>
                </c:pt>
                <c:pt idx="17">
                  <c:v>45.900000000000013</c:v>
                </c:pt>
                <c:pt idx="18">
                  <c:v>48.600000000000016</c:v>
                </c:pt>
                <c:pt idx="19">
                  <c:v>51.300000000000018</c:v>
                </c:pt>
                <c:pt idx="20">
                  <c:v>54</c:v>
                </c:pt>
              </c:numCache>
            </c:numRef>
          </c:xVal>
          <c:yVal>
            <c:numRef>
              <c:f>'social pressure'!$M$5:$M$25</c:f>
              <c:numCache>
                <c:formatCode>0.0000000000</c:formatCode>
                <c:ptCount val="21"/>
                <c:pt idx="0">
                  <c:v>1</c:v>
                </c:pt>
                <c:pt idx="1">
                  <c:v>0.99929292029750427</c:v>
                </c:pt>
                <c:pt idx="2">
                  <c:v>0.99795487823626394</c:v>
                </c:pt>
                <c:pt idx="3">
                  <c:v>0.99552033585308353</c:v>
                </c:pt>
                <c:pt idx="4">
                  <c:v>0.99126276802457447</c:v>
                </c:pt>
                <c:pt idx="5">
                  <c:v>0.98410916457415198</c:v>
                </c:pt>
                <c:pt idx="6">
                  <c:v>0.97256682119749005</c:v>
                </c:pt>
                <c:pt idx="7">
                  <c:v>0.95469330634270622</c:v>
                </c:pt>
                <c:pt idx="8">
                  <c:v>0.92815006889894103</c:v>
                </c:pt>
                <c:pt idx="9">
                  <c:v>0.89038181076034695</c:v>
                </c:pt>
                <c:pt idx="10">
                  <c:v>0.83895124750572891</c:v>
                </c:pt>
                <c:pt idx="11">
                  <c:v>0.77202813176175888</c:v>
                </c:pt>
                <c:pt idx="12">
                  <c:v>0.68898383715257783</c:v>
                </c:pt>
                <c:pt idx="13">
                  <c:v>0.59098785150435496</c:v>
                </c:pt>
                <c:pt idx="14">
                  <c:v>0.48145752150768262</c:v>
                </c:pt>
                <c:pt idx="15">
                  <c:v>0.36619830551865939</c:v>
                </c:pt>
                <c:pt idx="16">
                  <c:v>0.25310539777601049</c:v>
                </c:pt>
                <c:pt idx="17">
                  <c:v>0.15138248892399908</c:v>
                </c:pt>
                <c:pt idx="18">
                  <c:v>7.0354209894085473E-2</c:v>
                </c:pt>
                <c:pt idx="19">
                  <c:v>1.8072260225021175E-2</c:v>
                </c:pt>
                <c:pt idx="20">
                  <c:v>0</c:v>
                </c:pt>
              </c:numCache>
            </c:numRef>
          </c:yVal>
          <c:smooth val="1"/>
          <c:extLst>
            <c:ext xmlns:c16="http://schemas.microsoft.com/office/drawing/2014/chart" uri="{C3380CC4-5D6E-409C-BE32-E72D297353CC}">
              <c16:uniqueId val="{00000000-A6EE-4D03-994E-675A5E27F4C3}"/>
            </c:ext>
          </c:extLst>
        </c:ser>
        <c:dLbls>
          <c:showLegendKey val="0"/>
          <c:showVal val="0"/>
          <c:showCatName val="0"/>
          <c:showSerName val="0"/>
          <c:showPercent val="0"/>
          <c:showBubbleSize val="0"/>
        </c:dLbls>
        <c:axId val="445240112"/>
        <c:axId val="445239720"/>
      </c:scatterChart>
      <c:valAx>
        <c:axId val="445240112"/>
        <c:scaling>
          <c:orientation val="minMax"/>
        </c:scaling>
        <c:delete val="0"/>
        <c:axPos val="b"/>
        <c:title>
          <c:tx>
            <c:rich>
              <a:bodyPr/>
              <a:lstStyle/>
              <a:p>
                <a:pPr>
                  <a:defRPr b="1"/>
                </a:pPr>
                <a:r>
                  <a:rPr lang="es-MX" b="1"/>
                  <a:t>Social</a:t>
                </a:r>
                <a:r>
                  <a:rPr lang="es-MX" b="1" baseline="0"/>
                  <a:t> pressure </a:t>
                </a:r>
                <a:r>
                  <a:rPr lang="es-MX" b="1"/>
                  <a:t>("protests-per-year")</a:t>
                </a:r>
              </a:p>
            </c:rich>
          </c:tx>
          <c:layout>
            <c:manualLayout>
              <c:xMode val="edge"/>
              <c:yMode val="edge"/>
              <c:x val="0.25455458517123564"/>
              <c:y val="0.9134825176825648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39720"/>
        <c:crosses val="autoZero"/>
        <c:crossBetween val="midCat"/>
      </c:valAx>
      <c:valAx>
        <c:axId val="445239720"/>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011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Edad!$C$5:$C$25</c:f>
              <c:numCache>
                <c:formatCode>General</c:formatCode>
                <c:ptCount val="21"/>
                <c:pt idx="0">
                  <c:v>0</c:v>
                </c:pt>
                <c:pt idx="1">
                  <c:v>6</c:v>
                </c:pt>
                <c:pt idx="2">
                  <c:v>12</c:v>
                </c:pt>
                <c:pt idx="3">
                  <c:v>18</c:v>
                </c:pt>
                <c:pt idx="4">
                  <c:v>24</c:v>
                </c:pt>
                <c:pt idx="5">
                  <c:v>30</c:v>
                </c:pt>
                <c:pt idx="6">
                  <c:v>36</c:v>
                </c:pt>
                <c:pt idx="7">
                  <c:v>42</c:v>
                </c:pt>
                <c:pt idx="8">
                  <c:v>48</c:v>
                </c:pt>
                <c:pt idx="9">
                  <c:v>54</c:v>
                </c:pt>
                <c:pt idx="10">
                  <c:v>60</c:v>
                </c:pt>
                <c:pt idx="11">
                  <c:v>66</c:v>
                </c:pt>
                <c:pt idx="12">
                  <c:v>72</c:v>
                </c:pt>
                <c:pt idx="13">
                  <c:v>78</c:v>
                </c:pt>
                <c:pt idx="14">
                  <c:v>84</c:v>
                </c:pt>
                <c:pt idx="15">
                  <c:v>90</c:v>
                </c:pt>
                <c:pt idx="16">
                  <c:v>96</c:v>
                </c:pt>
                <c:pt idx="17">
                  <c:v>102</c:v>
                </c:pt>
                <c:pt idx="18">
                  <c:v>108</c:v>
                </c:pt>
                <c:pt idx="19">
                  <c:v>114</c:v>
                </c:pt>
                <c:pt idx="20">
                  <c:v>120</c:v>
                </c:pt>
              </c:numCache>
            </c:numRef>
          </c:xVal>
          <c:yVal>
            <c:numRef>
              <c:f>Edad!$M$5:$M$25</c:f>
              <c:numCache>
                <c:formatCode>0.0000000000</c:formatCode>
                <c:ptCount val="21"/>
                <c:pt idx="0">
                  <c:v>1</c:v>
                </c:pt>
                <c:pt idx="1">
                  <c:v>0.97109969246407768</c:v>
                </c:pt>
                <c:pt idx="2">
                  <c:v>0.93715412567584699</c:v>
                </c:pt>
                <c:pt idx="3">
                  <c:v>0.8978433488928409</c:v>
                </c:pt>
                <c:pt idx="4">
                  <c:v>0.85297516195887424</c:v>
                </c:pt>
                <c:pt idx="5">
                  <c:v>0.80252227364163742</c:v>
                </c:pt>
                <c:pt idx="6">
                  <c:v>0.74665713801578393</c:v>
                </c:pt>
                <c:pt idx="7">
                  <c:v>0.68578144688626108</c:v>
                </c:pt>
                <c:pt idx="8">
                  <c:v>0.62054711891477521</c:v>
                </c:pt>
                <c:pt idx="9">
                  <c:v>0.55186576837564938</c:v>
                </c:pt>
                <c:pt idx="10">
                  <c:v>0.48090409384943333</c:v>
                </c:pt>
                <c:pt idx="11">
                  <c:v>0.40906340368720029</c:v>
                </c:pt>
                <c:pt idx="12">
                  <c:v>0.33794255742837276</c:v>
                </c:pt>
                <c:pt idx="13">
                  <c:v>0.26928487839845172</c:v>
                </c:pt>
                <c:pt idx="14">
                  <c:v>0.20491097530304547</c:v>
                </c:pt>
                <c:pt idx="15">
                  <c:v>0.14664076685257543</c:v>
                </c:pt>
                <c:pt idx="16">
                  <c:v>9.620918860328409E-2</c:v>
                </c:pt>
                <c:pt idx="17">
                  <c:v>5.5180936007041659E-2</c:v>
                </c:pt>
                <c:pt idx="18">
                  <c:v>2.4870046413459912E-2</c:v>
                </c:pt>
                <c:pt idx="19">
                  <c:v>6.2700698042340575E-3</c:v>
                </c:pt>
                <c:pt idx="20">
                  <c:v>0</c:v>
                </c:pt>
              </c:numCache>
            </c:numRef>
          </c:yVal>
          <c:smooth val="1"/>
          <c:extLst>
            <c:ext xmlns:c16="http://schemas.microsoft.com/office/drawing/2014/chart" uri="{C3380CC4-5D6E-409C-BE32-E72D297353CC}">
              <c16:uniqueId val="{00000000-DACB-4C80-B7F7-72597CDCFB6C}"/>
            </c:ext>
          </c:extLst>
        </c:ser>
        <c:dLbls>
          <c:showLegendKey val="0"/>
          <c:showVal val="0"/>
          <c:showCatName val="0"/>
          <c:showSerName val="0"/>
          <c:showPercent val="0"/>
          <c:showBubbleSize val="0"/>
        </c:dLbls>
        <c:axId val="445242856"/>
        <c:axId val="445242072"/>
      </c:scatterChart>
      <c:valAx>
        <c:axId val="445242856"/>
        <c:scaling>
          <c:orientation val="minMax"/>
        </c:scaling>
        <c:delete val="0"/>
        <c:axPos val="b"/>
        <c:title>
          <c:tx>
            <c:rich>
              <a:bodyPr/>
              <a:lstStyle/>
              <a:p>
                <a:pPr>
                  <a:defRPr b="1"/>
                </a:pPr>
                <a:r>
                  <a:rPr lang="es-MX" b="1"/>
                  <a:t>Average age</a:t>
                </a:r>
                <a:r>
                  <a:rPr lang="es-MX" b="1" baseline="0"/>
                  <a:t> of </a:t>
                </a:r>
                <a:r>
                  <a:rPr lang="es-MX" b="1"/>
                  <a:t>infrastructure systems (Years)</a:t>
                </a:r>
              </a:p>
            </c:rich>
          </c:tx>
          <c:layout>
            <c:manualLayout>
              <c:xMode val="edge"/>
              <c:yMode val="edge"/>
              <c:x val="0.23596567283022207"/>
              <c:y val="0.9098494568287955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5242072"/>
        <c:crosses val="autoZero"/>
        <c:crossBetween val="midCat"/>
      </c:valAx>
      <c:valAx>
        <c:axId val="445242072"/>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5242856"/>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Basura!$C$5:$C$25</c:f>
              <c:numCache>
                <c:formatCode>General</c:formatCode>
                <c:ptCount val="21"/>
                <c:pt idx="0">
                  <c:v>0</c:v>
                </c:pt>
                <c:pt idx="1">
                  <c:v>627.29999999999995</c:v>
                </c:pt>
                <c:pt idx="2">
                  <c:v>1254.5999999999999</c:v>
                </c:pt>
                <c:pt idx="3">
                  <c:v>1881.8999999999999</c:v>
                </c:pt>
                <c:pt idx="4">
                  <c:v>2509.1999999999998</c:v>
                </c:pt>
                <c:pt idx="5">
                  <c:v>3136.5</c:v>
                </c:pt>
                <c:pt idx="6">
                  <c:v>3763.8</c:v>
                </c:pt>
                <c:pt idx="7">
                  <c:v>4391.1000000000004</c:v>
                </c:pt>
                <c:pt idx="8">
                  <c:v>5018.4000000000005</c:v>
                </c:pt>
                <c:pt idx="9">
                  <c:v>5645.7000000000007</c:v>
                </c:pt>
                <c:pt idx="10">
                  <c:v>6273.0000000000009</c:v>
                </c:pt>
                <c:pt idx="11">
                  <c:v>6900.3000000000011</c:v>
                </c:pt>
                <c:pt idx="12">
                  <c:v>7527.6000000000013</c:v>
                </c:pt>
                <c:pt idx="13">
                  <c:v>8154.9000000000015</c:v>
                </c:pt>
                <c:pt idx="14">
                  <c:v>8782.2000000000007</c:v>
                </c:pt>
                <c:pt idx="15">
                  <c:v>9409.5</c:v>
                </c:pt>
                <c:pt idx="16">
                  <c:v>10036.799999999999</c:v>
                </c:pt>
                <c:pt idx="17">
                  <c:v>10664.099999999999</c:v>
                </c:pt>
                <c:pt idx="18">
                  <c:v>11291.399999999998</c:v>
                </c:pt>
                <c:pt idx="19">
                  <c:v>11918.699999999997</c:v>
                </c:pt>
                <c:pt idx="20">
                  <c:v>12546</c:v>
                </c:pt>
              </c:numCache>
            </c:numRef>
          </c:xVal>
          <c:yVal>
            <c:numRef>
              <c:f>Basura!$M$5:$M$25</c:f>
              <c:numCache>
                <c:formatCode>0.0000000000</c:formatCode>
                <c:ptCount val="21"/>
                <c:pt idx="0">
                  <c:v>1</c:v>
                </c:pt>
                <c:pt idx="1">
                  <c:v>0.9984346218238368</c:v>
                </c:pt>
                <c:pt idx="2">
                  <c:v>0.99573785948092153</c:v>
                </c:pt>
                <c:pt idx="3">
                  <c:v>0.99124876474818713</c:v>
                </c:pt>
                <c:pt idx="4">
                  <c:v>0.98403074618283737</c:v>
                </c:pt>
                <c:pt idx="5">
                  <c:v>0.97282495073219133</c:v>
                </c:pt>
                <c:pt idx="6">
                  <c:v>0.95603615267000441</c:v>
                </c:pt>
                <c:pt idx="7">
                  <c:v>0.93177621372818753</c:v>
                </c:pt>
                <c:pt idx="8">
                  <c:v>0.89799042593263934</c:v>
                </c:pt>
                <c:pt idx="9">
                  <c:v>0.852684626812244</c:v>
                </c:pt>
                <c:pt idx="10">
                  <c:v>0.79425393485489526</c:v>
                </c:pt>
                <c:pt idx="11">
                  <c:v>0.72188786152674578</c:v>
                </c:pt>
                <c:pt idx="12">
                  <c:v>0.63599562081668803</c:v>
                </c:pt>
                <c:pt idx="13">
                  <c:v>0.53856760945887916</c:v>
                </c:pt>
                <c:pt idx="14">
                  <c:v>0.43337445195661706</c:v>
                </c:pt>
                <c:pt idx="15">
                  <c:v>0.32591307510875889</c:v>
                </c:pt>
                <c:pt idx="16">
                  <c:v>0.22304470953480471</c:v>
                </c:pt>
                <c:pt idx="17">
                  <c:v>0.13232930521170405</c:v>
                </c:pt>
                <c:pt idx="18">
                  <c:v>6.1132460795152888E-2</c:v>
                </c:pt>
                <c:pt idx="19">
                  <c:v>1.5645825084697695E-2</c:v>
                </c:pt>
                <c:pt idx="20">
                  <c:v>0</c:v>
                </c:pt>
              </c:numCache>
            </c:numRef>
          </c:yVal>
          <c:smooth val="1"/>
          <c:extLst>
            <c:ext xmlns:c16="http://schemas.microsoft.com/office/drawing/2014/chart" uri="{C3380CC4-5D6E-409C-BE32-E72D297353CC}">
              <c16:uniqueId val="{00000000-B0AF-493B-9923-9F65875FDA62}"/>
            </c:ext>
          </c:extLst>
        </c:ser>
        <c:dLbls>
          <c:showLegendKey val="0"/>
          <c:showVal val="0"/>
          <c:showCatName val="0"/>
          <c:showSerName val="0"/>
          <c:showPercent val="0"/>
          <c:showBubbleSize val="0"/>
        </c:dLbls>
        <c:axId val="442695224"/>
        <c:axId val="442696008"/>
      </c:scatterChart>
      <c:valAx>
        <c:axId val="442695224"/>
        <c:scaling>
          <c:orientation val="minMax"/>
        </c:scaling>
        <c:delete val="0"/>
        <c:axPos val="b"/>
        <c:title>
          <c:tx>
            <c:rich>
              <a:bodyPr/>
              <a:lstStyle/>
              <a:p>
                <a:pPr>
                  <a:defRPr b="1"/>
                </a:pPr>
                <a:r>
                  <a:rPr lang="es-MX" b="1"/>
                  <a:t>Garbage produced ("Population</a:t>
                </a:r>
                <a:r>
                  <a:rPr lang="es-MX" b="1" baseline="0"/>
                  <a:t> / income-index</a:t>
                </a:r>
                <a:r>
                  <a:rPr lang="es-MX" b="1"/>
                  <a:t>")</a:t>
                </a:r>
              </a:p>
            </c:rich>
          </c:tx>
          <c:layout>
            <c:manualLayout>
              <c:xMode val="edge"/>
              <c:yMode val="edge"/>
              <c:x val="0.2074705830310537"/>
              <c:y val="0.9062163959750262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442696008"/>
        <c:crosses val="autoZero"/>
        <c:crossBetween val="midCat"/>
      </c:valAx>
      <c:valAx>
        <c:axId val="442696008"/>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522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1"/>
          <c:order val="0"/>
          <c:spPr>
            <a:ln w="38100">
              <a:solidFill>
                <a:srgbClr val="80000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residentes'!$M$5:$M$25</c:f>
              <c:numCache>
                <c:formatCode>General</c:formatCode>
                <c:ptCount val="21"/>
                <c:pt idx="0">
                  <c:v>1</c:v>
                </c:pt>
                <c:pt idx="1">
                  <c:v>0.84454475749019031</c:v>
                </c:pt>
                <c:pt idx="2">
                  <c:v>0.71230440307120024</c:v>
                </c:pt>
                <c:pt idx="3">
                  <c:v>0.59981214449872677</c:v>
                </c:pt>
                <c:pt idx="4">
                  <c:v>0.50411890248999969</c:v>
                </c:pt>
                <c:pt idx="5">
                  <c:v>0.42271599812710731</c:v>
                </c:pt>
                <c:pt idx="6">
                  <c:v>0.35346938572672632</c:v>
                </c:pt>
                <c:pt idx="7">
                  <c:v>0.29456370703555607</c:v>
                </c:pt>
                <c:pt idx="8">
                  <c:v>0.24445470008508305</c:v>
                </c:pt>
                <c:pt idx="9">
                  <c:v>0.20182871506372857</c:v>
                </c:pt>
                <c:pt idx="10">
                  <c:v>0.16556827588087641</c:v>
                </c:pt>
                <c:pt idx="11">
                  <c:v>0.13472278459018538</c:v>
                </c:pt>
                <c:pt idx="12">
                  <c:v>0.10848360066397299</c:v>
                </c:pt>
                <c:pt idx="13">
                  <c:v>8.6162841800865267E-2</c:v>
                </c:pt>
                <c:pt idx="14">
                  <c:v>6.7175350512033938E-2</c:v>
                </c:pt>
                <c:pt idx="15">
                  <c:v>5.1023353724893729E-2</c:v>
                </c:pt>
                <c:pt idx="16">
                  <c:v>3.7283413242854217E-2</c:v>
                </c:pt>
                <c:pt idx="17">
                  <c:v>2.5595324956439021E-2</c:v>
                </c:pt>
                <c:pt idx="18">
                  <c:v>1.5652675789245719E-2</c:v>
                </c:pt>
                <c:pt idx="19">
                  <c:v>7.1948108211321842E-3</c:v>
                </c:pt>
                <c:pt idx="20">
                  <c:v>0</c:v>
                </c:pt>
              </c:numCache>
            </c:numRef>
          </c:yVal>
          <c:smooth val="1"/>
          <c:extLst>
            <c:ext xmlns:c16="http://schemas.microsoft.com/office/drawing/2014/chart" uri="{C3380CC4-5D6E-409C-BE32-E72D297353CC}">
              <c16:uniqueId val="{00000000-B681-4078-9F29-D30A0E00B4BB}"/>
            </c:ext>
          </c:extLst>
        </c:ser>
        <c:ser>
          <c:idx val="0"/>
          <c:order val="1"/>
          <c:spPr>
            <a:ln w="12700">
              <a:solidFill>
                <a:srgbClr val="00008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residentes'!$X$5:$X$25</c:f>
              <c:numCache>
                <c:formatCode>General</c:formatCode>
                <c:ptCount val="21"/>
              </c:numCache>
            </c:numRef>
          </c:yVal>
          <c:smooth val="1"/>
          <c:extLst>
            <c:ext xmlns:c16="http://schemas.microsoft.com/office/drawing/2014/chart" uri="{C3380CC4-5D6E-409C-BE32-E72D297353CC}">
              <c16:uniqueId val="{00000001-B681-4078-9F29-D30A0E00B4BB}"/>
            </c:ext>
          </c:extLst>
        </c:ser>
        <c:dLbls>
          <c:showLegendKey val="0"/>
          <c:showVal val="0"/>
          <c:showCatName val="0"/>
          <c:showSerName val="0"/>
          <c:showPercent val="0"/>
          <c:showBubbleSize val="0"/>
        </c:dLbls>
        <c:axId val="442693264"/>
        <c:axId val="138841224"/>
      </c:scatterChart>
      <c:valAx>
        <c:axId val="44269326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138841224"/>
        <c:crosses val="autoZero"/>
        <c:crossBetween val="midCat"/>
      </c:valAx>
      <c:valAx>
        <c:axId val="138841224"/>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44269326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15</Pages>
  <Words>2951</Words>
  <Characters>16822</Characters>
  <Application>Microsoft Office Word</Application>
  <DocSecurity>0</DocSecurity>
  <Lines>140</Lines>
  <Paragraphs>39</Paragraphs>
  <ScaleCrop>false</ScaleCrop>
  <Company>Arizona State University OKED</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4</cp:revision>
  <dcterms:created xsi:type="dcterms:W3CDTF">2018-12-05T04:10:00Z</dcterms:created>
  <dcterms:modified xsi:type="dcterms:W3CDTF">2018-12-05T04:12:00Z</dcterms:modified>
</cp:coreProperties>
</file>