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200" w:after="4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1B365D"/>
          <w:sz w:val="36"/>
          <w:szCs w:val="36"/>
        </w:rPr>
        <w:t>DOSSIÊ TÉCNICO-OPERACIONAL REMASTERIZADO</w:t>
      </w:r>
    </w:p>
    <w:p>
      <w:pPr>
        <w:pStyle w:val="Normal"/>
        <w:spacing w:lineRule="auto" w:line="276" w:before="0" w:after="40"/>
        <w:jc w:val="center"/>
        <w:rPr/>
      </w:pPr>
      <w:r>
        <w:rPr>
          <w:rFonts w:eastAsia="Calibri" w:cs="Calibri"/>
          <w:b/>
          <w:bCs/>
          <w:i w:val="false"/>
          <w:iCs w:val="false"/>
          <w:color w:val="0E4D5C"/>
          <w:sz w:val="26"/>
          <w:szCs w:val="26"/>
        </w:rPr>
        <w:t>TESTE E COMISSIONAMENTO DA 2ª LINHA DOS SEIS SIFÕES</w:t>
      </w:r>
    </w:p>
    <w:p>
      <w:pPr>
        <w:pStyle w:val="Normal"/>
        <w:spacing w:lineRule="auto" w:line="276" w:before="0" w:after="200"/>
        <w:jc w:val="center"/>
        <w:rPr/>
      </w:pPr>
      <w:r>
        <w:rPr>
          <w:rFonts w:eastAsia="Calibri" w:cs="Calibri"/>
          <w:b w:val="false"/>
          <w:bCs w:val="false"/>
          <w:i w:val="false"/>
          <w:iCs w:val="false"/>
          <w:color w:val="4A4A4A"/>
          <w:sz w:val="22"/>
          <w:szCs w:val="22"/>
        </w:rPr>
        <w:t>Eixão das Águas do Ceará — Lote 4</w:t>
      </w:r>
    </w:p>
    <w:p>
      <w:pPr>
        <w:pStyle w:val="Normal"/>
        <w:spacing w:lineRule="auto" w:line="276" w:before="0" w:after="24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555555"/>
          <w:sz w:val="20"/>
          <w:szCs w:val="20"/>
        </w:rPr>
        <w:t>Crítica de engenharia da versão anterior  ·  Reconstrução do plano de ensaio  ·  Estado da arte em transientes hidráulicos e integridade mecânica de tubulação de grande diâmetro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2400"/>
        <w:gridCol w:w="7806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Campo</w:t>
            </w:r>
          </w:p>
        </w:tc>
        <w:tc>
          <w:tcPr>
            <w:tcW w:w="78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Conteúdo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Objeto</w:t>
            </w:r>
          </w:p>
        </w:tc>
        <w:tc>
          <w:tcPr>
            <w:tcW w:w="78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Seis sifões invertidos DN 2.500 mm (2ª linha): Boa Vista, Mão Ruiva, Melancias, Pirangi, Serrote e Juazeirinho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Critério hidráulico de aceite</w:t>
            </w:r>
          </w:p>
        </w:tc>
        <w:tc>
          <w:tcPr>
            <w:tcW w:w="78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Q ≥ 9,5 m³/s na linha nova isolada, comprovada preferencialmente a jusante, com incerteza declarada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Documentos-base</w:t>
            </w:r>
          </w:p>
        </w:tc>
        <w:tc>
          <w:tcPr>
            <w:tcW w:w="78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NT EIX-L4.GRL-REL-TEX-NTC-001-R00 (jan/2026); Metodologia de medição (ago/2026, NUP 29001.001493/2026-14); Programação CCEA-057/2026 (NUP 29001.001726/2026-89)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Natureza deste texto</w:t>
            </w:r>
          </w:p>
        </w:tc>
        <w:tc>
          <w:tcPr>
            <w:tcW w:w="78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Reanálise independente para GEOPE. Não substitui ART, modelo nativo HAMMER nem procedimento executivo do CCEA.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Posição de engenharia</w:t>
            </w:r>
          </w:p>
        </w:tc>
        <w:tc>
          <w:tcPr>
            <w:tcW w:w="78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O ensaio é executável. Não é um simples ADCP. Não deve partir em 05–10/10/2026 sem pacote de liberação.</w:t>
            </w:r>
          </w:p>
        </w:tc>
      </w:tr>
    </w:tbl>
    <w:p>
      <w:pPr>
        <w:pStyle w:val="Heading1"/>
        <w:pBdr>
          <w:bottom w:val="single" w:sz="12" w:space="4" w:color="1B365D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B365D"/>
          <w:sz w:val="28"/>
          <w:szCs w:val="28"/>
        </w:rPr>
        <w:t>PARTE I — CRÍTICA TÉCNICA DO DOSSIÊ ORIGINAL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1. O que o texto original acertou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O dossiê de setembro de 2026 teve o mérito principal correto: recusou tratar o ensaio como medição isolada de vazão. Integra cronologia, transiente, canal de superfície livre, enchimento, governança e lista de entregáveis do Consórcio. Isso é o enquadramento certo para um comissionamento de sifão invertido de grande diâmetro.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Também acertou em quatro pontos de método: (i) Allievi/Michaud não substitui MOC; (ii) enchimento não foi modelado na NT; (iii) 8 min não é tempo aprovado só porque a COGERH pediu o cenário; (iv) o gatilho operacional deve ser condição hidráulica medida, não relógio. A regra de Go/No-Go e o checklist são úteis e devem ser preservados.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2. Falha estrutural: o cenário modelado não é o cenário do teste</w:t>
      </w:r>
    </w:p>
    <w:tbl>
      <w:tblPr>
        <w:tblW w:w="1020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8E8E8" w:val="clear"/>
          </w:tcPr>
          <w:p>
            <w:pPr>
              <w:pStyle w:val="Normal"/>
              <w:spacing w:lineRule="auto" w:line="276" w:before="0" w:after="6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8B1E1E"/>
                <w:sz w:val="20"/>
                <w:szCs w:val="20"/>
              </w:rPr>
              <w:t>ERRO DE ENQUADRAMENTO — CORRIGIR ANTES DE QUALQUER MANOBRA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>A Nota Técnica de janeiro modela o fechamento da comporta de MONTANTE da linha que está escoando. A metodologia de agosto descreve outra operação: fechar a linha ANTIGA (comporta a montante + stop-logs a jusante) para que a linha NOVA assuma isoladamente 9,5 m³/s. São transientes diferentes, em tubos diferentes, com condições de contorno diferentes. Usar o Quadro 3.9 da NT como envelope de segurança da linha nova durante o teste é tecnicamente indevido.</w:t>
            </w:r>
          </w:p>
        </w:tc>
      </w:tr>
    </w:tbl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No ensaio real coexistirão, no mínimo, três regimes:</w:t>
      </w:r>
    </w:p>
    <w:p>
      <w:pPr>
        <w:pStyle w:val="ListParagraph"/>
        <w:numPr>
          <w:ilvl w:val="0"/>
          <w:numId w:val="3"/>
        </w:numPr>
        <w:spacing w:lineRule="auto" w:line="262" w:before="40" w:after="40"/>
        <w:rPr/>
      </w:pPr>
      <w:r>
        <w:rPr>
          <w:rFonts w:eastAsia="Calibri" w:cs="Calibri"/>
          <w:b/>
          <w:bCs/>
          <w:color w:val="222222"/>
          <w:sz w:val="21"/>
          <w:szCs w:val="21"/>
        </w:rPr>
        <w:t>Parada da linha antiga</w:t>
      </w:r>
      <w:r>
        <w:rPr>
          <w:rFonts w:eastAsia="Calibri" w:cs="Calibri"/>
          <w:color w:val="222222"/>
          <w:sz w:val="21"/>
          <w:szCs w:val="21"/>
        </w:rPr>
        <w:t>: redução de vazão, possível separação de coluna se o stop-log de jusante for lançado na ordem errada, e carga hidrodinâmica na comporta antiga.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b/>
          <w:bCs/>
          <w:color w:val="222222"/>
          <w:sz w:val="21"/>
          <w:szCs w:val="21"/>
        </w:rPr>
        <w:t>Aceitação de carga na linha nova</w:t>
      </w:r>
      <w:r>
        <w:rPr>
          <w:rFonts w:eastAsia="Calibri" w:cs="Calibri"/>
          <w:color w:val="222222"/>
          <w:sz w:val="21"/>
          <w:szCs w:val="21"/>
        </w:rPr>
        <w:t>: a velocidade sobe de ~1,0 m/s (duas linhas compartilhando) para ~1,94 m/s. Isso é overspeed relativo, não Joukowsky de parada.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b/>
          <w:bCs/>
          <w:color w:val="222222"/>
          <w:sz w:val="21"/>
          <w:szCs w:val="21"/>
        </w:rPr>
        <w:t>Interação pelo canal de montante</w:t>
      </w:r>
      <w:r>
        <w:rPr>
          <w:rFonts w:eastAsia="Calibri" w:cs="Calibri"/>
          <w:color w:val="222222"/>
          <w:sz w:val="21"/>
          <w:szCs w:val="21"/>
        </w:rPr>
        <w:t>: os dois tubos desembocam no mesmo espelho livre. O fechamento de uma linha eleva o nível do canal e redistribui a vazão. O HAMMER da NT trata o canal como reservatório de nível prescrito, o que elimina a dinâmica que governa o teste.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Consequência prática: o pacote a exigir do CCEA não é “entregar os arquivos HAMMER já rodados em janeiro”. É re-simular o ensaio exatamente como será feito: duas linhas em paralelo, lei real das duas comportas, stop-logs, ventosas, perfil as built da linha nova e condição de contorno de canal (nível variável ou malha 1D de superfície livre).</w:t>
      </w:r>
    </w:p>
    <w:p>
      <w:pPr>
        <w:pStyle w:val="Heading2"/>
        <w:spacing w:before="240" w:after="100"/>
        <w:rPr>
          <w:rFonts w:ascii="Calibri" w:hAnsi="Calibri" w:eastAsia="Calibri" w:cs="Calibri"/>
          <w:b/>
          <w:bCs/>
          <w:color w:val="0E4D5C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</w:r>
    </w:p>
    <w:p>
      <w:pPr>
        <w:pStyle w:val="Heading2"/>
        <w:spacing w:before="240" w:after="100"/>
        <w:rPr>
          <w:rFonts w:ascii="Calibri" w:hAnsi="Calibri" w:eastAsia="Calibri" w:cs="Calibri"/>
          <w:b/>
          <w:bCs/>
          <w:color w:val="0E4D5C"/>
          <w:sz w:val="24"/>
          <w:szCs w:val="24"/>
        </w:rPr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3. A fórmula dita “Allievi modificada” foi mal interpretada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NT aplica</w:t>
      </w:r>
    </w:p>
    <w:p>
      <w:pPr>
        <w:pStyle w:val="Normal"/>
        <w:spacing w:lineRule="auto" w:line="276" w:before="80" w:after="8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222222"/>
          <w:sz w:val="22"/>
          <w:szCs w:val="22"/>
        </w:rPr>
        <w:t>ΔH = (a·V/g)·(tc/tf) = 2LV/(g·tf)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Essa é a fórmula de Michaud para fechamento lento, não há equação clássica de Allievi para golpe de aríete rápido. Ela pressupõe: lei de fechamento linear em área efetiva, ausência de cavitação, atrito desprezível no pico e reflexão única. Nenhuma dessas hipóteses vale para comporta retangular 2,50 × 2,50 m no último terço do curso.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razão HAMMER/Allievi de 2,7 a 4,3, reproduzida no dossiê como “severidade”, é o resultado esperado da não linearidade da comporta. Em comportas de superfície e válvulas de gaveta, 70 a 90 % da variação de perda de carga ocorre nos 15 a 20 % finais de fechamento. O modelo analítico dilui essa variação ao longo de tf inteiro; o MOC concentra o ΔQ no fim da manobra. A razão não é um coeficiente de segurança: é evidência de que a fórmula analítica não serve para dimensionar tempo de manobra.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Joukowsky puro, se a parada fosse instantânea, daria ΔH = aV/g ≈ 702 × 1,94 / 9,81 ≈ 139 mca. Isso só informa o teto teórico de fechamento rápido. O sistema opera em regime lento (tf ≫ 2L/a, com 2L/a entre 1,6 e 5,9 s). O que governa não é o teto de Joukowsky; é a lei real da comporta no fim de curso, o perfil do sifão e o ar residual.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4. Pressão manométrica negativa não é, por si, cavitação — e o dossiê não fecha a conta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O texto original avisa corretamente que o critério é pressão absoluta versus pressão de vapor. Não faz, porém, a conversão numérica que o próprio aviso exige. Adotando Fortaleza praticamente ao nível do mar (Patm ≈ 10,33 mca) e água a 28 °C (Pv ≈ 0,38 mca abs.):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1675"/>
        <w:gridCol w:w="1362"/>
        <w:gridCol w:w="1884"/>
        <w:gridCol w:w="1781"/>
        <w:gridCol w:w="1675"/>
        <w:gridCol w:w="1829"/>
      </w:tblGrid>
      <w:tr>
        <w:trPr>
          <w:tblHeader w:val="true"/>
        </w:trPr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Sifão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Pest (mca)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Pmin 8 min (mca man.)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Pabs mín. 8 min (mca)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Margem até Pv (m)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Vapor em 8 min?</w:t>
            </w:r>
          </w:p>
        </w:tc>
      </w:tr>
      <w:tr>
        <w:trPr/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Boa Vista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2,21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−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3,80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6,53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6,15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Mão Ruiva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2,24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−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0,35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9,98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9,60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Melancias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2,17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−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0,53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9,80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9,42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Pirangi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1,80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0,67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11,00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10,62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Serrote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1,81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−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3,27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7,06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6,68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</w:t>
            </w:r>
          </w:p>
        </w:tc>
      </w:tr>
      <w:tr>
        <w:trPr/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Juazeirinho</w:t>
            </w:r>
          </w:p>
        </w:tc>
        <w:tc>
          <w:tcPr>
            <w:tcW w:w="1362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1,82</w:t>
            </w:r>
          </w:p>
        </w:tc>
        <w:tc>
          <w:tcPr>
            <w:tcW w:w="1884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−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0,01</w:t>
            </w:r>
          </w:p>
        </w:tc>
        <w:tc>
          <w:tcPr>
            <w:tcW w:w="178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10,32</w:t>
            </w:r>
          </w:p>
        </w:tc>
        <w:tc>
          <w:tcPr>
            <w:tcW w:w="167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9,94</w:t>
            </w:r>
          </w:p>
        </w:tc>
        <w:tc>
          <w:tcPr>
            <w:tcW w:w="182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</w:t>
            </w:r>
          </w:p>
        </w:tc>
      </w:tr>
    </w:tbl>
    <w:p>
      <w:pPr>
        <w:pStyle w:val="Normal"/>
        <w:spacing w:lineRule="auto" w:line="276" w:before="40" w:after="16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666666"/>
          <w:sz w:val="16"/>
          <w:szCs w:val="16"/>
        </w:rPr>
        <w:t>Quadro A — Conversão manométrica → absoluta no ponto da comporta, cenário NT de 8 min. Pabs = Patm + Pman.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Conclusão incômoda e necessária: no cenário de 8 minutos da própria NT, não há formação de vapor na seção da comporta. Há subpressão manométrica. A NT reserva vapor para fechamentos mais curtos (Boa Vista &lt; 4 min, Serrote &lt; 3 min etc.), quando ΔH HAMMER chega a dezenas de metros e o DVCM entra no piso de Pv. O dossiê mistura os dois regimes e deixa o leitor com a impressão de que 8 min já é cavitação.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discrepância Juazeirinho (figura “sem pressão negativa” versus Quadro 3.9 com −0,01 mca) é ruído numérico, não fenômeno. Não merece o mesmo peso de Boa Vista e Serrote.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5. O risco mecânico dominante foi subdimensionado: flambagem a vácuo</w:t>
      </w:r>
    </w:p>
    <w:tbl>
      <w:tblPr>
        <w:tblW w:w="1020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4EFE4" w:val="clear"/>
          </w:tcPr>
          <w:p>
            <w:pPr>
              <w:pStyle w:val="Normal"/>
              <w:spacing w:lineRule="auto" w:line="276" w:before="0" w:after="6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7A4E00"/>
                <w:sz w:val="20"/>
                <w:szCs w:val="20"/>
              </w:rPr>
              <w:t>D/t ≈ 315 — TUBO ESBELTO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>DN 2.500 mm com e = 7,938 mm (5/16 in) tem D/e ≈ 315. Para cilindro longo sem contenção lateral, a pressão crítica elástica de colapso escala com (e/D)³ e cai a poucos kPa. O tubo real está enterrado e, em princípio, apoiado pelo solo; mesmo assim, vácuo de 3 a 4 mca somado a sobrecarga de aterramento, ovalização de montagem e trechos com berço deficiente é o modo de falha que deve mandar no envelope, não há cavitação na comporta.</w:t>
            </w:r>
          </w:p>
        </w:tc>
      </w:tr>
    </w:tbl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O dossiê pede “pressão externa/vácuo admissível” na lista de documentos, mas não transforma isso em critério de abortagem nem em verificação AWWA M11 / EN 1295 / ATV-DVWK. Estado da arte exige: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Pressão de colapso com ovalização inicial medida (típico 1 a 3 % do DN em obra).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Módulo de reação do solo (E′) por trecho, não um único valor genérico.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Anéis de enrijecimento, se existirem, com espaçamento e inércia.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Combinação vácuo transitório + carga de terra + nível freático.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Verificação local nos pontos altos (menor carga interna permanente) e nas curvas verticais.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Sobrepressão na comporta em 8 min (Pmax 4,11 mca em Boa Vista) é pequena frente à resistência interna de um tubo de aço. O envelope interno não governa. O envelope externo governa.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6. Celeridade 702 m/s é um ponto, não um dado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NT calcula a com K = 2,2×10⁹ Pa, E = 2,0×10¹¹ Pa, c1 = 1, e obtém 702 m/s. A conta fecha. O valor, porém, é o teto de tubo cheio, sem ar, ancorado continuamente, parede nova. No campo: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Fração volumétrica de ar de 0,1 a 0,5 % derruba a para a faixa 300–500 m/s.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c1 de tubo enterrado não é 1; varia com berço e restrição axial.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Revestimento interno e corrosão alteram e efetiva.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Celeridade menor alonga tc = 2L/a e reduz Joukowsky, o que parece “mais seguro”. O efeito contrário é maior compressibilidade da mistura e cavidades de ar maiores no enchimento. Pedir só o arquivo HAMMER com a = 702 sem análise de sensibilidade a ar e a c1 é insuficiente.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7. Atrito Steady, DVCM e modelo simplificado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NT declara atrito Steady e DVCM. Três ressalvas de estado da arte: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Atrito não permanente (Zielke / Vítkovský) aumenta o amortecimento das oscilações. Steady é conservador para pico persistente e otimista para dissipação. Nos casos Boa Vista e Serrote, a sensibilidade Unsteady é obrigatória.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DVCM é conhecido por produzir picos secundários dependentes da malha. Sem relatório de convergência Δx–Δt e sem comparação com DGCM (Discrete Gas Cavity Model) quando há ar livre, os −3,80 mca não podem ser lidos como número de projeto.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Só Juazeirinho teve modelo completo versus simplificado (~5 % de diferença). Extrapolação desse 5 % para 2 km de Boa Vista, com mais pontos altos e baixos, não é lícita. Boa Vista e Serrote exigem perfil as built no MOC.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8. Enchimento: o dossiê cita a regra dos 5 % e para no meio do caminho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NT limita a vazão inicial de enchimento a 5 % de 9,5 m³/s ≈ 0,475 m³/s (V ≈ 0,10 m/s). Isso é coerente com boa prática de adutoras (AWWA M11, Boulos/Karney, Thorley). O que falta: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jc w:val="both"/>
        <w:rPr/>
      </w:pPr>
      <w:r>
        <w:rPr>
          <w:rFonts w:eastAsia="Calibri" w:cs="Calibri"/>
          <w:color w:val="222222"/>
          <w:sz w:val="21"/>
          <w:szCs w:val="21"/>
        </w:rPr>
        <w:t>Volume da linha Boa Vista ≈ 4,91 × 2.066 ≈ 10.140 m³. A 0,475 m³/s, só o enchimento cinemático leva ~6 h, sem contar desaeração e paradas. A janela 05–10/10/2026 para seis sifões é incompatível com linhas vazias.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jc w:val="both"/>
        <w:rPr/>
      </w:pPr>
      <w:r>
        <w:rPr>
          <w:rFonts w:eastAsia="Calibri" w:cs="Calibri"/>
          <w:color w:val="222222"/>
          <w:sz w:val="21"/>
          <w:szCs w:val="21"/>
        </w:rPr>
        <w:t>A metodologia afirma que as linhas novas estão “com água e isoladas por ensecadeiras”. Se já estão afogadas, o problema deixa de ser enchimento lento e passa a ser remoção das ensecadeiras sem golpe, equalização de níveis e expulsão do ar residual nos pontos altos. São procedimentos distintos. O dossiê original não separa os dois estados possíveis.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jc w:val="both"/>
        <w:rPr/>
      </w:pPr>
      <w:r>
        <w:rPr>
          <w:rFonts w:eastAsia="Calibri" w:cs="Calibri"/>
          <w:color w:val="222222"/>
          <w:sz w:val="21"/>
          <w:szCs w:val="21"/>
        </w:rPr>
        <w:t>Ventosa de grande DN em sifão invertido deve ser modelada como condição de contorno de ar (inflow/outflow), não como “item de inspeção”. Bolsa presa em patamar de baixa declividade reduz seção, aumenta perda e pode invalidar o próprio critério Q ≥ 9,5 m³/s sem que a tubulação esteja “subdimensionada”.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9. Canal: tempo de partícula não é tempo de estabilização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O dossiê calcula L/V com V ≈ 0,88 m/s e obtém 10,4 h até Boa Vista e 25,8 h até Juazeirinho. Esse é tempo de trânsito de massa. Em canal de baixa declividade (S = 0,00015), a perturbação de vazão viaja como onda cinemática/difusiva com celeridade da ordem de (5/3)V ≈ 1,5 m/s, portanto mais rápida; a estabilização do regime, porém, é mais lenta que o trânsito por causa do armazenamento prismático e da difusão. Os dois efeitos não se cancelam. Manter a regra “não usar cronômetro” é correto; publicar uma tabela de horas como se fosse planning board é enganoso.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Falta também o balanço de tomadas intermediárias com valores reais, não o exemplo de 0,55 m³/s da metodologia. Sem cadastro operacional das derivações entre Curral Velho e cada sifão, o ADCP a montante não fecha com o ADCP a jusante e o aceite fica litigioso.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10. Instrumentação e o mito das duas horas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metodologia justifica as 2 h isoladas como “segurança contra transitórios” e balanço volumétrico. Transitório elástico em tubo de aço se resolve em dezenas de segundos. As 2 h servem para: (i) o canal acomodar o novo partilhamento de vazão; (ii) repetir travessias ADCP; (iii) observar ventosas, juntas e anomalias lentas. Não dissipam golpe de aríete. Instrumentar pressão a 1 Hz durante 2 h e achar que se capturou o transiente é erro clássico. Na manobra, a taxa deve ser 20 a 100 Hz no trecho da comporta, com relógio GPS comum.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RiverSurveyor M9/RTK é adequado ao canal. Não mede a linha. Perda de carga da linha nova (ΔE montante–jusante) é o indicador de ar residual, incrustação e geometria. O dossiê original pede Q e quase não pede ΔE.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11. Mecânica da comporta, stop-log e empuxos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Itens ausentes ou apenas listados, que o estado da arte trata como cálculo, não como anexo: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Downpull e torque hidrodinâmico da comporta 2,50 × 2,50 m no fim de curso — região em que o atuador trabalha no pico e a lei de fechamento deixa de ser a do catálogo.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Ordem stop-log de jusante versus comporta de montante na linha antiga. Fechar jusante primeiro com montante aberta esvazia ou despressuriza a linha antiga de forma descontrolada.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Empuxo desbalanceado em curvas verticais do sifão: F ≈ pA + ρQV, amplificado no transiente. Bloco de ancoragem dimensionado em regime permanente pode ser insuficiente se a NT de janeiro não tiver sido cruzada com o memorial estrutural.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Modo de falha do atuador (perda de energia, deriva, travamento). A NT pede 16–30–90 min; nenhum desses números vale se o atuador não sustenta velocidade mínima controlada no fim de curso.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12. Programação CCEA 05–10/10/2026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carta CCEA-057/2026 propõe seis sifões em seis dias, começando por Juazeirinho (o mais distante). Hidraulicamente, a onda de vazão chega primeiro em Boa Vista. Operacionalmente, testar o extremo de jusante primeiro só faz sentido se o canal inteiro já estiver estabilizado em 9,5–10,0 m³/s — o que a própria carta admite depender da COGERH e de dezenas de quilômetros. O dossiê original registra as distâncias e não confronta o calendário. Um dia por sifão não cabe enchimento, desaeração, Go/No-Go, manobra lenta (≥ 30 min), 2 h isoladas, ADCP repetido e retorno. Ou as linhas já estão cheias e o teste é só transferência, ou o calendário é papel.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13. Governança e tom do documento original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cadeia COGERH/GEOPE (comando da água) — SRH/fiscalização (contrato) — CCEA (integridade do que construiu) — Supervisora (conformidade do registro) está bem desenhada. O tom, contudo, mistura exigência legítima com lista de desejos (“cenários de falha de energia, comporta travada, ventosa inoperante…”). Estado da arte recomenda priorizar o que é bloqueante para o ensaio desta campanha e separar o que é dívida de projeto para operação definitiva. Sem essa triagem, o Consórcio responde com volume e a operação não ganha envelope.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14. Síntese da crítica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1800"/>
        <w:gridCol w:w="3599"/>
        <w:gridCol w:w="4807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Tema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Dossiê original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Correção de engenharia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Cenário NT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Usa fechamento da linha em teste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Re-simular transferência antiga → nova + stop-logs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8 min / vapor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Sugere risco generalizado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Em 8 min não há vapor na comporta; há vácuo estrutural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Allievi 2,7–4,3×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Lido como amplificação física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É falha da hipótese de lei linear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Celeridade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702 m/s fixa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Banda com ar e c1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Enchimento 5 %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Citado, não dimensionado em tempo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Estado da linha (cheia/vazia) decide o plano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 horas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“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Segurança contra transiente”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Estabilização de canal e repetibilidade ADCP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Aceite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Q ≥ 9,5 m³/s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Q + incerteza + ΔE + ausência de anomalia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Calendário 6 dias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 confrontado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Inviável se houver enchimento real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Mecânica</w:t>
            </w:r>
          </w:p>
        </w:tc>
        <w:tc>
          <w:tcPr>
            <w:tcW w:w="35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Lista documentos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Flambagem, downpull, ancoragem são critérios</w:t>
            </w:r>
          </w:p>
        </w:tc>
      </w:tr>
    </w:tbl>
    <w:p>
      <w:pPr>
        <w:pStyle w:val="Heading1"/>
        <w:pBdr>
          <w:bottom w:val="single" w:sz="12" w:space="4" w:color="1B365D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B365D"/>
          <w:sz w:val="28"/>
          <w:szCs w:val="28"/>
        </w:rPr>
        <w:t>PARTE II — DOSSIÊ REMONTADO PARA COMISSIONAMENTO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15. Objetivo reescrito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Comprovar, por medição de campo e por envelope de integridade, que cada linha nova DN 2.500 mm conduz isoladamente vazão igual ou superior a 9,5 m³/s sem violar pressão absoluta mínima, pressão externa admissível, deslocamento de ancoragens, função de ventosas e estabilidade do canal. A vazão a montante do sistema não basta: a vazão deve atravessar a linha nova e ser medida a jusante, com perda de carga coerente com o perfil as built.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16. Quatro regimes — agora com física distinta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2200"/>
        <w:gridCol w:w="3199"/>
        <w:gridCol w:w="4807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Regime</w:t>
            </w:r>
          </w:p>
        </w:tc>
        <w:tc>
          <w:tcPr>
            <w:tcW w:w="31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Física dominante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Critério para avançar</w:t>
            </w:r>
          </w:p>
        </w:tc>
      </w:tr>
      <w:tr>
        <w:trPr/>
        <w:tc>
          <w:tcPr>
            <w:tcW w:w="22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R0 Preparação e Go/No-Go</w:t>
            </w:r>
          </w:p>
        </w:tc>
        <w:tc>
          <w:tcPr>
            <w:tcW w:w="31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Documental e mecânico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Pacote de liberação assinado. Sem modelo do cenário real, não há R1.</w:t>
            </w:r>
          </w:p>
        </w:tc>
      </w:tr>
      <w:tr>
        <w:trPr/>
        <w:tc>
          <w:tcPr>
            <w:tcW w:w="22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R1 Enchimento / equalização / desaeração</w:t>
            </w:r>
          </w:p>
        </w:tc>
        <w:tc>
          <w:tcPr>
            <w:tcW w:w="31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Ar, slug, colapso de bolsa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Linha cheia, ventosas estáveis, sem bolsão detectável, Qench ≤ 0,475 m³/s se a linha não estiver afogada.</w:t>
            </w:r>
          </w:p>
        </w:tc>
      </w:tr>
      <w:tr>
        <w:trPr/>
        <w:tc>
          <w:tcPr>
            <w:tcW w:w="22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R2 Formação da vazão no canal</w:t>
            </w:r>
          </w:p>
        </w:tc>
        <w:tc>
          <w:tcPr>
            <w:tcW w:w="31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Onda difusiva em superfície livre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Q e NA locais estáveis na tolerância. Não usar hora de viagem.</w:t>
            </w:r>
          </w:p>
        </w:tc>
      </w:tr>
      <w:tr>
        <w:trPr/>
        <w:tc>
          <w:tcPr>
            <w:tcW w:w="22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R3 Transferência antiga → nova</w:t>
            </w:r>
          </w:p>
        </w:tc>
        <w:tc>
          <w:tcPr>
            <w:tcW w:w="31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Parada + aceitação de carga + canal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Lei de manobra ≥ 30 min (meta operacional), pressão no envelope, manobra reversível.</w:t>
            </w:r>
          </w:p>
        </w:tc>
      </w:tr>
      <w:tr>
        <w:trPr/>
        <w:tc>
          <w:tcPr>
            <w:tcW w:w="22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R4 Ensaio quase permanente</w:t>
            </w:r>
          </w:p>
        </w:tc>
        <w:tc>
          <w:tcPr>
            <w:tcW w:w="31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Perdas e capacidade</w:t>
            </w:r>
          </w:p>
        </w:tc>
        <w:tc>
          <w:tcPr>
            <w:tcW w:w="48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 xml:space="preserve">≥ </w:t>
            </w: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 h isolada; Qjus ≥ 9,5 m³/s após incerteza; ΔE admissível; sem anomalia.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17. Dados de referência (revalidados)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Área interna A = πD²/4 = 4,91 m². V = 9,5 / 4,91 = 1,94 m/s. a de referência = 702 m/s (tubo cheio, c1 = 1, sem ar). tc = 2L/a.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1700"/>
        <w:gridCol w:w="1399"/>
        <w:gridCol w:w="1100"/>
        <w:gridCol w:w="1401"/>
        <w:gridCol w:w="1500"/>
        <w:gridCol w:w="3106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Sifão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L (m)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tc (s)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Volume (m³)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Tench 5% (h)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Prioridade transitória</w:t>
            </w:r>
          </w:p>
        </w:tc>
      </w:tr>
      <w:tr>
        <w:trPr/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Boa Vista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2.065,95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5,9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10.140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5,9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Máxima — perfil completo obrigatório</w:t>
            </w:r>
          </w:p>
        </w:tc>
      </w:tr>
      <w:tr>
        <w:trPr/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Serrote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1.826,74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5,2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8.970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5,2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Máxima — perfil completo obrigatório</w:t>
            </w:r>
          </w:p>
        </w:tc>
      </w:tr>
      <w:tr>
        <w:trPr/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Melancias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1.160,86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3,3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5.700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3,3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Mão Ruiva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1.123,08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3,2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5.510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3,2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Alta</w:t>
            </w:r>
          </w:p>
        </w:tc>
      </w:tr>
      <w:tr>
        <w:trPr/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Juazeirinho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860,53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2,5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4.220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2,5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Média — único com modelo completo na NT</w:t>
            </w:r>
          </w:p>
        </w:tc>
      </w:tr>
      <w:tr>
        <w:trPr/>
        <w:tc>
          <w:tcPr>
            <w:tcW w:w="17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Pirangi</w:t>
            </w:r>
          </w:p>
        </w:tc>
        <w:tc>
          <w:tcPr>
            <w:tcW w:w="13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566,81</w:t>
            </w:r>
          </w:p>
        </w:tc>
        <w:tc>
          <w:tcPr>
            <w:tcW w:w="11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1,6</w:t>
            </w:r>
          </w:p>
        </w:tc>
        <w:tc>
          <w:tcPr>
            <w:tcW w:w="14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2.780</w:t>
            </w:r>
          </w:p>
        </w:tc>
        <w:tc>
          <w:tcPr>
            <w:tcW w:w="15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1,6</w:t>
            </w:r>
          </w:p>
        </w:tc>
        <w:tc>
          <w:tcPr>
            <w:tcW w:w="31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Menor comprimento; ainda exige lei de comporta</w:t>
            </w:r>
          </w:p>
        </w:tc>
      </w:tr>
    </w:tbl>
    <w:p>
      <w:pPr>
        <w:pStyle w:val="Normal"/>
        <w:spacing w:lineRule="auto" w:line="276" w:before="40" w:after="160"/>
        <w:jc w:val="center"/>
        <w:rPr/>
      </w:pPr>
      <w:r>
        <w:rPr>
          <w:rFonts w:eastAsia="Calibri" w:cs="Calibri"/>
          <w:b w:val="false"/>
          <w:bCs w:val="false"/>
          <w:i/>
          <w:iCs/>
          <w:color w:val="666666"/>
          <w:sz w:val="16"/>
          <w:szCs w:val="16"/>
        </w:rPr>
        <w:t>Quadro B — Grandezas de linha. Tench é só enchimento cinemático a 0,475 m³/s; não inclui desaeração.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Canal (metodologia): b = 5,00 m; m = 1,5; yn(9,5) = 1,49 m; A = 10,79 m²; V ≈ 0,88 m/s; Qmáx = 19,0 m³/s; S = 0,00015; n ≈ 0,0143. Descarga de segurança a montante com 10 cm de revanche sobre NA de 19 m³/s deve ser inspecionada antes de R3 — é o alívio do canal se a transferência falhar.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18. Envelope de pressão a adotar neste ensaio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Até o CCEA entregar o modelo do cenário real, vigora envelope conservador derivado da NT, convertido para absoluta e separado por modo de falha: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Cavitação na comporta: Pabs ≥ Pv + 2,0 m (margem de engenharia). Com Patm ≈ 10,3 mca, isso equivale a Pman ≥ −8 mca aproximadamente. Os −3,8 mca de Boa Vista em 8 min respeitam cavitação e não respeitam, a priori, colapso.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Colapso/ovação: Pext efetiva (vácuo + terra + água do solo) ≤ Padm do memorial AWWA M11 da linha nova, com fator de segurança do projeto. Sem esse número, R3 não inicia em Boa Vista nem Serrote.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Sobrepressão interna junto à comporta: irrelevante como modo de falha do tubo (4 mca). Pode ser relevante para vedação e esforço no quadro da comporta — usar carga de projeto do fabricante.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Pico secundário por colapso de cavidade: só admissível em simulação de falha, nunca como regime de ensaio.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19. Lei de manobra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A NT diz que 16 min “parece conservador” e recomenda mais; cita prática POM ≥ 30 min e parecer Righetto de 90 min em comporta do Trecho I. Para este comissionamento: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Tempo mínimo contratual de ensaio: 30 minutos de curso efetivo da comporta da linha antiga, com velocidade reduzida no último terço (lei em duas rampas). 8 min fica proibido como padrão de campo.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90 min permanece referência de Trecho I; só se torna obrigatório aqui se o modelo do cenário real mostrar Pext ou Pabs fora do envelope em 30 min.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 lei simulada tem de ser a lei que o atuador executa. Ensaio a seco com registro posição × tempo é porta de entrada de R0.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Stop-log de jusante da linha antiga só depois da comporta de montante da mesma linha estar efetivamente fechada e a vazão residual medida. Nunca o inverso.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20. Procedimento operacional remontado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2C3E50"/>
          <w:sz w:val="22"/>
          <w:szCs w:val="22"/>
        </w:rPr>
        <w:t>R0 — Liberação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Reunião única de comando (COGERH/GEOPE, SRH, Supervisora, CCEA) por sifão.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Entrega do pacote mínimo da Seção 23. Falta de item bloqueante = No-Go.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Confirmar estado da linha nova: (A) afogada atrás de ensecadeira ou (B) vazia/parcial. O procedimento de R1 depende disso.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Teste de comunicação e autoridade de abortagem nominalmente atribuída a um só posto.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2C3E50"/>
          <w:sz w:val="22"/>
          <w:szCs w:val="22"/>
        </w:rPr>
        <w:t>R1 — Água na linha nova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Estado A (já com água): remoção controlada de ensecadeiras, equalização de níveis, abertura de ventosas, verificação de ruído de ar, inspeção de pontos altos. Não chamar isso de “enchimento a 5 %” se a linha já está cheia.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Estado B (vazia): Q0 ≤ 0,475 m³/s por linha; avançar por patamares; não acelerar porque o calendário aperta; só subir vazão com ventosas em descarga de ar cinético sem arraste de água.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Proibido iniciar R3 com dúvida de bolsão. Indício: ΔE acima do cálculo as built, ruído, ventosa em ciclo, vibração em curva.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2C3E50"/>
          <w:sz w:val="22"/>
          <w:szCs w:val="22"/>
        </w:rPr>
        <w:t>R2 — Canal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Curral Velho entrega 9,5–10,0 m³/s mais a soma real das tomadas entre o ponto de controle e o sifão. Tomadas fechadas ou quantificadas.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Estabilidade local: variação de NA &lt; tolerância combinada (sugerida 3 cm em 20 min) e Q ADCP de verificação com CV compatível com o equipamento.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Ordem preferencial de campanha, se o canal estiver sendo carregado agora: Boa Vista → Mão Ruiva → Melancias → Pirangi → Serrote → Juazeirinho. A ordem CCEA (jusante → montante) só se aceita com o canal já estabilizado em toda a extensão.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2C3E50"/>
          <w:sz w:val="22"/>
          <w:szCs w:val="22"/>
        </w:rPr>
        <w:t>R3 — Transferência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Registro pré-manobra: Qmont, Qjus, NA, P, posição das duas comportas, estado das ventosas.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Fechar somente a linha antiga, lei em duas rampas, ≥ 30 min, reversível a qualquer instante.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Durante a manobra: pressão em alta frequência, NA do canal, corrente/torque do atuador se disponível.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Abortar conforme Seção 22. Não “completar a manobra para ver se normaliza”.</w:t>
      </w:r>
    </w:p>
    <w:p>
      <w:pPr>
        <w:pStyle w:val="Heading3"/>
        <w:spacing w:before="180" w:after="80"/>
        <w:rPr/>
      </w:pPr>
      <w:r>
        <w:rPr>
          <w:rFonts w:eastAsia="Calibri" w:cs="Calibri" w:ascii="Calibri" w:hAnsi="Calibri"/>
          <w:b/>
          <w:bCs/>
          <w:color w:val="2C3E50"/>
          <w:sz w:val="22"/>
          <w:szCs w:val="22"/>
        </w:rPr>
        <w:t>R4 — Capacidade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Linha nova isolada ≥ 2 h.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Réguas/RTK a cada 15–20 min. ADCP: no mínimo quatro travessias válidas a jusante, seção ≥ 20 m da estrutura, preferencialmente também a montante.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Aceite hidráulico: Qjus − u ≥ 9,5 m³/s, em que u é a incerteza expandida do ensaio (declarar 95 %). Se u não for estimada, não há aceite, há indício.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Aceite energético: ΔE medido ≤ ΔE as built + margem de ar residual previamente definida.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Retorno: reabrir a linha antiga com a mesma disciplina de rampa.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21. Instrumentação mínima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1800"/>
        <w:gridCol w:w="2799"/>
        <w:gridCol w:w="5607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Grandeza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Onde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Desempenho mínimo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Vazão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Canal montante e jusante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ADCP M9/RTK; ≥ 4 travessias; seção ≥ 20 m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NA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Mesmas seções + caixa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Régua e/ou RTK; 15–20 min em R4; contínuo em R3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Pressão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Junto à comporta e ponto baixo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Transdutor 0–20 mca abs. ou dual; 20–100 Hz em R3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Posição da comporta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Atuador linha antiga e nova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 s ou melhor; relógio GPS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Ventosas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Pontos altos as built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Inspeção + registro de atuação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Integridade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Ancoragens e juntas visíveis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Marca de referência e foto antes/depois</w:t>
            </w:r>
          </w:p>
        </w:tc>
      </w:tr>
      <w:tr>
        <w:trPr/>
        <w:tc>
          <w:tcPr>
            <w:tcW w:w="18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Temperatura da água</w:t>
            </w:r>
          </w:p>
        </w:tc>
        <w:tc>
          <w:tcPr>
            <w:tcW w:w="2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Canal</w:t>
            </w:r>
          </w:p>
        </w:tc>
        <w:tc>
          <w:tcPr>
            <w:tcW w:w="56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Para Pv do dia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22. Abortagem — critérios fechados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Qualquer um dos itens abaixo interrompe R3/R4. Reabertura só com novo Go: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Pabs extrapolada caindo em direção a Pv + 2 m.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Pext efetiva acima de 80 % da admissível de colapso.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NA de montante em subida persistente que ameace a descarga de segurança.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Ventosa inoperante ou ciclo violento de ar.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Vazamento, deslocamento de apoio, ruído de cavitação, vibração anômala.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Atuador sem controle de velocidade no terço final.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Perda de comunicação entre posto de comando e comporta.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Instrumento de pressão ou ADCP de jusante indisponível.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Impossibilidade de reverter a manobra.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23. Pacote de liberação — o que é bloqueante e o que é dívida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2400"/>
        <w:gridCol w:w="1799"/>
        <w:gridCol w:w="6007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Classe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Conteúdo mínimo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Modelo do cenário real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HAMMER (ou equivalente MOC) com duas linhas, stop-logs, ventosas, canal de nível variável, as built de Boa Vista e Serrote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Lei posição × tempo do atuador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Ensaio a seco registrado; duas rampas; capacidade no fim de curso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Padm interna e de vácuo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Memorial M11/equivalente; ovalização de montagem; E′ do solo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Estado da linha nova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Cheia / vazia / parcial; volume de ar residual estimado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Ventosas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As built, curva de capacidade, certificado, inspeção funcional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Procedimento de ensecadeiras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 se Estado A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Ordem de remoção e equalização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Procedimento de enchimento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 se Estado B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Patamares, Q0 ≤ 5 %, critérios de progressão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ART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Projeto, transiente, procedimento de teste, execução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Plano de emergência do canal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Uso da descarga de segurança; perda de comunicaçao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Atrito Unsteady / DGCM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Dívida de qualidade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Sensibilidade; não impede se envelope de vácuo estiver folgado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Falha de energia / comporta travada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Dívida de operação definitiva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Não é pré-requisito do ADCP se R3 for reversível e abortável</w:t>
            </w:r>
          </w:p>
        </w:tc>
      </w:tr>
      <w:tr>
        <w:trPr/>
        <w:tc>
          <w:tcPr>
            <w:tcW w:w="24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END/solda/revestimento</w:t>
            </w:r>
          </w:p>
        </w:tc>
        <w:tc>
          <w:tcPr>
            <w:tcW w:w="1799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Amostral bloqueante</w:t>
            </w:r>
          </w:p>
        </w:tc>
        <w:tc>
          <w:tcPr>
            <w:tcW w:w="6007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Dossiê de qualidade da linha nova disponível para os dois críticos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24. Checklist Go/No-Go (por sifão)</w:t>
      </w:r>
    </w:p>
    <w:tbl>
      <w:tblPr>
        <w:tblW w:w="10206" w:type="dxa"/>
        <w:jc w:val="start"/>
        <w:tblInd w:w="0" w:type="dxa"/>
        <w:tblLayout w:type="fixed"/>
        <w:tblCellMar>
          <w:top w:w="50" w:type="dxa"/>
          <w:start w:w="70" w:type="dxa"/>
          <w:bottom w:w="50" w:type="dxa"/>
          <w:end w:w="70" w:type="dxa"/>
        </w:tblCellMar>
      </w:tblPr>
      <w:tblGrid>
        <w:gridCol w:w="600"/>
        <w:gridCol w:w="8605"/>
        <w:gridCol w:w="1001"/>
      </w:tblGrid>
      <w:tr>
        <w:trPr>
          <w:tblHeader w:val="true"/>
        </w:trPr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Verificação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1B365D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16"/>
                <w:szCs w:val="16"/>
              </w:rPr>
              <w:t>G/NG</w:t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As built da linha nova (geratriz, pontos altos, e, singularidades)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2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Modelo MOC do cenário de transferência, não só o fechamento da NT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3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Padm ao vácuo e ovalização de montagem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4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Lei real do atuador, ensaio a seco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5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Ventosas inspecionadas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6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Estado cheia/vazia resolvido e R1 concluído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7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Descarga de segurança desobstruída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8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Tomadas intermediárias fechadas ou medidas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9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ADCP, réguas, transdutores, GPS de tempo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10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Comando único e abortagem assinada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11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Janela hídrica real — não a hora do ofício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0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12</w:t>
            </w:r>
          </w:p>
        </w:tc>
        <w:tc>
          <w:tcPr>
            <w:tcW w:w="8605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Calibri" w:cs="Calibri"/>
                <w:b w:val="false"/>
                <w:bCs w:val="false"/>
                <w:color w:val="222222"/>
                <w:sz w:val="16"/>
                <w:szCs w:val="16"/>
              </w:rPr>
              <w:t>ART do teste daquele sifão</w:t>
            </w:r>
          </w:p>
        </w:tc>
        <w:tc>
          <w:tcPr>
            <w:tcW w:w="1001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EF3F8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25. Relatório de comissionamento — conteúdo mínimo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Série temporal sincronizada: P, NA, Q, posição da comporta.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Travessias ADCP brutas, filtro de qualidade, incerteza u.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ΔE medido versus ΔE de projeto/as built.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Registro de ventosas e ocorrências.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Fotos de ancoragens antes e depois.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Conclusão ternária por sifão: aprovado / aprovado com restrição / reprovado.</w:t>
      </w:r>
    </w:p>
    <w:p>
      <w:pPr>
        <w:pStyle w:val="ListParagraph"/>
        <w:numPr>
          <w:ilvl w:val="0"/>
          <w:numId w:val="1"/>
        </w:numPr>
        <w:spacing w:lineRule="auto" w:line="262" w:before="40" w:after="40"/>
        <w:rPr/>
      </w:pPr>
      <w:r>
        <w:rPr>
          <w:rFonts w:eastAsia="Calibri" w:cs="Calibri"/>
          <w:color w:val="222222"/>
          <w:sz w:val="21"/>
          <w:szCs w:val="21"/>
        </w:rPr>
        <w:t>Pendências explícitas para operação comercial das duas linhas.</w:t>
      </w:r>
    </w:p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26. Recomendação final de engenharia</w:t>
      </w:r>
    </w:p>
    <w:tbl>
      <w:tblPr>
        <w:tblW w:w="1020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0206"/>
      </w:tblGrid>
      <w:tr>
        <w:trPr/>
        <w:tc>
          <w:tcPr>
            <w:tcW w:w="10206" w:type="dxa"/>
            <w:tcBorders>
              <w:top w:val="single" w:sz="4" w:space="0" w:color="C5CDD6"/>
              <w:start w:val="single" w:sz="4" w:space="0" w:color="C5CDD6"/>
              <w:bottom w:val="single" w:sz="4" w:space="0" w:color="C5CDD6"/>
              <w:end w:val="single" w:sz="4" w:space="0" w:color="C5CDD6"/>
            </w:tcBorders>
            <w:shd w:fill="E7F2EC" w:val="clear"/>
          </w:tcPr>
          <w:p>
            <w:pPr>
              <w:pStyle w:val="Normal"/>
              <w:spacing w:lineRule="auto" w:line="276" w:before="0" w:after="60"/>
              <w:jc w:val="both"/>
              <w:rPr/>
            </w:pPr>
            <w:r>
              <w:rPr>
                <w:rFonts w:eastAsia="Calibri" w:cs="Calibri"/>
                <w:b/>
                <w:bCs/>
                <w:i w:val="false"/>
                <w:iCs w:val="false"/>
                <w:color w:val="1B4D3E"/>
                <w:sz w:val="20"/>
                <w:szCs w:val="20"/>
              </w:rPr>
              <w:t>POSIÇÃO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>A operação é executável como comissionamento instrumentado, não como campanha de seis ADCP em seis dias. O critério Q ≥ 9,5 m³/s só vale depois de linha desaerada, transferência lenta da linha antiga, envelope de vácuo respeitado e incerteza de medição declarada. 8 minutos não é tempo de campo. A NT de janeiro não é o modelo do teste. Boa Vista e Serrote mandam no risco. Sem Pacote de Liberação e Go/No-Go por sifão, a recomendação da GEOPE é No-Go.</w:t>
            </w:r>
          </w:p>
        </w:tc>
      </w:tr>
    </w:tbl>
    <w:p>
      <w:pPr>
        <w:pStyle w:val="Heading2"/>
        <w:spacing w:before="240" w:after="100"/>
        <w:rPr/>
      </w:pPr>
      <w:r>
        <w:rPr>
          <w:rFonts w:eastAsia="Calibri" w:cs="Calibri" w:ascii="Calibri" w:hAnsi="Calibri"/>
          <w:b/>
          <w:bCs/>
          <w:color w:val="0E4D5C"/>
          <w:sz w:val="24"/>
          <w:szCs w:val="24"/>
        </w:rPr>
        <w:t>27. Documentos-base e distinção de autoria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1. CCEA — Nota Técnica EIX-L4.GRL-REL-TEX-NTC-001-R00, Análise de Solicitações Hidráulicas nas Comportas de Montante dos Sifões, rev. 00, janeiro de 2026.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2. Metodologia de Medição da Vazão da 2ª Linha dos seis sifões do Lote 4, agosto de 2026, NUP 29001.001493/2026-14.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3. CCEA-057/2026 — Programação para testes de vazão, NUP 29001.001726/2026-89, setembro de 2026.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 w:val="false"/>
          <w:iCs w:val="false"/>
          <w:color w:val="222222"/>
          <w:sz w:val="21"/>
          <w:szCs w:val="21"/>
        </w:rPr>
        <w:t>4. Reanálise de transientes e integridade mecânica desta versão. Onde este texto diverge da NT ou da metodologia, a divergência é intencional e está argumentada na Parte I.</w:t>
      </w:r>
    </w:p>
    <w:p>
      <w:pPr>
        <w:pStyle w:val="Normal"/>
        <w:spacing w:lineRule="auto" w:line="276" w:before="80" w:after="80"/>
        <w:jc w:val="both"/>
        <w:rPr/>
      </w:pPr>
      <w:r>
        <w:rPr>
          <w:rFonts w:eastAsia="Calibri" w:cs="Calibri"/>
          <w:b w:val="false"/>
          <w:bCs w:val="false"/>
          <w:i/>
          <w:iCs/>
          <w:color w:val="222222"/>
          <w:sz w:val="20"/>
          <w:szCs w:val="20"/>
        </w:rPr>
        <w:t>Elaboração: apoio técnico à GEOPE/COGERH. Versão para discussão com SRH, Supervisora e CCEA. Não constitui ART.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0" w:right="850" w:gutter="0" w:header="708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6" w:color="C5CDD6"/>
      </w:pBdr>
      <w:jc w:val="end"/>
      <w:rPr/>
    </w:pPr>
    <w:r>
      <w:rPr>
        <w:rFonts w:eastAsia="Calibri" w:cs="Calibri"/>
        <w:color w:val="888888"/>
        <w:sz w:val="15"/>
        <w:szCs w:val="15"/>
      </w:rPr>
      <w:t xml:space="preserve">Confidencial técnico  ·  Setembro/2026  ·  pág. </w:t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fldChar w:fldCharType="begin"/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instrText xml:space="preserve"> PAGE </w:instrText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fldChar w:fldCharType="separate"/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t>8</w:t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6" w:color="C5CDD6"/>
      </w:pBdr>
      <w:jc w:val="end"/>
      <w:rPr/>
    </w:pPr>
    <w:r>
      <w:rPr>
        <w:rFonts w:eastAsia="Calibri" w:cs="Calibri"/>
        <w:color w:val="888888"/>
        <w:sz w:val="15"/>
        <w:szCs w:val="15"/>
      </w:rPr>
      <w:t xml:space="preserve">Confidencial técnico  ·  Setembro/2026  ·  pág. </w:t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fldChar w:fldCharType="begin"/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instrText xml:space="preserve"> PAGE </w:instrText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fldChar w:fldCharType="separate"/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t>8</w:t>
    </w:r>
    <w:r>
      <w:rPr>
        <w:rFonts w:eastAsia="Calibri" w:cs="Calibri"/>
        <w:b w:val="false"/>
        <w:bCs w:val="false"/>
        <w:i/>
        <w:iCs/>
        <w:color w:val="222222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6" w:color="1B365D"/>
      </w:pBdr>
      <w:spacing w:before="0" w:after="80"/>
      <w:rPr/>
    </w:pPr>
    <w:r>
      <w:rPr>
        <w:rFonts w:eastAsia="Calibri" w:cs="Calibri"/>
        <w:b/>
        <w:bCs/>
        <w:color w:val="1B365D"/>
        <w:sz w:val="16"/>
        <w:szCs w:val="16"/>
      </w:rPr>
      <w:t>COGERH / GEOPE  ·  Eixão das Águas — Lote 4</w:t>
    </w:r>
    <w:r>
      <w:rPr>
        <w:rFonts w:eastAsia="Calibri" w:cs="Calibri"/>
        <w:color w:val="666666"/>
        <w:sz w:val="16"/>
        <w:szCs w:val="16"/>
      </w:rPr>
      <w:t xml:space="preserve">     Dossiê técnico remasterizado — crítica e comissionamento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8" w:space="6" w:color="1B365D"/>
      </w:pBdr>
      <w:spacing w:before="0" w:after="80"/>
      <w:rPr/>
    </w:pPr>
    <w:r>
      <w:rPr>
        <w:rFonts w:eastAsia="Calibri" w:cs="Calibri"/>
        <w:b/>
        <w:bCs/>
        <w:color w:val="1B365D"/>
        <w:sz w:val="16"/>
        <w:szCs w:val="16"/>
      </w:rPr>
      <w:t>COGERH / GEOPE  ·  Eixão das Águas — Lote 4</w:t>
    </w:r>
    <w:r>
      <w:rPr>
        <w:rFonts w:eastAsia="Calibri" w:cs="Calibri"/>
        <w:color w:val="666666"/>
        <w:sz w:val="16"/>
        <w:szCs w:val="16"/>
      </w:rPr>
      <w:t xml:space="preserve">     Dossiê técnico remasterizado — crítica e comissionamento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pt-BR" w:eastAsia="zh-CN" w:bidi="hi-IN"/>
    </w:rPr>
  </w:style>
  <w:style w:type="paragraph" w:styleId="Heading1">
    <w:name w:val="heading 1"/>
    <w:basedOn w:val="Ttulo"/>
    <w:qFormat/>
    <w:pPr>
      <w:spacing w:before="320" w:after="140"/>
      <w:outlineLvl w:val="0"/>
    </w:pPr>
    <w:rPr>
      <w:rFonts w:ascii="Calibri" w:hAnsi="Calibri" w:eastAsia="Calibri" w:cs="Calibri"/>
      <w:b/>
      <w:bCs/>
      <w:color w:val="1B365D"/>
      <w:sz w:val="28"/>
      <w:szCs w:val="28"/>
    </w:rPr>
  </w:style>
  <w:style w:type="paragraph" w:styleId="Heading2">
    <w:name w:val="heading 2"/>
    <w:basedOn w:val="Ttulo"/>
    <w:qFormat/>
    <w:pPr>
      <w:spacing w:before="240" w:after="100"/>
      <w:outlineLvl w:val="1"/>
    </w:pPr>
    <w:rPr>
      <w:rFonts w:ascii="Calibri" w:hAnsi="Calibri" w:eastAsia="Calibri" w:cs="Calibri"/>
      <w:b/>
      <w:bCs/>
      <w:color w:val="0E4D5C"/>
      <w:sz w:val="24"/>
      <w:szCs w:val="24"/>
    </w:rPr>
  </w:style>
  <w:style w:type="paragraph" w:styleId="Heading3">
    <w:name w:val="heading 3"/>
    <w:basedOn w:val="Ttulo"/>
    <w:qFormat/>
    <w:pPr>
      <w:spacing w:before="180" w:after="80"/>
      <w:outlineLvl w:val="2"/>
    </w:pPr>
    <w:rPr>
      <w:rFonts w:ascii="Calibri" w:hAnsi="Calibri" w:eastAsia="Calibri" w:cs="Calibri"/>
      <w:b/>
      <w:bCs/>
      <w:color w:val="2C3E50"/>
      <w:sz w:val="22"/>
      <w:szCs w:val="22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LibreOffice/26.2.6.1$Windows_X86_64 LibreOffice_project/d1ee4fa77ef37aa4cfa80ea6fd156dcae5d60263</Application>
  <AppVersion>15.0000</AppVersion>
  <Pages>8</Pages>
  <Words>4428</Words>
  <Characters>21318</Characters>
  <CharactersWithSpaces>25279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2026-09-29T02:18:28Z</dcterms:created>
  <dc:creator>Un-named</dc:creator>
  <dc:description/>
  <dc:language>pt-BR</dc:language>
  <cp:lastModifiedBy/>
  <dcterms:modified xsi:type="dcterms:W3CDTF">2026-09-28T23:36:25Z</dcterms:modified>
  <cp:revision>2</cp:revision>
  <dc:subject/>
  <dc:title/>
</cp:coreProperties>
</file>