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NOTA TÉCNICA DE APOIO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sz w:val="26"/>
          <w:szCs w:val="26"/>
        </w:rPr>
        <w:t>Teste de capacidade dos sifões do Lote 4 – Eixão das Águas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sz w:val="24"/>
          <w:szCs w:val="24"/>
        </w:rPr>
        <w:t>Procedimento de escalonamento de vazão 2,0 → 9,5 m³/s</w:t>
      </w:r>
    </w:p>
    <w:p>
      <w:pPr>
        <w:pStyle w:val="Normal"/>
        <w:spacing w:before="0" w:after="200"/>
        <w:jc w:val="center"/>
        <w:rPr>
          <w:rFonts w:ascii="Arial" w:hAnsi="Arial" w:eastAsia="Arial" w:cs="Arial"/>
          <w:color w:val="555555"/>
          <w:sz w:val="18"/>
          <w:szCs w:val="18"/>
        </w:rPr>
      </w:pPr>
      <w:r>
        <w:rPr/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</w:rPr>
        <w:t>1. Objetivo e conclusão</w:t>
      </w:r>
    </w:p>
    <w:p>
      <w:pPr>
        <w:pStyle w:val="Normal"/>
        <w:spacing w:before="0" w:after="100"/>
        <w:rPr/>
      </w:pPr>
      <w:r>
        <w:rPr>
          <w:rFonts w:eastAsia="Arial" w:cs="Arial"/>
          <w:sz w:val="22"/>
          <w:szCs w:val="22"/>
        </w:rPr>
        <w:t>Definir a sequência de manobras mais segura para elevar a vazão de 2,0 para 9,5 m³/s na linha nova dos seis sifões do Lote 4 (Boa Vista, Mão Ruiva, Melancias, Pirangi, Serrote e Juazeirinho), a partir do Açude Curral Velho, com linha antiga isolada e sistema estabilizado a 2,0 m³/s.</w:t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sz w:val="22"/>
          <w:szCs w:val="22"/>
        </w:rPr>
        <w:t xml:space="preserve">Conclusão: </w:t>
      </w:r>
      <w:r>
        <w:rPr>
          <w:rFonts w:eastAsia="Arial" w:cs="Arial"/>
          <w:sz w:val="22"/>
          <w:szCs w:val="22"/>
        </w:rPr>
        <w:t>comandar a vazão apenas na tomada d'água do açude, com as comportas dos sifões totalmente abertas (cenário A), em patamares (cenário D). O fator limitante é o tempo de trânsito da frente de vazão ao longo de cerca de 100 km de canal e sifões, não o golpe de aríete nos tubos. As sequências B e C não são recomendadas.</w:t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</w:rPr>
        <w:t>2. Dados de entrada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Canal (POM T2/T3): </w:t>
      </w:r>
      <w:r>
        <w:rPr>
          <w:rFonts w:eastAsia="Arial" w:cs="Arial"/>
          <w:sz w:val="22"/>
          <w:szCs w:val="22"/>
        </w:rPr>
        <w:t>trapezoidal, fundo 5,0 m, talude 1,5(H):1,0(V), declividade 0,15 m/km, altura até a berma 2,70 m, revestimento PVC com laje de concreto.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Tomada d'água: </w:t>
      </w:r>
      <w:r>
        <w:rPr>
          <w:rFonts w:eastAsia="Arial" w:cs="Arial"/>
          <w:sz w:val="22"/>
          <w:szCs w:val="22"/>
        </w:rPr>
        <w:t>2 comportas tipo segmento, acionamento hidráulico, 3,5 × 3,9 m; fundo do canal no km 0 na cota 82,24 m.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Açude Curral Velho (CAV): </w:t>
      </w:r>
      <w:r>
        <w:rPr>
          <w:rFonts w:eastAsia="Arial" w:cs="Arial"/>
          <w:sz w:val="22"/>
          <w:szCs w:val="22"/>
        </w:rPr>
        <w:t>no dia do teste, cheio na cota 84,6 m (sangradouro): 12,17 hm³ e 3,0 km².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Sifões: </w:t>
      </w:r>
      <w:r>
        <w:rPr>
          <w:rFonts w:eastAsia="Arial" w:cs="Arial"/>
          <w:sz w:val="22"/>
          <w:szCs w:val="22"/>
        </w:rPr>
        <w:t>1 tubo de aço DN 2,5 m por sifão na linha nova; celeridade a ≈ 702 m/s e e = 7,938 mm (NTC-001-R00); pressão máxima &lt; 6 bar (POM).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Comportas de montante dos sifões (OCM): </w:t>
      </w:r>
      <w:r>
        <w:rPr>
          <w:rFonts w:eastAsia="Arial" w:cs="Arial"/>
          <w:sz w:val="22"/>
          <w:szCs w:val="22"/>
        </w:rPr>
        <w:t>planas, servomotor, 2,5 × 2,5 m. Descargas de segurança (DS): planas, manuais, 1,2 × 1,2 m, antes de cada OCM.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Distâncias de canal entre sifões (OCJ → OCM): </w:t>
      </w:r>
      <w:r>
        <w:rPr>
          <w:rFonts w:eastAsia="Arial" w:cs="Arial"/>
          <w:sz w:val="22"/>
          <w:szCs w:val="22"/>
        </w:rPr>
        <w:t>Boa Vista → Mão Ruiva 2,33 km; → Melancias 1,01 km; → Pirangi 27,34 km; → Serrote 6,00 km; → Juazeirinho 3,42 km. Do açude ao OCM de Palhano: 23,1 km; Palhano → Boa Vista: 3,4 km.</w:t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</w:rPr>
        <w:t>3. Física do fenômeno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O aumento de vazão é manobra lenta: tc = 2L/a varia de 1,6 a 5,9 s nos sifões da NTC, contra manobras de minutos. O transiente relevante é o de massa (oscilações de nível nos canais), não o golpe de aríete.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Risco principal: descompasso de vazão entre comportas consecutivas. Abrir a jusante antes da montante esvazia o canal intermediário (baixa submergência, vórtice, ar). Abrir a montante antes enche o canal e pode galgar.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A subpressão crítica da NTC ocorre no fechamento da comporta de montante (Boa Vista −3,80 mca; Serrote −3,27 mca em 8 min). No escalonamento de subida ela não governa, mas qualquer reversão por fechamento de comporta de sifão deve respeitar os tempos da NTC/POM (≥ 30 min).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Vórtice e ar nas embocaduras reduzem a capacidade e falseiam a perda de carga medida; são critério de parada.</w:t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</w:rPr>
        <w:t>4. Diagnóstico dos cenários</w:t>
      </w:r>
    </w:p>
    <w:tbl>
      <w:tblPr>
        <w:tblW w:w="9360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2600"/>
        <w:gridCol w:w="4960"/>
        <w:gridCol w:w="180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Cenário</w:t>
            </w:r>
          </w:p>
        </w:tc>
        <w:tc>
          <w:tcPr>
            <w:tcW w:w="4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Risco principal</w:t>
            </w:r>
          </w:p>
        </w:tc>
        <w:tc>
          <w:tcPr>
            <w:tcW w:w="1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Avaliação</w:t>
            </w:r>
          </w:p>
        </w:tc>
      </w:tr>
      <w:tr>
        <w:trPr/>
        <w:tc>
          <w:tcPr>
            <w:tcW w:w="2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 – comportas dos sifões abertas, regula só no açude</w:t>
            </w:r>
          </w:p>
        </w:tc>
        <w:tc>
          <w:tcPr>
            <w:tcW w:w="4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Uma única frente de vazão; sem descompasso entre comportas. Exige borda livre nos canais e tempo de trânsito.</w:t>
            </w:r>
          </w:p>
        </w:tc>
        <w:tc>
          <w:tcPr>
            <w:tcW w:w="1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Melhor base</w:t>
            </w:r>
          </w:p>
        </w:tc>
      </w:tr>
      <w:tr>
        <w:trPr/>
        <w:tc>
          <w:tcPr>
            <w:tcW w:w="2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 – jusante → montante (6 → 1)</w:t>
            </w:r>
          </w:p>
        </w:tc>
        <w:tc>
          <w:tcPr>
            <w:tcW w:w="4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Canais esvaziam para alimentar o sifão seguinte; baixa submergência, vórtice e ar.</w:t>
            </w:r>
          </w:p>
        </w:tc>
        <w:tc>
          <w:tcPr>
            <w:tcW w:w="1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Não recomendado</w:t>
            </w:r>
          </w:p>
        </w:tc>
      </w:tr>
      <w:tr>
        <w:trPr/>
        <w:tc>
          <w:tcPr>
            <w:tcW w:w="2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 – montante → jusante (1 → 6)</w:t>
            </w:r>
          </w:p>
        </w:tc>
        <w:tc>
          <w:tcPr>
            <w:tcW w:w="4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Cada comporta joga vazão em canal com saída ainda restrita; enche o canal, surge refletido, galgamento.</w:t>
            </w:r>
          </w:p>
        </w:tc>
        <w:tc>
          <w:tcPr>
            <w:tcW w:w="1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Não recomendado como sequência principal</w:t>
            </w:r>
          </w:p>
        </w:tc>
      </w:tr>
      <w:tr>
        <w:trPr/>
        <w:tc>
          <w:tcPr>
            <w:tcW w:w="26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 – patamares com dQ/dt controlado</w:t>
            </w:r>
          </w:p>
        </w:tc>
        <w:tc>
          <w:tcPr>
            <w:tcW w:w="4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Combina A com taxa limitada e tempo de acomodação.</w:t>
            </w:r>
          </w:p>
        </w:tc>
        <w:tc>
          <w:tcPr>
            <w:tcW w:w="1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Recomendado (A operando em D)</w:t>
            </w:r>
          </w:p>
        </w:tc>
      </w:tr>
    </w:tbl>
    <w:p>
      <w:pPr>
        <w:pStyle w:val="Heading1"/>
        <w:spacing w:before="280" w:after="120"/>
        <w:rPr/>
      </w:pPr>
      <w:r>
        <w:rPr>
          <w:rFonts w:eastAsia="Arial" w:cs="Arial" w:ascii="Arial" w:hAnsi="Arial"/>
        </w:rPr>
        <w:t>5. Resultados de planejamento</w:t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Premissas: Manning n = 0,016; onda cinemática c ≈ 1,4 V; escoamento permanente em cada patamar. Estimativas de planejamento, a validar por simulação 1D.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</w:rPr>
        <w:t>5.1 Canal em regime permanente</w:t>
      </w:r>
    </w:p>
    <w:tbl>
      <w:tblPr>
        <w:tblW w:w="9360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1400"/>
        <w:gridCol w:w="1399"/>
        <w:gridCol w:w="1400"/>
        <w:gridCol w:w="1721"/>
        <w:gridCol w:w="1719"/>
        <w:gridCol w:w="1721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Q (m³/s)</w:t>
            </w:r>
          </w:p>
        </w:tc>
        <w:tc>
          <w:tcPr>
            <w:tcW w:w="13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y (m)</w:t>
            </w:r>
          </w:p>
        </w:tc>
        <w:tc>
          <w:tcPr>
            <w:tcW w:w="14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V (m/s)</w:t>
            </w:r>
          </w:p>
        </w:tc>
        <w:tc>
          <w:tcPr>
            <w:tcW w:w="17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 grav. (m/s)</w:t>
            </w:r>
          </w:p>
        </w:tc>
        <w:tc>
          <w:tcPr>
            <w:tcW w:w="17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 cinem. (m/s)</w:t>
            </w:r>
          </w:p>
        </w:tc>
        <w:tc>
          <w:tcPr>
            <w:tcW w:w="17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Folga até berma (m)</w:t>
            </w:r>
          </w:p>
        </w:tc>
      </w:tr>
      <w:tr>
        <w:trPr/>
        <w:tc>
          <w:tcPr>
            <w:tcW w:w="14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13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0.66</w:t>
            </w:r>
          </w:p>
        </w:tc>
        <w:tc>
          <w:tcPr>
            <w:tcW w:w="14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0.51</w:t>
            </w:r>
          </w:p>
        </w:tc>
        <w:tc>
          <w:tcPr>
            <w:tcW w:w="17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2.36</w:t>
            </w:r>
          </w:p>
        </w:tc>
        <w:tc>
          <w:tcPr>
            <w:tcW w:w="17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0.71</w:t>
            </w:r>
          </w:p>
        </w:tc>
        <w:tc>
          <w:tcPr>
            <w:tcW w:w="17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2.04</w:t>
            </w:r>
          </w:p>
        </w:tc>
      </w:tr>
      <w:tr>
        <w:trPr/>
        <w:tc>
          <w:tcPr>
            <w:tcW w:w="14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</w:t>
            </w:r>
          </w:p>
        </w:tc>
        <w:tc>
          <w:tcPr>
            <w:tcW w:w="13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0.98</w:t>
            </w:r>
          </w:p>
        </w:tc>
        <w:tc>
          <w:tcPr>
            <w:tcW w:w="14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0.63</w:t>
            </w:r>
          </w:p>
        </w:tc>
        <w:tc>
          <w:tcPr>
            <w:tcW w:w="17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2.80</w:t>
            </w:r>
          </w:p>
        </w:tc>
        <w:tc>
          <w:tcPr>
            <w:tcW w:w="17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0.88</w:t>
            </w:r>
          </w:p>
        </w:tc>
        <w:tc>
          <w:tcPr>
            <w:tcW w:w="17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1.72</w:t>
            </w:r>
          </w:p>
        </w:tc>
      </w:tr>
      <w:tr>
        <w:trPr/>
        <w:tc>
          <w:tcPr>
            <w:tcW w:w="14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6</w:t>
            </w:r>
          </w:p>
        </w:tc>
        <w:tc>
          <w:tcPr>
            <w:tcW w:w="13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1.23</w:t>
            </w:r>
          </w:p>
        </w:tc>
        <w:tc>
          <w:tcPr>
            <w:tcW w:w="14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0.71</w:t>
            </w:r>
          </w:p>
        </w:tc>
        <w:tc>
          <w:tcPr>
            <w:tcW w:w="17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3.09</w:t>
            </w:r>
          </w:p>
        </w:tc>
        <w:tc>
          <w:tcPr>
            <w:tcW w:w="17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0.99</w:t>
            </w:r>
          </w:p>
        </w:tc>
        <w:tc>
          <w:tcPr>
            <w:tcW w:w="17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1.47</w:t>
            </w:r>
          </w:p>
        </w:tc>
      </w:tr>
      <w:tr>
        <w:trPr/>
        <w:tc>
          <w:tcPr>
            <w:tcW w:w="14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8</w:t>
            </w:r>
          </w:p>
        </w:tc>
        <w:tc>
          <w:tcPr>
            <w:tcW w:w="13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1.44</w:t>
            </w:r>
          </w:p>
        </w:tc>
        <w:tc>
          <w:tcPr>
            <w:tcW w:w="14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0.77</w:t>
            </w:r>
          </w:p>
        </w:tc>
        <w:tc>
          <w:tcPr>
            <w:tcW w:w="17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3.30</w:t>
            </w:r>
          </w:p>
        </w:tc>
        <w:tc>
          <w:tcPr>
            <w:tcW w:w="17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1.08</w:t>
            </w:r>
          </w:p>
        </w:tc>
        <w:tc>
          <w:tcPr>
            <w:tcW w:w="17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1.26</w:t>
            </w:r>
          </w:p>
        </w:tc>
      </w:tr>
      <w:tr>
        <w:trPr/>
        <w:tc>
          <w:tcPr>
            <w:tcW w:w="14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9.5</w:t>
            </w:r>
          </w:p>
        </w:tc>
        <w:tc>
          <w:tcPr>
            <w:tcW w:w="13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1.59</w:t>
            </w:r>
          </w:p>
        </w:tc>
        <w:tc>
          <w:tcPr>
            <w:tcW w:w="14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0.81</w:t>
            </w:r>
          </w:p>
        </w:tc>
        <w:tc>
          <w:tcPr>
            <w:tcW w:w="17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3.43</w:t>
            </w:r>
          </w:p>
        </w:tc>
        <w:tc>
          <w:tcPr>
            <w:tcW w:w="17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1.14</w:t>
            </w:r>
          </w:p>
        </w:tc>
        <w:tc>
          <w:tcPr>
            <w:tcW w:w="17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1.11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A folga é a borda livre no trecho normal, sem remanso dos sifões.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</w:rPr>
        <w:t>5.2 Tomada d'água com açude cheio (cota 84,6 m)</w:t>
      </w:r>
    </w:p>
    <w:tbl>
      <w:tblPr>
        <w:tblW w:w="9360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1799"/>
        <w:gridCol w:w="2701"/>
        <w:gridCol w:w="2430"/>
        <w:gridCol w:w="2430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Q (m³/s)</w:t>
            </w:r>
          </w:p>
        </w:tc>
        <w:tc>
          <w:tcPr>
            <w:tcW w:w="27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Nível do canal no km 0 (m)</w:t>
            </w:r>
          </w:p>
        </w:tc>
        <w:tc>
          <w:tcPr>
            <w:tcW w:w="24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Carga no orifício (m)</w:t>
            </w:r>
          </w:p>
        </w:tc>
        <w:tc>
          <w:tcPr>
            <w:tcW w:w="24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Abertura estimada (cm)</w:t>
            </w:r>
          </w:p>
        </w:tc>
      </w:tr>
      <w:tr>
        <w:trPr/>
        <w:tc>
          <w:tcPr>
            <w:tcW w:w="17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27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82.90</w:t>
            </w:r>
          </w:p>
        </w:tc>
        <w:tc>
          <w:tcPr>
            <w:tcW w:w="24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1.70</w:t>
            </w:r>
          </w:p>
        </w:tc>
        <w:tc>
          <w:tcPr>
            <w:tcW w:w="24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6</w:t>
            </w:r>
          </w:p>
        </w:tc>
      </w:tr>
      <w:tr>
        <w:trPr/>
        <w:tc>
          <w:tcPr>
            <w:tcW w:w="17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</w:t>
            </w:r>
          </w:p>
        </w:tc>
        <w:tc>
          <w:tcPr>
            <w:tcW w:w="27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83.22</w:t>
            </w:r>
          </w:p>
        </w:tc>
        <w:tc>
          <w:tcPr>
            <w:tcW w:w="24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1.38</w:t>
            </w:r>
          </w:p>
        </w:tc>
        <w:tc>
          <w:tcPr>
            <w:tcW w:w="24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14</w:t>
            </w:r>
          </w:p>
        </w:tc>
      </w:tr>
      <w:tr>
        <w:trPr/>
        <w:tc>
          <w:tcPr>
            <w:tcW w:w="17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6</w:t>
            </w:r>
          </w:p>
        </w:tc>
        <w:tc>
          <w:tcPr>
            <w:tcW w:w="27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83.47</w:t>
            </w:r>
          </w:p>
        </w:tc>
        <w:tc>
          <w:tcPr>
            <w:tcW w:w="24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1.13</w:t>
            </w:r>
          </w:p>
        </w:tc>
        <w:tc>
          <w:tcPr>
            <w:tcW w:w="24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23</w:t>
            </w:r>
          </w:p>
        </w:tc>
      </w:tr>
      <w:tr>
        <w:trPr/>
        <w:tc>
          <w:tcPr>
            <w:tcW w:w="17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8</w:t>
            </w:r>
          </w:p>
        </w:tc>
        <w:tc>
          <w:tcPr>
            <w:tcW w:w="27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83.68</w:t>
            </w:r>
          </w:p>
        </w:tc>
        <w:tc>
          <w:tcPr>
            <w:tcW w:w="24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0.92</w:t>
            </w:r>
          </w:p>
        </w:tc>
        <w:tc>
          <w:tcPr>
            <w:tcW w:w="24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34</w:t>
            </w:r>
          </w:p>
        </w:tc>
      </w:tr>
      <w:tr>
        <w:trPr/>
        <w:tc>
          <w:tcPr>
            <w:tcW w:w="17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9.5</w:t>
            </w:r>
          </w:p>
        </w:tc>
        <w:tc>
          <w:tcPr>
            <w:tcW w:w="27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83.83</w:t>
            </w:r>
          </w:p>
        </w:tc>
        <w:tc>
          <w:tcPr>
            <w:tcW w:w="24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0.77</w:t>
            </w:r>
          </w:p>
        </w:tc>
        <w:tc>
          <w:tcPr>
            <w:tcW w:w="24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44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Orifício afogado, Cd = 0,8, 2 vãos de 3,5 m. Controle por abertura da ordem de centímetros; o nível do açude cai cerca de 0,27 m/dia a 9,5 m³/s, exigindo reajuste da comporta.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</w:rPr>
        <w:t>5.3 Sifões: comprimentos e perda de carga a 9,5 m³/s</w:t>
      </w:r>
    </w:p>
    <w:tbl>
      <w:tblPr>
        <w:tblW w:w="9360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1799"/>
        <w:gridCol w:w="1501"/>
        <w:gridCol w:w="1499"/>
        <w:gridCol w:w="1100"/>
        <w:gridCol w:w="1960"/>
        <w:gridCol w:w="1501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Sifão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L POM (km)</w:t>
            </w:r>
          </w:p>
        </w:tc>
        <w:tc>
          <w:tcPr>
            <w:tcW w:w="14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L NTC (km)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Δ (%)</w:t>
            </w:r>
          </w:p>
        </w:tc>
        <w:tc>
          <w:tcPr>
            <w:tcW w:w="1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hf+loc. a 9,5 (m)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tc = 2L/a (s)</w:t>
            </w:r>
          </w:p>
        </w:tc>
      </w:tr>
      <w:tr>
        <w:trPr/>
        <w:tc>
          <w:tcPr>
            <w:tcW w:w="17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Palhano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6.395</w:t>
            </w:r>
          </w:p>
        </w:tc>
        <w:tc>
          <w:tcPr>
            <w:tcW w:w="14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–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–</w:t>
            </w:r>
          </w:p>
        </w:tc>
        <w:tc>
          <w:tcPr>
            <w:tcW w:w="1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6.50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18.2</w:t>
            </w:r>
          </w:p>
        </w:tc>
      </w:tr>
      <w:tr>
        <w:trPr/>
        <w:tc>
          <w:tcPr>
            <w:tcW w:w="17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Boa Vista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2.112</w:t>
            </w:r>
          </w:p>
        </w:tc>
        <w:tc>
          <w:tcPr>
            <w:tcW w:w="14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2.066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1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2.34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6.0</w:t>
            </w:r>
          </w:p>
        </w:tc>
      </w:tr>
      <w:tr>
        <w:trPr/>
        <w:tc>
          <w:tcPr>
            <w:tcW w:w="17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Mão Ruiva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1.172</w:t>
            </w:r>
          </w:p>
        </w:tc>
        <w:tc>
          <w:tcPr>
            <w:tcW w:w="14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1.123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</w:t>
            </w:r>
          </w:p>
        </w:tc>
        <w:tc>
          <w:tcPr>
            <w:tcW w:w="1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1.43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3.3</w:t>
            </w:r>
          </w:p>
        </w:tc>
      </w:tr>
      <w:tr>
        <w:trPr/>
        <w:tc>
          <w:tcPr>
            <w:tcW w:w="17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Melancias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1.201</w:t>
            </w:r>
          </w:p>
        </w:tc>
        <w:tc>
          <w:tcPr>
            <w:tcW w:w="14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1.161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1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1.45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3.4</w:t>
            </w:r>
          </w:p>
        </w:tc>
      </w:tr>
      <w:tr>
        <w:trPr/>
        <w:tc>
          <w:tcPr>
            <w:tcW w:w="17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Pirangi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1.050</w:t>
            </w:r>
          </w:p>
        </w:tc>
        <w:tc>
          <w:tcPr>
            <w:tcW w:w="14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0.567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85</w:t>
            </w:r>
          </w:p>
        </w:tc>
        <w:tc>
          <w:tcPr>
            <w:tcW w:w="1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1.31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3.0</w:t>
            </w:r>
          </w:p>
        </w:tc>
      </w:tr>
      <w:tr>
        <w:trPr/>
        <w:tc>
          <w:tcPr>
            <w:tcW w:w="17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Serrote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2.485</w:t>
            </w:r>
          </w:p>
        </w:tc>
        <w:tc>
          <w:tcPr>
            <w:tcW w:w="14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1.827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36</w:t>
            </w:r>
          </w:p>
        </w:tc>
        <w:tc>
          <w:tcPr>
            <w:tcW w:w="1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2.70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7.1</w:t>
            </w:r>
          </w:p>
        </w:tc>
      </w:tr>
      <w:tr>
        <w:trPr/>
        <w:tc>
          <w:tcPr>
            <w:tcW w:w="17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Juazeirinho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1.415</w:t>
            </w:r>
          </w:p>
        </w:tc>
        <w:tc>
          <w:tcPr>
            <w:tcW w:w="14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0.861</w:t>
            </w:r>
          </w:p>
        </w:tc>
        <w:tc>
          <w:tcPr>
            <w:tcW w:w="11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64</w:t>
            </w:r>
          </w:p>
        </w:tc>
        <w:tc>
          <w:tcPr>
            <w:tcW w:w="1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1.66</w:t>
            </w:r>
          </w:p>
        </w:tc>
        <w:tc>
          <w:tcPr>
            <w:tcW w:w="15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4.0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Tubo único DN 2,5 m, ε = 0,3 mm, ΣK = 1,5. V no tubo = 1.94 m/s. Os comprimentos do POM (entrada–saída, inclui transições) divergem da NTC, sobretudo em Pirangi, Serrote e Juazeirinho; conferir no as-built.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</w:rPr>
        <w:t>5.4 Chegada da frente de cada patamar (horas após T0)</w:t>
      </w:r>
    </w:p>
    <w:tbl>
      <w:tblPr>
        <w:tblW w:w="9360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1500"/>
        <w:gridCol w:w="1000"/>
        <w:gridCol w:w="1129"/>
        <w:gridCol w:w="1130"/>
        <w:gridCol w:w="1131"/>
        <w:gridCol w:w="1130"/>
        <w:gridCol w:w="1129"/>
        <w:gridCol w:w="121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Patamar</w:t>
            </w:r>
          </w:p>
        </w:tc>
        <w:tc>
          <w:tcPr>
            <w:tcW w:w="1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Início (h)</w:t>
            </w:r>
          </w:p>
        </w:tc>
        <w:tc>
          <w:tcPr>
            <w:tcW w:w="11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Boa Vista</w:t>
            </w:r>
          </w:p>
        </w:tc>
        <w:tc>
          <w:tcPr>
            <w:tcW w:w="11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Mão Ruiva</w:t>
            </w:r>
          </w:p>
        </w:tc>
        <w:tc>
          <w:tcPr>
            <w:tcW w:w="113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Melancias</w:t>
            </w:r>
          </w:p>
        </w:tc>
        <w:tc>
          <w:tcPr>
            <w:tcW w:w="11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Pirangi</w:t>
            </w:r>
          </w:p>
        </w:tc>
        <w:tc>
          <w:tcPr>
            <w:tcW w:w="11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Serrote</w:t>
            </w:r>
          </w:p>
        </w:tc>
        <w:tc>
          <w:tcPr>
            <w:tcW w:w="121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Juazeirinho</w:t>
            </w:r>
          </w:p>
        </w:tc>
      </w:tr>
      <w:tr>
        <w:trPr/>
        <w:tc>
          <w:tcPr>
            <w:tcW w:w="15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 → 4</w:t>
            </w:r>
          </w:p>
        </w:tc>
        <w:tc>
          <w:tcPr>
            <w:tcW w:w="1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11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10.2</w:t>
            </w:r>
          </w:p>
        </w:tc>
        <w:tc>
          <w:tcPr>
            <w:tcW w:w="11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11.3</w:t>
            </w:r>
          </w:p>
        </w:tc>
        <w:tc>
          <w:tcPr>
            <w:tcW w:w="113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11.8</w:t>
            </w:r>
          </w:p>
        </w:tc>
        <w:tc>
          <w:tcPr>
            <w:tcW w:w="11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21.6</w:t>
            </w:r>
          </w:p>
        </w:tc>
        <w:tc>
          <w:tcPr>
            <w:tcW w:w="11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23.8</w:t>
            </w:r>
          </w:p>
        </w:tc>
        <w:tc>
          <w:tcPr>
            <w:tcW w:w="121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25.4</w:t>
            </w:r>
          </w:p>
        </w:tc>
      </w:tr>
      <w:tr>
        <w:trPr/>
        <w:tc>
          <w:tcPr>
            <w:tcW w:w="15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 → 6</w:t>
            </w:r>
          </w:p>
        </w:tc>
        <w:tc>
          <w:tcPr>
            <w:tcW w:w="1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</w:t>
            </w:r>
          </w:p>
        </w:tc>
        <w:tc>
          <w:tcPr>
            <w:tcW w:w="11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12.8</w:t>
            </w:r>
          </w:p>
        </w:tc>
        <w:tc>
          <w:tcPr>
            <w:tcW w:w="11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13.8</w:t>
            </w:r>
          </w:p>
        </w:tc>
        <w:tc>
          <w:tcPr>
            <w:tcW w:w="113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14.2</w:t>
            </w:r>
          </w:p>
        </w:tc>
        <w:tc>
          <w:tcPr>
            <w:tcW w:w="11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22.5</w:t>
            </w:r>
          </w:p>
        </w:tc>
        <w:tc>
          <w:tcPr>
            <w:tcW w:w="11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24.4</w:t>
            </w:r>
          </w:p>
        </w:tc>
        <w:tc>
          <w:tcPr>
            <w:tcW w:w="121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25.8</w:t>
            </w:r>
          </w:p>
        </w:tc>
      </w:tr>
      <w:tr>
        <w:trPr/>
        <w:tc>
          <w:tcPr>
            <w:tcW w:w="15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6 → 8</w:t>
            </w:r>
          </w:p>
        </w:tc>
        <w:tc>
          <w:tcPr>
            <w:tcW w:w="1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8</w:t>
            </w:r>
          </w:p>
        </w:tc>
        <w:tc>
          <w:tcPr>
            <w:tcW w:w="11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16.0</w:t>
            </w:r>
          </w:p>
        </w:tc>
        <w:tc>
          <w:tcPr>
            <w:tcW w:w="11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16.9</w:t>
            </w:r>
          </w:p>
        </w:tc>
        <w:tc>
          <w:tcPr>
            <w:tcW w:w="113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17.4</w:t>
            </w:r>
          </w:p>
        </w:tc>
        <w:tc>
          <w:tcPr>
            <w:tcW w:w="11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24.9</w:t>
            </w:r>
          </w:p>
        </w:tc>
        <w:tc>
          <w:tcPr>
            <w:tcW w:w="11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26.6</w:t>
            </w:r>
          </w:p>
        </w:tc>
        <w:tc>
          <w:tcPr>
            <w:tcW w:w="121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27.9</w:t>
            </w:r>
          </w:p>
        </w:tc>
      </w:tr>
      <w:tr>
        <w:trPr/>
        <w:tc>
          <w:tcPr>
            <w:tcW w:w="15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8 → 9.5</w:t>
            </w:r>
          </w:p>
        </w:tc>
        <w:tc>
          <w:tcPr>
            <w:tcW w:w="1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12</w:t>
            </w:r>
          </w:p>
        </w:tc>
        <w:tc>
          <w:tcPr>
            <w:tcW w:w="11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19.6</w:t>
            </w:r>
          </w:p>
        </w:tc>
        <w:tc>
          <w:tcPr>
            <w:tcW w:w="11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20.4</w:t>
            </w:r>
          </w:p>
        </w:tc>
        <w:tc>
          <w:tcPr>
            <w:tcW w:w="113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20.9</w:t>
            </w:r>
          </w:p>
        </w:tc>
        <w:tc>
          <w:tcPr>
            <w:tcW w:w="113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27.9</w:t>
            </w:r>
          </w:p>
        </w:tc>
        <w:tc>
          <w:tcPr>
            <w:tcW w:w="11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29.5</w:t>
            </w:r>
          </w:p>
        </w:tc>
        <w:tc>
          <w:tcPr>
            <w:tcW w:w="121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30.8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Permanência de 4 h por patamar. Chegada = tempo para o novo patamar alcançar a entrada de cada sifão.</w:t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</w:rPr>
        <w:t>6. Protocolo recomendado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</w:rPr>
        <w:t>6.1 Pré-condições (go / no-go)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Linha antiga isolada e confirmada (comportas de montante e stop-logs de jusante, parados há longo período: manobrar e inspecionar antes).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Comportas OCM da linha nova 100% abertas e travadas.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Ventosas e descargas de fundo operacionais; réguas e sensores de nível em cada canal intermediário e nas 6 embocaduras.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Açude na cota de teste; borda livre dos canais verificada para 9,5 a 10,0 m³/s.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</w:rPr>
        <w:t>6.2 Escalonamento (comando exclusivo na tomada d'água)</w:t>
      </w:r>
    </w:p>
    <w:tbl>
      <w:tblPr>
        <w:tblW w:w="9360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1131"/>
        <w:gridCol w:w="909"/>
        <w:gridCol w:w="2554"/>
        <w:gridCol w:w="4766"/>
      </w:tblGrid>
      <w:tr>
        <w:trPr>
          <w:tblHeader w:val="true"/>
        </w:trPr>
        <w:tc>
          <w:tcPr>
            <w:tcW w:w="113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Patamar</w:t>
            </w:r>
          </w:p>
        </w:tc>
        <w:tc>
          <w:tcPr>
            <w:tcW w:w="90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Q (m³/s)</w:t>
            </w:r>
          </w:p>
        </w:tc>
        <w:tc>
          <w:tcPr>
            <w:tcW w:w="255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Taxa de abertura</w:t>
            </w:r>
          </w:p>
        </w:tc>
        <w:tc>
          <w:tcPr>
            <w:tcW w:w="4766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CE6F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Espera mínima antes do próximo</w:t>
            </w:r>
          </w:p>
        </w:tc>
      </w:tr>
      <w:tr>
        <w:trPr/>
        <w:tc>
          <w:tcPr>
            <w:tcW w:w="113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Base</w:t>
            </w:r>
          </w:p>
        </w:tc>
        <w:tc>
          <w:tcPr>
            <w:tcW w:w="90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2,0</w:t>
            </w:r>
          </w:p>
        </w:tc>
        <w:tc>
          <w:tcPr>
            <w:tcW w:w="255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Estabilizado ≥ 7 dias</w:t>
            </w:r>
          </w:p>
        </w:tc>
        <w:tc>
          <w:tcPr>
            <w:tcW w:w="4766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Registrar linha de base</w:t>
            </w:r>
          </w:p>
        </w:tc>
      </w:tr>
      <w:tr>
        <w:trPr/>
        <w:tc>
          <w:tcPr>
            <w:tcW w:w="113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90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4,0</w:t>
            </w:r>
          </w:p>
        </w:tc>
        <w:tc>
          <w:tcPr>
            <w:tcW w:w="255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ΔQ = 2,0 em ≥ 30 min</w:t>
            </w:r>
          </w:p>
        </w:tc>
        <w:tc>
          <w:tcPr>
            <w:tcW w:w="4766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 a 6 h, com o nível estável nos sifões já atingidos</w:t>
            </w:r>
          </w:p>
        </w:tc>
      </w:tr>
      <w:tr>
        <w:trPr/>
        <w:tc>
          <w:tcPr>
            <w:tcW w:w="113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90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6,0</w:t>
            </w:r>
          </w:p>
        </w:tc>
        <w:tc>
          <w:tcPr>
            <w:tcW w:w="255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ΔQ = 2,0 em ≥ 30 min</w:t>
            </w:r>
          </w:p>
        </w:tc>
        <w:tc>
          <w:tcPr>
            <w:tcW w:w="4766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 a 6 h, idem</w:t>
            </w:r>
          </w:p>
        </w:tc>
      </w:tr>
      <w:tr>
        <w:trPr/>
        <w:tc>
          <w:tcPr>
            <w:tcW w:w="113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90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8,0</w:t>
            </w:r>
          </w:p>
        </w:tc>
        <w:tc>
          <w:tcPr>
            <w:tcW w:w="255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ΔQ = 2,0 em ≥ 30 min</w:t>
            </w:r>
          </w:p>
        </w:tc>
        <w:tc>
          <w:tcPr>
            <w:tcW w:w="4766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 a 6 h, idem</w:t>
            </w:r>
          </w:p>
        </w:tc>
      </w:tr>
      <w:tr>
        <w:trPr/>
        <w:tc>
          <w:tcPr>
            <w:tcW w:w="113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</w:t>
            </w:r>
          </w:p>
        </w:tc>
        <w:tc>
          <w:tcPr>
            <w:tcW w:w="90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9,5</w:t>
            </w:r>
          </w:p>
        </w:tc>
        <w:tc>
          <w:tcPr>
            <w:tcW w:w="255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ΔQ = 1,5 em ≥ 30 min</w:t>
            </w:r>
          </w:p>
        </w:tc>
        <w:tc>
          <w:tcPr>
            <w:tcW w:w="4766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Chegada ao Juazeirinho + ≥ 2 h estável antes da leitura</w:t>
            </w:r>
          </w:p>
        </w:tc>
      </w:tr>
    </w:tbl>
    <w:p>
      <w:pPr>
        <w:pStyle w:val="Heading2"/>
        <w:spacing w:before="200" w:after="80"/>
        <w:rPr/>
      </w:pPr>
      <w:r>
        <w:rPr>
          <w:rFonts w:eastAsia="Arial" w:cs="Arial" w:ascii="Arial" w:hAnsi="Arial"/>
        </w:rPr>
        <w:t>6.3 Critérios de parada e reversão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Folga de borda livre &lt; 0,5 m em qualquer canal: parar e manter; se necessário, aliviar pelas descargas de segurança.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Sinais de ar (ruído, borbulhamento, vórtice, ventosa expelindo em excesso): parar.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Nível variando mais que 1 cm/min passado o tempo de acomodação: regime ainda não permanente; não medir.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Reversão: fechar pelo açude, ΔQ ≥ 30 min por 2,0 m³/s. Nunca manobrar comporta de sifão com vazão.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</w:rPr>
        <w:t>6.4 Critério de regime permanente para medição</w:t>
      </w:r>
    </w:p>
    <w:p>
      <w:pPr>
        <w:pStyle w:val="Normal"/>
        <w:spacing w:before="0" w:after="100"/>
        <w:rPr/>
      </w:pPr>
      <w:r>
        <w:rPr>
          <w:rFonts w:eastAsia="Arial" w:cs="Arial"/>
          <w:sz w:val="22"/>
          <w:szCs w:val="22"/>
        </w:rPr>
        <w:t>Nível estável (variação &lt; 0,5 cm em 15 min) em todos os canais, vazão do açude coerente com a medida pela Flowmarfe e nenhuma onda residual nas réguas.</w:t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</w:rPr>
        <w:t>7. Pontos abertos e alternativas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Palhano: </w:t>
      </w:r>
      <w:r>
        <w:rPr>
          <w:rFonts w:eastAsia="Arial" w:cs="Arial"/>
          <w:sz w:val="22"/>
          <w:szCs w:val="22"/>
        </w:rPr>
        <w:t>sifão de 6,4 km a montante do Boa Vista, fora da lista de seis da carta CCEA; confirmar se opera com as duas linhas.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Prazo da carta CCEA: </w:t>
      </w:r>
      <w:r>
        <w:rPr>
          <w:rFonts w:eastAsia="Arial" w:cs="Arial"/>
          <w:sz w:val="22"/>
          <w:szCs w:val="22"/>
        </w:rPr>
        <w:t>prevê só 2 h de linha nova isolada antes da medição, insuficiente frente ao trânsito de cerca de 1 dia até Juazeirinho, e menor que os 7 dias adotados como premissa.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Ventosas: </w:t>
      </w:r>
      <w:r>
        <w:rPr>
          <w:rFonts w:eastAsia="Arial" w:cs="Arial"/>
          <w:sz w:val="22"/>
          <w:szCs w:val="22"/>
        </w:rPr>
        <w:t>o POM lista ventosa apenas no Boa Vista (e nos sifões de T3 sem detalhe); Mão Ruiva e Melancias só têm descarga de fundo. Verificar a purga de ar.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Comprimentos: </w:t>
      </w:r>
      <w:r>
        <w:rPr>
          <w:rFonts w:eastAsia="Arial" w:cs="Arial"/>
          <w:sz w:val="22"/>
          <w:szCs w:val="22"/>
        </w:rPr>
        <w:t>divergências entre POM, NTC e KMZ (Pirangi 1.050 × 567 m; Serrote 2.485 × 1.827 m; Juazeirinho 1.415 × 861 m).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Premissa de estaqueamento: </w:t>
      </w:r>
      <w:r>
        <w:rPr>
          <w:rFonts w:eastAsia="Arial" w:cs="Arial"/>
          <w:sz w:val="22"/>
          <w:szCs w:val="22"/>
        </w:rPr>
        <w:t>km 0 do Trecho 3 = km 46,0 do Trecho 2.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Alternativas: </w:t>
      </w:r>
      <w:r>
        <w:rPr>
          <w:rFonts w:eastAsia="Arial" w:cs="Arial"/>
          <w:sz w:val="22"/>
          <w:szCs w:val="22"/>
        </w:rPr>
        <w:t>testar primeiro os sifões de montante enquanto a frente viaja; ou patamares de 1,5 m³/s para mais margem.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Dados ainda necessários: </w:t>
      </w:r>
      <w:r>
        <w:rPr>
          <w:rFonts w:eastAsia="Arial" w:cs="Arial"/>
          <w:sz w:val="22"/>
          <w:szCs w:val="22"/>
        </w:rPr>
        <w:t>cotas do canal em cada OCM e nos sifões, velocidade de manobra das comportas e curva de descarga da tomada.</w:t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Parecer de apoio técnico. Tempos e manobras devem ser validados por simulação hidrodinâmica e pela equipe de operação da COGERH antes da execução.</w:t>
      </w:r>
    </w:p>
    <w:sectPr>
      <w:type w:val="nextPage"/>
      <w:pgSz w:w="11906" w:h="16838"/>
      <w:pgMar w:left="1273" w:right="1273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280" w:after="12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Heading2">
    <w:name w:val="heading 2"/>
    <w:basedOn w:val="Ttulo"/>
    <w:qFormat/>
    <w:pPr>
      <w:spacing w:before="200" w:after="80"/>
      <w:outlineLvl w:val="1"/>
    </w:pPr>
    <w:rPr>
      <w:rFonts w:ascii="Arial" w:hAnsi="Arial" w:eastAsia="Arial" w:cs="Arial"/>
      <w:b/>
      <w:bCs/>
      <w:color w:val="2E5597"/>
      <w:sz w:val="24"/>
      <w:szCs w:val="24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  <Pages>4</Pages>
  <Words>1435</Words>
  <Characters>6223</Characters>
  <CharactersWithSpaces>7375</CharactersWithSpaces>
  <Paragraphs>239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2026-09-30T23:03:23Z</dcterms:created>
  <dc:creator>Un-named</dc:creator>
  <dc:description/>
  <dc:language>pt-BR</dc:language>
  <cp:lastModifiedBy/>
  <dcterms:modified xsi:type="dcterms:W3CDTF">2026-09-30T20:05:23Z</dcterms:modified>
  <cp:revision>3</cp:revision>
  <dc:subject/>
  <dc:title/>
</cp:coreProperties>
</file>