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emf" ContentType="image/x-emf"/>
  <Override PartName="/word/media/rId36.emf" ContentType="image/x-emf"/>
  <Override PartName="/word/media/rId56.emf" ContentType="image/x-emf"/>
  <Override PartName="/word/media/rId31.emf" ContentType="image/x-emf"/>
  <Override PartName="/word/media/rId68.emf" ContentType="image/x-emf"/>
  <Override PartName="/word/media/rId87.emf" ContentType="image/x-emf"/>
  <Override PartName="/word/media/rId62.emf" ContentType="image/x-emf"/>
  <Override PartName="/word/media/rId77.emf" ContentType="image/x-emf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0" w:name="X70415e6999d7319fe81eda9407192691c130e65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52" w:name="part-i-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p>
      <w:pPr>
        <w:pStyle w:val="CaptionedFigure"/>
      </w:pPr>
      <w:r>
        <w:drawing>
          <wp:inline>
            <wp:extent cx="5334000" cy="3338917"/>
            <wp:effectExtent b="0" l="0" r="0" t="0"/>
            <wp:docPr descr="The fifteen principles, grouped by the failure mode they close (HTML: hover a tile for rule and reason)" title="" id="32" name="Picture"/>
            <a:graphic>
              <a:graphicData uri="http://schemas.openxmlformats.org/drawingml/2006/picture">
                <pic:pic>
                  <pic:nvPicPr>
                    <pic:cNvPr descr="/tmp/tmp6n3y1bnz/emf/diagrams/spec/philosophy-map.emf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89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fifteen principles, grouped by the failure mode they close (HTML: hover a tile for rule and reason)</w:t>
      </w:r>
    </w:p>
    <w:bookmarkStart w:id="34" w:name="p1-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 "repeat until the tests pass" can</w:t>
      </w:r>
      <w:r>
        <w:t xml:space="preserve"> </w:t>
      </w:r>
      <w:r>
        <w:t xml:space="preserve">stop early, loop forever or redefine "pass";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 "now call the next phase".</w:t>
      </w:r>
    </w:p>
    <w:bookmarkEnd w:id="34"/>
    <w:bookmarkStart w:id="35" w:name="p2-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 "just the trivial thing" 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5"/>
    <w:bookmarkStart w:id="39" w:name="p3-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"Small" is the agent's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p>
      <w:pPr>
        <w:pStyle w:val="CaptionedFigure"/>
      </w:pPr>
      <w:r>
        <w:drawing>
          <wp:inline>
            <wp:extent cx="5334000" cy="2120886"/>
            <wp:effectExtent b="0" l="0" r="0" t="0"/>
            <wp:docPr descr="P3 — every source of findings ends in the same validated path" title="" id="37" name="Picture"/>
            <a:graphic>
              <a:graphicData uri="http://schemas.openxmlformats.org/drawingml/2006/picture">
                <pic:pic>
                  <pic:nvPicPr>
                    <pic:cNvPr descr="/tmp/tmp6n3y1bnz/emf/diagrams/spec/fix-path.emf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208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P3 — every source of findings ends in the same validated path</w:t>
      </w:r>
    </w:p>
    <w:bookmarkEnd w:id="39"/>
    <w:bookmarkStart w:id="40" w:name="X5a75cfc199a02e3e8653a8ea997e5ebf247c1ce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"nothing changed" 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40"/>
    <w:bookmarkStart w:id="41" w:name="p5-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 "somehow keeps going" 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41"/>
    <w:bookmarkStart w:id="42" w:name="p6-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42"/>
    <w:bookmarkStart w:id="43" w:name="Xdb665648651ea4616131a492a46a2fdcc9c6485"/>
    <w:p>
      <w:pPr>
        <w:pStyle w:val="Heading2"/>
      </w:pPr>
      <w:r>
        <w:t xml:space="preserve">P7 — Verify, don't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 "the gates were green" 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43"/>
    <w:bookmarkStart w:id="44" w:name="p8-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44"/>
    <w:bookmarkStart w:id="45" w:name="p9-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45"/>
    <w:bookmarkStart w:id="46" w:name="p10-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6"/>
    <w:bookmarkStart w:id="47" w:name="Xffa5225f878c8a1e48c38254a4da34f4d7a78f4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7"/>
    <w:bookmarkStart w:id="48" w:name="p12-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orchestrator's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8"/>
    <w:bookmarkStart w:id="49" w:name="Xf99331fd7507283e473a04eebe513f26d853085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rounds'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 "too strict" and "too lenient".</w:t>
      </w:r>
      <w:r>
        <w:t xml:space="preserve"> </w:t>
      </w:r>
      <w:r>
        <w:t xml:space="preserve">The same policy is the contributor's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9"/>
    <w:bookmarkStart w:id="50" w:name="X95db177b9c7bac5371f3b8ae973d8d2af06a0d7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50"/>
    <w:bookmarkStart w:id="51" w:name="X0b9256d1b85706c03091baafaff2b781e6a5822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 "which version</w:t>
      </w:r>
      <w:r>
        <w:t xml:space="preserve"> </w:t>
      </w:r>
      <w:r>
        <w:t xml:space="preserve">introduced this?" answerable.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99" w:name="Xa77cbe744dd05ed51520491eddceb2a2d2574d2"/>
    <w:p>
      <w:pPr>
        <w:pStyle w:val="Heading1"/>
      </w:pPr>
      <w:r>
        <w:t xml:space="preserve">Part II — Technical specification (as built, 0.26.1)</w:t>
      </w:r>
    </w:p>
    <w:bookmarkStart w:id="61" w:name="Xe86c6727f15f8bfe9813a8b9f0c8923417c2b43"/>
    <w:p>
      <w:pPr>
        <w:pStyle w:val="Heading2"/>
      </w:pPr>
      <w:r>
        <w:t xml:space="preserve">1. Architecture and module map</w:t>
      </w:r>
    </w:p>
    <w:p>
      <w:pPr>
        <w:pStyle w:val="CaptionedFigure"/>
      </w:pPr>
      <w:r>
        <w:drawing>
          <wp:inline>
            <wp:extent cx="5334000" cy="2897936"/>
            <wp:effectExtent b="0" l="0" r="0" t="0"/>
            <wp:docPr descr="Architecture of the adw package: entry point, phase engine, judgment, deterministic core, fail-open observability and the read-only GUI" title="" id="54" name="Picture"/>
            <a:graphic>
              <a:graphicData uri="http://schemas.openxmlformats.org/drawingml/2006/picture">
                <pic:pic>
                  <pic:nvPicPr>
                    <pic:cNvPr descr="/tmp/tmp6n3y1bnz/emf/diagrams/spec/architecture.emf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Architecture of the adw package: entry point, phase engine, judgment, deterministic core, fail-open observability and the read-only GUI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 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forge preflight,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 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-m gpt-6-astra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runs_root</w:t>
            </w:r>
            <w:r>
              <w:t xml:space="preserve">/</w:t>
            </w:r>
            <w:r>
              <w:rPr>
                <w:rStyle w:val="VerbatimChar"/>
              </w:rPr>
              <w:t xml:space="preserve">contained</w:t>
            </w:r>
            <w:r>
              <w:t xml:space="preserve"> </w:t>
            </w:r>
            <w:r>
              <w:t xml:space="preserve">— the runs-tree containment shared by the GUI and retention.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retrieval; the forge-neutral</w:t>
            </w:r>
            <w:r>
              <w:t xml:space="preserve"> </w:t>
            </w:r>
            <w:r>
              <w:rPr>
                <w:rStyle w:val="VerbatimChar"/>
              </w:rPr>
              <w:t xml:space="preserve">run_forge_cli</w:t>
            </w:r>
            <w:r>
              <w:t xml:space="preserve"> </w:t>
            </w:r>
            <w:r>
              <w:t xml:space="preserve">(hardened glab/gh call) and</w:t>
            </w:r>
            <w:r>
              <w:t xml:space="preserve"> </w:t>
            </w:r>
            <w:r>
              <w:rPr>
                <w:rStyle w:val="VerbatimChar"/>
              </w:rPr>
              <w:t xml:space="preserve">poll_until</w:t>
            </w:r>
            <w:r>
              <w:t xml:space="preserve"> </w:t>
            </w:r>
            <w:r>
              <w:t xml:space="preserve">(wait loop) both forges use.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 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</w:t>
            </w:r>
            <w:r>
              <w:t xml:space="preserve"> </w:t>
            </w:r>
            <w:r>
              <w:rPr>
                <w:rStyle w:val="VerbatimChar"/>
              </w:rPr>
              <w:t xml:space="preserve">ForgeError</w:t>
            </w:r>
            <w:r>
              <w:t xml:space="preserve">: the CLI forge preflight refuses the command; phase 7 escalates only if origin/config changed mid-run (dry run: falls back to GitLab).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run_git()</w:t>
            </w:r>
            <w:r>
              <w:t xml:space="preserve">: the one hardened git invocation (hooks off, env whitelist, caller's timeout) for orchestrator, CLI and GUI.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adw/models.py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freshness check: newest model per role (Claude aliases, codex catalog), 24 h cache, refusal message.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p>
      <w:pPr>
        <w:pStyle w:val="CaptionedFigure"/>
      </w:pPr>
      <w:r>
        <w:drawing>
          <wp:inline>
            <wp:extent cx="5334000" cy="2897936"/>
            <wp:effectExtent b="0" l="0" r="0" t="0"/>
            <wp:docPr descr="Import layers of adw/ — every import points to a lower row (HTML: hover a module for its exact imports)" title="" id="57" name="Picture"/>
            <a:graphic>
              <a:graphicData uri="http://schemas.openxmlformats.org/drawingml/2006/picture">
                <pic:pic>
                  <pic:nvPicPr>
                    <pic:cNvPr descr="/tmp/tmp6n3y1bnz/emf/diagrams/spec/module-layers.emf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79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Import layers of adw/ — every import points to a lower row (HTML: hover a module for its exact imports)</w:t>
      </w:r>
    </w:p>
    <w:bookmarkStart w:id="59" w:name="X789af2f55e0ad9f4f84e3f6e2d8420a4f1628c9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run's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59"/>
    <w:bookmarkStart w:id="60" w:name="X822732e8fc2241843533058728d0d0c580a7861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60"/>
    <w:bookmarkEnd w:id="61"/>
    <w:bookmarkStart w:id="65" w:name="X62de4cabfe3e2f2bb258c3f28bda0c31fa5919e"/>
    <w:p>
      <w:pPr>
        <w:pStyle w:val="Heading2"/>
      </w:pPr>
      <w:r>
        <w:t xml:space="preserve">2. State machine</w:t>
      </w:r>
    </w:p>
    <w:p>
      <w:pPr>
        <w:pStyle w:val="CaptionedFigure"/>
      </w:pPr>
      <w:r>
        <w:drawing>
          <wp:inline>
            <wp:extent cx="5334000" cy="2792581"/>
            <wp:effectExtent b="0" l="0" r="0" t="0"/>
            <wp:docPr descr="Run state machine with approval holds, breakpoints and exit codes" title="" id="63" name="Picture"/>
            <a:graphic>
              <a:graphicData uri="http://schemas.openxmlformats.org/drawingml/2006/picture">
                <pic:pic>
                  <pic:nvPicPr>
                    <pic:cNvPr descr="/tmp/tmp6n3y1bnz/emf/diagrams/spec/state-machine.emf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25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 state machine with approval holds, breakpoints and exit codes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65"/>
    <w:bookmarkStart w:id="66" w:name="Xb0cfb8c71f9ea8092c109d02d34090535e31872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lanes'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66"/>
    <w:bookmarkStart w:id="76" w:name="Xf0fb98bec68fd89ab4f146c62e34ba4ad0ec31e"/>
    <w:p>
      <w:pPr>
        <w:pStyle w:val="Heading2"/>
      </w:pPr>
      <w:r>
        <w:t xml:space="preserve">4. Data model</w:t>
      </w:r>
    </w:p>
    <w:bookmarkStart w:id="67" w:name="Xf57e868aef67403ed4affd75cd293fd4e1a451d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`{backend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frontend: {gates: [...]}}`, ≥ 1 lane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67"/>
    <w:bookmarkStart w:id="71" w:name="X2cd8368308a38603a8c56c437aac6a34a1c0f04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p>
      <w:pPr>
        <w:pStyle w:val="CaptionedFigure"/>
      </w:pPr>
      <w:r>
        <w:drawing>
          <wp:inline>
            <wp:extent cx="5334000" cy="3107758"/>
            <wp:effectExtent b="0" l="0" r="0" t="0"/>
            <wp:docPr descr="RunState and LaneState field groups and the atomic write path" title="" id="69" name="Picture"/>
            <a:graphic>
              <a:graphicData uri="http://schemas.openxmlformats.org/drawingml/2006/picture">
                <pic:pic>
                  <pic:nvPicPr>
                    <pic:cNvPr descr="/tmp/tmp6n3y1bnz/emf/diagrams/spec/run-state.emf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07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RunState and LaneState field groups and the atomic write path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t xml:space="preserve">parallel lane threads mutate the shared in-memory state under</w:t>
      </w:r>
      <w:r>
        <w:t xml:space="preserve"> </w:t>
      </w:r>
      <w:r>
        <w:rPr>
          <w:rStyle w:val="VerbatimChar"/>
        </w:rPr>
        <w:t xml:space="preserve">RunContext.state_lock</w:t>
      </w:r>
      <w:r>
        <w:t xml:space="preserve"> </w:t>
      </w:r>
      <w:r>
        <w:t xml:space="preserve">and persist with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71"/>
    <w:bookmarkStart w:id="72" w:name="Xf5225b961cccbe9211b30b207f912b2f8f7be49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finding's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72"/>
    <w:bookmarkStart w:id="73" w:name="X252d4779140fb01b2d5d97e709a47bc050715b9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 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73"/>
    <w:bookmarkStart w:id="74" w:name="X04a931f40db1cb03e4d92392f665c268e7ccb32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74"/>
    <w:bookmarkStart w:id="75" w:name="Xc8f98554fc512711e6f68c750d9305eb45d95d3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75"/>
    <w:bookmarkEnd w:id="76"/>
    <w:bookmarkStart w:id="80" w:name="Xdf628ff7e6c6951b47347053363da27c6d18a22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p>
      <w:pPr>
        <w:pStyle w:val="CaptionedFigure"/>
      </w:pPr>
      <w:r>
        <w:drawing>
          <wp:inline>
            <wp:extent cx="5334000" cy="2561866"/>
            <wp:effectExtent b="0" l="0" r="0" t="0"/>
            <wp:docPr descr="Write boundaries: who may write what, and who commits" title="" id="78" name="Picture"/>
            <a:graphic>
              <a:graphicData uri="http://schemas.openxmlformats.org/drawingml/2006/picture">
                <pic:pic>
                  <pic:nvPicPr>
                    <pic:cNvPr descr="/tmp/tmp6n3y1bnz/emf/diagrams/spec/write-boundaries.emf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Write boundaries: who may write what, and who commits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 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"claude-fable-5-1"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"claude-opus-5-5"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"claude-sonnet-5-5"</w:t>
      </w:r>
      <w:r>
        <w:t xml:space="preserve">. Codex is pinned in</w:t>
      </w:r>
      <w:r>
        <w:t xml:space="preserve"> </w:t>
      </w:r>
      <w:r>
        <w:rPr>
          <w:rStyle w:val="VerbatimChar"/>
        </w:rPr>
        <w:t xml:space="preserve">codex.py</w:t>
      </w:r>
      <w:r>
        <w:t xml:space="preserve">:</w:t>
      </w:r>
      <w:r>
        <w:t xml:space="preserve"> </w:t>
      </w:r>
      <w:r>
        <w:rPr>
          <w:rStyle w:val="VerbatimChar"/>
        </w:rPr>
        <w:t xml:space="preserve">CODEX_MODEL = "gpt-6-astra"</w:t>
      </w:r>
      <w:r>
        <w:t xml:space="preserve"> </w:t>
      </w:r>
      <w:r>
        <w:t xml:space="preserve">(passed as</w:t>
      </w:r>
      <w:r>
        <w:t xml:space="preserve"> </w:t>
      </w:r>
      <w:r>
        <w:rPr>
          <w:rStyle w:val="VerbatimChar"/>
        </w:rPr>
        <w:t xml:space="preserve">-m</w:t>
      </w:r>
      <w:r>
        <w:t xml:space="preserve">; the isolated</w:t>
      </w:r>
      <w:r>
        <w:t xml:space="preserve"> </w:t>
      </w:r>
      <w:r>
        <w:rPr>
          <w:rStyle w:val="VerbatimChar"/>
        </w:rPr>
        <w:t xml:space="preserve">CODEX_HOME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, so without it codex would use its built-in default).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volume work (drafts, build — many turns, the</w:t>
      </w:r>
      <w:r>
        <w:t xml:space="preserve"> </w:t>
      </w:r>
      <w:r>
        <w:t xml:space="preserve">cheaper per-token tier). Fable, the most capable model, is reserved for judgment:</w:t>
      </w:r>
      <w:r>
        <w:t xml:space="preserve"> </w:t>
      </w:r>
      <w:r>
        <w:t xml:space="preserve">merging the drafts and the final review.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author's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</w:p>
    <w:p>
      <w:pPr>
        <w:pStyle w:val="Compact"/>
        <w:numPr>
          <w:ilvl w:val="0"/>
          <w:numId w:val="1004"/>
        </w:numPr>
      </w:pPr>
      <w:r>
        <w:t xml:space="preserve">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</w:p>
    <w:p>
      <w:pPr>
        <w:pStyle w:val="Compact"/>
        <w:numPr>
          <w:ilvl w:val="0"/>
          <w:numId w:val="1004"/>
        </w:numPr>
      </w:pPr>
      <w:r>
        <w:t xml:space="preserve">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lanes'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80"/>
    <w:bookmarkStart w:id="81" w:name="Xe8f27fb5f60b3a3b5855344f68df3ecb8367a6e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5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5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5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81"/>
    <w:bookmarkStart w:id="82" w:name="X531961db8c688eef11118e6d60152d34a280389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-m gpt-6-astra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6"/>
        </w:numPr>
      </w:pPr>
      <w:r>
        <w:t xml:space="preserve">bounded stdout (5 MiB tail) / stderr (256 KiB tail) buffers.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private per-call workdir</w:t>
      </w:r>
      <w:r>
        <w:t xml:space="preserve"> </w:t>
      </w:r>
      <w:r>
        <w:t xml:space="preserve">as process cwd and a closed stdin:</w:t>
      </w:r>
      <w:r>
        <w:t xml:space="preserve"> </w:t>
      </w:r>
      <w:r>
        <w:rPr>
          <w:rStyle w:val="VerbatimChar"/>
        </w:rPr>
        <w:t xml:space="preserve">--ephemeral</w:t>
      </w:r>
      <w:r>
        <w:t xml:space="preserve"> </w:t>
      </w:r>
      <w:r>
        <w:t xml:space="preserve">(no session files),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(events; the</w:t>
      </w:r>
      <w:r>
        <w:t xml:space="preserve"> </w:t>
      </w:r>
      <w:r>
        <w:rPr>
          <w:rStyle w:val="VerbatimChar"/>
        </w:rPr>
        <w:t xml:space="preserve">turn.completed</w:t>
      </w:r>
      <w:r>
        <w:t xml:space="preserve"> </w:t>
      </w:r>
      <w:r>
        <w:t xml:space="preserve">token usage goes into</w:t>
      </w:r>
      <w:r>
        <w:t xml:space="preserve"> </w:t>
      </w:r>
      <w:r>
        <w:t xml:space="preserve">the span's</w:t>
      </w:r>
      <w:r>
        <w:t xml:space="preserve"> </w:t>
      </w:r>
      <w:r>
        <w:rPr>
          <w:rStyle w:val="VerbatimChar"/>
        </w:rPr>
        <w:t xml:space="preserve">usage</w:t>
      </w:r>
      <w:r>
        <w:t xml:space="preserve"> </w:t>
      </w:r>
      <w:r>
        <w:t xml:space="preserve">and the run totals),</w:t>
      </w:r>
      <w:r>
        <w:t xml:space="preserve"> </w:t>
      </w:r>
      <w:r>
        <w:rPr>
          <w:rStyle w:val="VerbatimChar"/>
        </w:rPr>
        <w:t xml:space="preserve">-o last-message.txt</w:t>
      </w:r>
      <w:r>
        <w:t xml:space="preserve"> </w:t>
      </w:r>
      <w:r>
        <w:t xml:space="preserve">(the final answer is</w:t>
      </w:r>
      <w:r>
        <w:t xml:space="preserve"> </w:t>
      </w:r>
      <w:r>
        <w:t xml:space="preserve">read from that file, not from the stdout transcript) and, for reviews,</w:t>
      </w:r>
      <w:r>
        <w:t xml:space="preserve"> </w:t>
      </w:r>
      <w:r>
        <w:rPr>
          <w:rStyle w:val="VerbatimChar"/>
        </w:rPr>
        <w:t xml:space="preserve">--output-schema review-schema.json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findings.REVIEW_OUTPUT_SCHEMA</w:t>
      </w:r>
      <w:r>
        <w:t xml:space="preserve">: the answer is</w:t>
      </w:r>
      <w:r>
        <w:t xml:space="preserve"> </w:t>
      </w:r>
      <w:r>
        <w:t xml:space="preserve">constrained to the findings contract;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still validates it).</w:t>
      </w:r>
      <w:r>
        <w:t xml:space="preserve"> </w:t>
      </w:r>
      <w:r>
        <w:t xml:space="preserve">The file names are relative to the workdir, so the argv in the span start event is</w:t>
      </w:r>
      <w:r>
        <w:t xml:space="preserve"> </w:t>
      </w:r>
      <w:r>
        <w:t xml:space="preserve">byte-identical to the executed one and nothing is written into the target repo.</w:t>
      </w:r>
    </w:p>
    <w:p>
      <w:pPr>
        <w:pStyle w:val="Compact"/>
        <w:numPr>
          <w:ilvl w:val="0"/>
          <w:numId w:val="1006"/>
        </w:numPr>
      </w:pPr>
      <w:r>
        <w:t xml:space="preserve">the fresh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codex fetches into the isolated home is kept as</w:t>
      </w:r>
      <w:r>
        <w:t xml:space="preserve"> </w:t>
      </w:r>
      <w:r>
        <w:rPr>
          <w:rStyle w:val="VerbatimChar"/>
        </w:rPr>
        <w:t xml:space="preserve">~/.adw/codex-models-cache.json</w:t>
      </w:r>
      <w:r>
        <w:t xml:space="preserve">; the model check reads whichever catalog is newer.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rounds'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82"/>
    <w:bookmarkStart w:id="83" w:name="X18e356f95025129d2591833d6d13e4a1de453bb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cli._preflight_forge</w:t>
      </w:r>
      <w:r>
        <w:t xml:space="preserve"> </w:t>
      </w:r>
      <w:r>
        <w:t xml:space="preserve">calls it for real</w:t>
      </w:r>
      <w:r>
        <w:t xml:space="preserve"> </w:t>
      </w:r>
      <w:r>
        <w:rPr>
          <w:rStyle w:val="VerbatimChar"/>
        </w:rPr>
        <w:t xml:space="preserve">run</w:t>
      </w:r>
      <w:r>
        <w:t xml:space="preserve">/</w:t>
      </w:r>
      <w:r>
        <w:rPr>
          <w:rStyle w:val="VerbatimChar"/>
        </w:rPr>
        <w:t xml:space="preserve">resume</w:t>
      </w:r>
      <w:r>
        <w:t xml:space="preserve">/</w:t>
      </w:r>
      <w:r>
        <w:rPr>
          <w:rStyle w:val="VerbatimChar"/>
        </w:rPr>
        <w:t xml:space="preserve">approve</w:t>
      </w:r>
      <w:r>
        <w:t xml:space="preserve"> </w:t>
      </w:r>
      <w:r>
        <w:t xml:space="preserve">and refuses (exit 1, no state change) before any agent runs; phase 7 calls it</w:t>
      </w:r>
      <w:r>
        <w:t xml:space="preserve"> </w:t>
      </w:r>
      <w:r>
        <w:t xml:space="preserve">again as a safety net and escalates (no poll against the wrong API). The dry run</w:t>
      </w:r>
      <w:r>
        <w:t xml:space="preserve"> </w:t>
      </w:r>
      <w:r>
        <w:t xml:space="preserve">falls back to GitLab.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7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83"/>
    <w:bookmarkStart w:id="84" w:name="Xd0fa26035055cf1b8f51f10dd8ac85f9d14bc64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forge and working-tree preflights,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Forge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only):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 </w:t>
      </w:r>
      <w:r>
        <w:t xml:space="preserve">must succeed, otherwise the command is refused with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hint —</w:t>
      </w:r>
      <w:r>
        <w:t xml:space="preserve"> </w:t>
      </w:r>
      <w:r>
        <w:t xml:space="preserve">no run created, no state change, never an escalation.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; real runs only;</w:t>
      </w:r>
      <w:r>
        <w:t xml:space="preserve"> </w:t>
      </w:r>
      <w:r>
        <w:rPr>
          <w:rStyle w:val="VerbatimChar"/>
        </w:rPr>
        <w:t xml:space="preserve">adw/models.py</w:t>
      </w:r>
      <w:r>
        <w:t xml:space="preserve">; runs</w:t>
      </w:r>
      <w:r>
        <w:t xml:space="preserve"> </w:t>
      </w:r>
      <w:r>
        <w:t xml:space="preserve">after the working-tree preflight, so a refused checkout costs no probe tokens):</w:t>
      </w:r>
      <w:r>
        <w:t xml:space="preserve"> </w:t>
      </w:r>
      <w:r>
        <w:rPr>
          <w:rStyle w:val="VerbatimChar"/>
        </w:rPr>
        <w:t xml:space="preserve">agents.resolve_model_alias</w:t>
      </w:r>
      <w:r>
        <w:t xml:space="preserve"> </w:t>
      </w:r>
      <w:r>
        <w:t xml:space="preserve">resolves</w:t>
      </w:r>
      <w:r>
        <w:t xml:space="preserve"> </w:t>
      </w:r>
      <w:r>
        <w:rPr>
          <w:rStyle w:val="VerbatimChar"/>
        </w:rPr>
        <w:t xml:space="preserve">opus</w:t>
      </w:r>
      <w:r>
        <w:t xml:space="preserve">/</w:t>
      </w:r>
      <w:r>
        <w:rPr>
          <w:rStyle w:val="VerbatimChar"/>
        </w:rPr>
        <w:t xml:space="preserve">fable</w:t>
      </w:r>
      <w:r>
        <w:t xml:space="preserve">/</w:t>
      </w:r>
      <w:r>
        <w:rPr>
          <w:rStyle w:val="VerbatimChar"/>
        </w:rPr>
        <w:t xml:space="preserve">sonnet</w:t>
      </w:r>
      <w:r>
        <w:t xml:space="preserve"> </w:t>
      </w:r>
      <w:r>
        <w:t xml:space="preserve">with one minimal</w:t>
      </w:r>
      <w:r>
        <w:t xml:space="preserve"> </w:t>
      </w:r>
      <w:r>
        <w:t xml:space="preserve">SDK call each (no tools, no settings); the codex CLI's</w:t>
      </w:r>
      <w:r>
        <w:t xml:space="preserve"> </w:t>
      </w:r>
      <w:r>
        <w:rPr>
          <w:rStyle w:val="VerbatimChar"/>
        </w:rPr>
        <w:t xml:space="preserve">models_cache.json</w:t>
      </w:r>
      <w:r>
        <w:t xml:space="preserve"> </w:t>
      </w:r>
      <w:r>
        <w:t xml:space="preserve">gives</w:t>
      </w:r>
      <w:r>
        <w:t xml:space="preserve"> </w:t>
      </w:r>
      <w:r>
        <w:t xml:space="preserve">the newest listed model of the pinned tier or an announced upgrade. Only a</w:t>
      </w:r>
      <w:r>
        <w:t xml:space="preserve"> </w:t>
      </w:r>
      <w:r>
        <w:rPr>
          <w:b/>
          <w:bCs/>
        </w:rPr>
        <w:t xml:space="preserve">proven newer</w:t>
      </w:r>
      <w:r>
        <w:t xml:space="preserve"> </w:t>
      </w:r>
      <w:r>
        <w:t xml:space="preserve">model refuses the command (with the constant to change): for</w:t>
      </w:r>
      <w:r>
        <w:t xml:space="preserve"> </w:t>
      </w:r>
      <w:r>
        <w:t xml:space="preserve">Claude the same line with a higher version — older ids, date snapshots,</w:t>
      </w:r>
      <w:r>
        <w:t xml:space="preserve"> </w:t>
      </w:r>
      <w:r>
        <w:rPr>
          <w:rStyle w:val="VerbatimChar"/>
        </w:rPr>
        <w:t xml:space="preserve">[..]</w:t>
      </w:r>
      <w:r>
        <w:t xml:space="preserve"> </w:t>
      </w:r>
      <w:r>
        <w:t xml:space="preserve">suffixes, other lines and unparsable ids never block. Each role is cached on its</w:t>
      </w:r>
      <w:r>
        <w:t xml:space="preserve"> </w:t>
      </w:r>
      <w:r>
        <w:t xml:space="preserve">own in</w:t>
      </w:r>
      <w:r>
        <w:t xml:space="preserve"> </w:t>
      </w:r>
      <w:r>
        <w:rPr>
          <w:rStyle w:val="VerbatimChar"/>
        </w:rPr>
        <w:t xml:space="preserve">~/.adw/model-check.json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ADW_MODEL_CHECK_PATH</w:t>
      </w:r>
      <w:r>
        <w:t xml:space="preserve"> </w:t>
      </w:r>
      <w:r>
        <w:t xml:space="preserve">overrides), bound to the</w:t>
      </w:r>
      <w:r>
        <w:t xml:space="preserve"> </w:t>
      </w:r>
      <w:r>
        <w:t xml:space="preserve">current pins: a success for 24 h, a failed probe for 1 h, so only expired roles</w:t>
      </w:r>
      <w:r>
        <w:t xml:space="preserve"> </w:t>
      </w:r>
      <w:r>
        <w:t xml:space="preserve">are probed again. A failed probe (error result,</w:t>
      </w:r>
      <w:r>
        <w:t xml:space="preserve"> </w:t>
      </w:r>
      <w:r>
        <w:rPr>
          <w:rStyle w:val="VerbatimChar"/>
        </w:rPr>
        <w:t xml:space="preserve">&lt;synthetic&gt;</w:t>
      </w:r>
      <w:r>
        <w:t xml:space="preserve"> </w:t>
      </w:r>
      <w:r>
        <w:t xml:space="preserve">model, 120 s</w:t>
      </w:r>
      <w:r>
        <w:t xml:space="preserve"> </w:t>
      </w:r>
      <w:r>
        <w:t xml:space="preserve">timeout), a missing, malformed, undated or &gt; 7 days old codex catalog or an</w:t>
      </w:r>
      <w:r>
        <w:t xml:space="preserve"> </w:t>
      </w:r>
      <w:r>
        <w:t xml:space="preserve">unwritable cache warns and never blocks; unusable cache entries are misses.</w:t>
      </w:r>
      <w:r>
        <w:t xml:space="preserve"> </w:t>
      </w:r>
      <w:r>
        <w:t xml:space="preserve">Known blind spot: aliases resolve through the SDK's bundled CLI, so a model</w:t>
      </w:r>
      <w:r>
        <w:t xml:space="preserve"> </w:t>
      </w:r>
      <w:r>
        <w:t xml:space="preserve">released after the installed</w:t>
      </w:r>
      <w:r>
        <w:t xml:space="preserve"> </w:t>
      </w:r>
      <w:r>
        <w:rPr>
          <w:rStyle w:val="VerbatimChar"/>
        </w:rPr>
        <w:t xml:space="preserve">claude-agent-sdk</w:t>
      </w:r>
      <w:r>
        <w:t xml:space="preserve"> </w:t>
      </w:r>
      <w:r>
        <w:t xml:space="preserve">stays invisible until the SDK is</w:t>
      </w:r>
      <w:r>
        <w:t xml:space="preserve"> </w:t>
      </w:r>
      <w:r>
        <w:t xml:space="preserve">upgraded.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84"/>
    <w:bookmarkStart w:id="85" w:name="X00609a9afd66423fee4b7837c89e4fc5477c565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git's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run's phase or exit code.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85"/>
    <w:bookmarkStart w:id="86" w:name="X1dbc785acdf83ee2f178b58ed1991e3c56c501e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86"/>
    <w:bookmarkStart w:id="90" w:name="X031d9bcab9fddbdb485519f950ecf68fa740dec"/>
    <w:p>
      <w:pPr>
        <w:pStyle w:val="Heading2"/>
      </w:pPr>
      <w:r>
        <w:t xml:space="preserve">12. Security model</w:t>
      </w:r>
    </w:p>
    <w:p>
      <w:pPr>
        <w:pStyle w:val="CaptionedFigure"/>
      </w:pPr>
      <w:r>
        <w:drawing>
          <wp:inline>
            <wp:extent cx="5334000" cy="2456956"/>
            <wp:effectExtent b="0" l="0" r="0" t="0"/>
            <wp:docPr descr="The eight security layers between untrusted input and the protected assets" title="" id="88" name="Picture"/>
            <a:graphic>
              <a:graphicData uri="http://schemas.openxmlformats.org/drawingml/2006/picture">
                <pic:pic>
                  <pic:nvPicPr>
                    <pic:cNvPr descr="/tmp/tmp6n3y1bnz/emf/diagrams/spec/security-layers.emf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6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eight security layers between untrusted input and the protected assets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90"/>
    <w:bookmarkStart w:id="91" w:name="X3410e13a9f73ccce253a4532764013f4b252f2b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run's outcome.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91"/>
    <w:bookmarkStart w:id="92" w:name="X1b0e136bb64a19d26426bbf5b497f121d03b408"/>
    <w:p>
      <w:pPr>
        <w:pStyle w:val="Heading2"/>
      </w:pPr>
      <w:r>
        <w:t xml:space="preserve">14. Limits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92"/>
    <w:bookmarkStart w:id="93" w:name="Xdd77294c8ac6539f895d7cd3448ef22e372f457"/>
    <w:p>
      <w:pPr>
        <w:pStyle w:val="Heading2"/>
      </w:pPr>
      <w:r>
        <w:t xml:space="preserve">15. Extension points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93"/>
    <w:bookmarkStart w:id="94" w:name="X43f6c734cd77f804a20c2ed092e1cb0e15f7ba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"kill" 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ADW's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94"/>
    <w:bookmarkStart w:id="95" w:name="X1cc77cbd740795b141e14994f10c397786e8000"/>
    <w:p>
      <w:pPr>
        <w:pStyle w:val="Heading2"/>
      </w:pPr>
      <w:r>
        <w:t xml:space="preserve">17. Technology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95"/>
    <w:bookmarkStart w:id="96" w:name="Xa31621a0d71e4730c00126b91d0dfa43e314eb3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3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Docs are bilingual (P15): update both language versions in the same change.</w:t>
      </w:r>
    </w:p>
    <w:bookmarkEnd w:id="96"/>
    <w:bookmarkStart w:id="97" w:name="X09e5788440e825b05d8225ef2e4e6a25daf0331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repo's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Codex's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Retention's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GUI-SPEC §7.2 A: the run list's live update is not implemented yet.</w:t>
      </w:r>
    </w:p>
    <w:p>
      <w:pPr>
        <w:pStyle w:val="Compact"/>
        <w:numPr>
          <w:ilvl w:val="0"/>
          <w:numId w:val="1014"/>
        </w:numPr>
      </w:pPr>
      <w:r>
        <w:t xml:space="preserve">GUI 0.26.0 AC 5 (reference size measurement) is recorded as unverified.</w:t>
      </w:r>
    </w:p>
    <w:bookmarkEnd w:id="97"/>
    <w:bookmarkStart w:id="98" w:name="Xed028bfc6cbfe63dccbd015f1f341064bb28b7c"/>
    <w:p>
      <w:pPr>
        <w:pStyle w:val="Heading2"/>
      </w:pPr>
      <w:r>
        <w:t xml:space="preserve">20. Glossary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 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run's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98"/>
    <w:bookmarkEnd w:id="9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emf" /><Relationship Type="http://schemas.openxmlformats.org/officeDocument/2006/relationships/image" Id="rId36" Target="media/rId36.emf" /><Relationship Type="http://schemas.openxmlformats.org/officeDocument/2006/relationships/image" Id="rId56" Target="media/rId56.emf" /><Relationship Type="http://schemas.openxmlformats.org/officeDocument/2006/relationships/image" Id="rId31" Target="media/rId31.emf" /><Relationship Type="http://schemas.openxmlformats.org/officeDocument/2006/relationships/image" Id="rId68" Target="media/rId68.emf" /><Relationship Type="http://schemas.openxmlformats.org/officeDocument/2006/relationships/image" Id="rId87" Target="media/rId87.emf" /><Relationship Type="http://schemas.openxmlformats.org/officeDocument/2006/relationships/image" Id="rId62" Target="media/rId62.emf" /><Relationship Type="http://schemas.openxmlformats.org/officeDocument/2006/relationships/image" Id="rId77" Target="media/rId77.emf" /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CHANGELOG.md" TargetMode="External" /><Relationship Type="http://schemas.openxmlformats.org/officeDocument/2006/relationships/hyperlink" Id="rId27" Target="../FOLLOWUPS.md" TargetMode="External" /><Relationship Type="http://schemas.openxmlformats.org/officeDocument/2006/relationships/hyperlink" Id="rId25" Target="../GUI-SPEC.md" TargetMode="External" /><Relationship Type="http://schemas.openxmlformats.org/officeDocument/2006/relationships/hyperlink" Id="rId24" Target="../PLAN.md" TargetMode="External" /><Relationship Type="http://schemas.openxmlformats.org/officeDocument/2006/relationships/hyperlink" Id="rId23" Target="../SPEC.md" TargetMode="External" /><Relationship Type="http://schemas.openxmlformats.org/officeDocument/2006/relationships/hyperlink" Id="rId28" Target="../briefs/README.md" TargetMode="External" /><Relationship Type="http://schemas.openxmlformats.org/officeDocument/2006/relationships/hyperlink" Id="rId22" Target="ADW-HANDBOOK.docx" TargetMode="External" /><Relationship Type="http://schemas.openxmlformats.org/officeDocument/2006/relationships/hyperlink" Id="rId20" Target="ADW-SPEC.de.docx" TargetMode="External" /><Relationship Type="http://schemas.openxmlformats.org/officeDocument/2006/relationships/hyperlink" Id="rId21" Target="ADW-WORKFLOW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2026-10-11T13:37:31Z</dcterms:created>
  <dcterms:modified xsi:type="dcterms:W3CDTF">2026-10-11T13:37:31Z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