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kl3lbqdr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kl3lbqdr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kl3lbqdr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kl3lbqdr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kl3lbqdr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kl3lbqdr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kl3lbqdr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privaten Arbeitsverzeichnis pro Aufruf</w:t>
      </w:r>
      <w:r>
        <w:t xml:space="preserve"> </w:t>
      </w:r>
      <w:r>
        <w:t xml:space="preserve">als Prozess-cwd und geschlossenem</w:t>
      </w:r>
      <w:r>
        <w:t xml:space="preserve"> </w:t>
      </w:r>
      <w:r>
        <w:t xml:space="preserve">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(keine Session-Dateien),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der Token-Verbrauch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geht ins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des Spans und in die Run-Summen),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(die finale Antwort kommt aus dieser Datei, nicht aus dem</w:t>
      </w:r>
      <w:r>
        <w:t xml:space="preserve"> </w:t>
      </w:r>
      <w:r>
        <w:t xml:space="preserve">stdout-Transkript) und bei Reviews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die Antwort ist auf den Findings-Vertrag</w:t>
      </w:r>
      <w:r>
        <w:t xml:space="preserve"> </w:t>
      </w:r>
      <w:r>
        <w:t xml:space="preserve">festgelegt;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validiert trotzdem). Die Dateinamen sind relativ</w:t>
      </w:r>
      <w:r>
        <w:t xml:space="preserve"> </w:t>
      </w:r>
      <w:r>
        <w:t xml:space="preserve">zum Arbeitsverzeichnis — die argv im Span-Start-Event ist byte-gleich zur</w:t>
      </w:r>
      <w:r>
        <w:t xml:space="preserve"> </w:t>
      </w:r>
      <w:r>
        <w:t xml:space="preserve">ausgeführten, und ins Ziel-Repo wird nichts geschrieben.</w:t>
      </w:r>
    </w:p>
    <w:p>
      <w:pPr>
        <w:pStyle w:val="Compact"/>
        <w:numPr>
          <w:ilvl w:val="0"/>
          <w:numId w:val="1006"/>
        </w:numPr>
      </w:pPr>
      <w:r>
        <w:t xml:space="preserve">die frische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, die codex ins isolierte Home holt, wird als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 </w:t>
      </w:r>
      <w:r>
        <w:t xml:space="preserve">aufbewahrt; der Modell-Check liest den jeweils</w:t>
      </w:r>
      <w:r>
        <w:t xml:space="preserve"> </w:t>
      </w:r>
      <w:r>
        <w:t xml:space="preserve">neueren Katalog.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kl3lbqdr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2026-10-11T11:57:43Z</dcterms:created>
  <dcterms:modified xsi:type="dcterms:W3CDTF">2026-10-11T11:57:43Z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