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APA"/>
        <w:jc w:val="center"/>
      </w:pPr>
      <w:r>
        <w:t>Sistema preliminar de ventas y vendedores: desarrollo y verificación de la entrega 2</w:t>
      </w:r>
    </w:p>
    <w:p/>
    <w:p/>
    <w:p>
      <w:pPr>
        <w:ind w:firstLine="0"/>
        <w:jc w:val="center"/>
      </w:pPr>
      <w:r>
        <w:t>Maria Del Mar Soto Trujillo</w:t>
      </w:r>
    </w:p>
    <w:p>
      <w:pPr>
        <w:ind w:firstLine="0"/>
        <w:jc w:val="center"/>
      </w:pPr>
      <w:r>
        <w:t>Politécnico Grancolombiano</w:t>
      </w:r>
    </w:p>
    <w:p>
      <w:pPr>
        <w:ind w:firstLine="0"/>
        <w:jc w:val="center"/>
      </w:pPr>
      <w:r>
        <w:t>Conceptos Fundamentales de Programación</w:t>
      </w:r>
    </w:p>
    <w:p>
      <w:pPr>
        <w:ind w:firstLine="0"/>
        <w:jc w:val="center"/>
      </w:pPr>
      <w:r>
        <w:t>Profesor Víctor Fabián Castro Pérez</w:t>
      </w:r>
    </w:p>
    <w:p>
      <w:pPr>
        <w:ind w:firstLine="0"/>
        <w:jc w:val="center"/>
      </w:pPr>
      <w:r>
        <w:t>28 de septiembre de 2026</w:t>
      </w:r>
    </w:p>
    <w:p>
      <w:pPr>
        <w:ind w:firstLine="0"/>
        <w:jc w:val="center"/>
      </w:pPr>
      <w:r>
        <w:t>https://github.com/sotobit/cfpProyecto</w:t>
      </w:r>
    </w:p>
    <w:p>
      <w:r>
        <w:br w:type="page"/>
      </w:r>
    </w:p>
    <w:p>
      <w:pPr>
        <w:pStyle w:val="H1APA"/>
      </w:pPr>
      <w:r>
        <w:t>Introducción</w:t>
      </w:r>
    </w:p>
    <w:p>
      <w:r>
        <w:t>Este trabajo presenta una versión preliminar funcional de un sistema de consola que lee productos, vendedores y ventas; descarta registros incorrectos con advertencias; y produce dos reportes ordenados. La entrega conserva la finalidad de la guía institucional y adapta la interfaz a la propuesta posterior del profesor: Java 21, archivos de texto y un menú de cinco opciones (Politécnico Grancolombiano, s. f.; Soto Trujillo, 2026).</w:t>
      </w:r>
    </w:p>
    <w:p>
      <w:r>
        <w:t>El problema central es relacionar cada línea de venta con un producto y con el vendedor indicado en la cabecera del archivo. Una suma solo es válida cuando las referencias existen y los números caben en el tipo seleccionado. El diseño mantiene una escala de aprendizaje inicial: clases de datos sencillas, ArrayList, ciclos, condiciones, métodos cortos y búsqueda secuencial.</w:t>
      </w:r>
    </w:p>
    <w:p>
      <w:pPr>
        <w:pStyle w:val="H2APA"/>
      </w:pPr>
      <w:r>
        <w:t>Objetivo general</w:t>
      </w:r>
    </w:p>
    <w:p>
      <w:r>
        <w:t>Desarrollar y explicar un programa verificable que consolide ventas por vendedor y unidades por producto a partir de archivos de entrada.</w:t>
      </w:r>
    </w:p>
    <w:p>
      <w:pPr>
        <w:pStyle w:val="H2APA"/>
      </w:pPr>
      <w:r>
        <w:t>Objetivos específicos</w:t>
      </w:r>
    </w:p>
    <w:p>
      <w:r>
        <w:t>Validar catálogos y ventas con mensajes que indiquen archivo, línea y motivo; calcular recaudos en pesos enteros sin desbordamientos; generar los dos CSV de la guía; y documentar pruebas, límites y trabajo restante para la entrega 3.</w:t>
      </w:r>
    </w:p>
    <w:p>
      <w:r>
        <w:t>El alcance se define por la decisión académica de simplificar el código. Los centavos, una interfaz gráfica y la persistencia en una base de datos no son requisitos funcionales de esta versión.</w:t>
      </w:r>
    </w:p>
    <w:p>
      <w:r>
        <w:br w:type="page"/>
      </w:r>
    </w:p>
    <w:p>
      <w:pPr>
        <w:pStyle w:val="H1APA"/>
      </w:pPr>
      <w:r>
        <w:t>Fundamentos: datos, operaciones y control</w:t>
      </w:r>
    </w:p>
    <w:p>
      <w:r>
        <w:t>Los tipos determinan qué valores puede representar un programa. Se usa String para nombres e identificadores porque un documento puede iniciar en cero y nunca participa en operaciones aritméticas. Se usa long para precios, cantidades acumuladas y recaudos; int queda para índices y contadores de líneas. Esta separación aplica los conceptos de datos primitivos y cadenas de la primera lectura (Niquefa, s. f.-b).</w:t>
      </w:r>
    </w:p>
    <w:p>
      <w:r>
        <w:t>El recaudo de una venta es precio × cantidad; el total es la suma de esos subtotales. La multiplicación se efectúa antes de la suma, conforme a la prioridad de operadores, pero la prioridad sintáctica no protege del desbordamiento. El programa compara primero el precio con Long.MAX_VALUE / cantidad cuando cantidad es positiva. Luego comprueba que subtotal y unidades caben en sus acumuladores. Oracle (2026b) documenta el límite del tipo long.</w:t>
      </w:r>
    </w:p>
    <w:p>
      <w:r>
        <w:t>Las estructuras de control ordenan el trabajo: while sostiene el menú y recorre líneas; switch selecciona acciones; if valida formatos y referencias; for busca y ordena. Una bandera termina el menú cuando se selecciona 5 o finaliza la entrada. Los acumuladores comienzan en cero y se modifican solo después de todas las verificaciones (Niquefa, s. f.-d).</w:t>
      </w:r>
    </w:p>
    <w:p>
      <w:r>
        <w:t>Se leen opciones completas con Scanner.nextLine(). Así una línea de menú no deja un salto pendiente para la siguiente lectura, problema ilustrado en EjemploBuffer.java. Una opción desconocida informa el error y devuelve el control al menú.</w:t>
      </w:r>
    </w:p>
    <w:p>
      <w:r>
        <w:br w:type="page"/>
      </w:r>
    </w:p>
    <w:p>
      <w:pPr>
        <w:pStyle w:val="H1APA"/>
      </w:pPr>
      <w:r>
        <w:t>Fundamentos: métodos, arreglos y listas</w:t>
      </w:r>
    </w:p>
    <w:p>
      <w:r>
        <w:t>Un método agrupa una tarea con parámetros y, cuando corresponde, un retorno. Main separa lectura de catálogos, búsqueda, procesamiento, ordenamiento y escritura. GenerateInfoFiles conserva las tres firmas exigidas en la guía: createProductsFile(int), createSalesManInfoFile(int) y createSalesMenFile(int, String, long). Producto y Vendedor reúnen campos relacionados sin introducir herencia ni abstracciones que dificulten la sustentación (Niquefa, s. f.-e).</w:t>
      </w:r>
    </w:p>
    <w:p>
      <w:r>
        <w:t>Los arreglos de tamaño fijo contienen nombres y productos usados por el generador. También se usa String[] al separar una fila por punto y coma; split(";", -1) preserva campos vacíos que deben detectarse. En cambio, el número de registros leídos no es fijo, por lo que ArrayList&lt;Producto&gt; y ArrayList&lt;Vendedor&gt; pueden crecer a medida que se aceptan líneas (Niquefa, s. f.-a, s. f.-c; Oracle, 2026a).</w:t>
      </w:r>
    </w:p>
    <w:p>
      <w:r>
        <w:t>Las búsquedas recorren la lista y comparan identificadores mediante equals. El ordenamiento por inserción desplaza elementos hasta ubicar el siguiente en su posición: vendedores por recaudo descendente y productos por unidades descendentes. Los empates se resuelven por identificador. Búsqueda y ordenación son comprensibles, aunque esta última puede requerir un número cuadrático de comparaciones en grandes catálogos.</w:t>
      </w:r>
    </w:p>
    <w:p>
      <w:r>
        <w:t>Las lecturas también explican recursión, matrices y otros contenedores. No se incluyen en el cálculo porque el recorrido de archivos y ventas es iterativo; agregar esas estructuras no resolvería un requisito de esta entrega.</w:t>
      </w:r>
    </w:p>
    <w:p>
      <w:r>
        <w:br w:type="page"/>
      </w:r>
    </w:p>
    <w:p>
      <w:pPr>
        <w:pStyle w:val="H1APA"/>
      </w:pPr>
      <w:r>
        <w:t>Diseño y recorrido de los datos</w:t>
      </w:r>
    </w:p>
    <w:p>
      <w:r>
        <w:t>El programa abre los tres tipos de archivo de la raíz del proyecto. Primero carga catálogos válidos, luego recorre en orden de nombre todos los archivos ventas_*.txt, busca el vendedor de cada cabecera y procesa sus líneas. El resultado reside en los objetos de las listas hasta que se presenta en consola o se exporta. Cada opción de cálculo vuelve a cargar desde cero para impedir acumulaciones repetidas.</w:t>
      </w:r>
    </w:p>
    <w:p>
      <w:pPr>
        <w:pStyle w:val="CaptionAPA"/>
      </w:pPr>
      <w:r>
        <w:rPr>
          <w:b/>
        </w:rPr>
        <w:t>Figura 1</w:t>
      </w:r>
    </w:p>
    <w:p>
      <w:pPr>
        <w:pStyle w:val="CaptionAPA"/>
      </w:pPr>
      <w:r>
        <w:rPr>
          <w:i/>
        </w:rPr>
        <w:t>Recorrido conceptual de los datos</w:t>
      </w:r>
    </w:p>
    <w:p>
      <w:pPr>
        <w:ind w:firstLine="0"/>
        <w:jc w:val="center"/>
      </w:pPr>
      <w:r>
        <w:drawing>
          <wp:inline xmlns:a="http://schemas.openxmlformats.org/drawingml/2006/main" xmlns:pic="http://schemas.openxmlformats.org/drawingml/2006/picture">
            <wp:extent cx="5715000" cy="2380760"/>
            <wp:docPr id="1" name="Picture 1"/>
            <wp:cNvGraphicFramePr>
              <a:graphicFrameLocks noChangeAspect="1"/>
            </wp:cNvGraphicFramePr>
            <a:graphic>
              <a:graphicData uri="http://schemas.openxmlformats.org/drawingml/2006/picture">
                <pic:pic>
                  <pic:nvPicPr>
                    <pic:cNvPr id="0" name="recorrido_datos.png"/>
                    <pic:cNvPicPr/>
                  </pic:nvPicPr>
                  <pic:blipFill>
                    <a:blip r:embed="rId10"/>
                    <a:stretch>
                      <a:fillRect/>
                    </a:stretch>
                  </pic:blipFill>
                  <pic:spPr>
                    <a:xfrm>
                      <a:off x="0" y="0"/>
                      <a:ext cx="5715000" cy="2380760"/>
                    </a:xfrm>
                    <a:prstGeom prst="rect"/>
                  </pic:spPr>
                </pic:pic>
              </a:graphicData>
            </a:graphic>
          </wp:inline>
        </w:drawing>
      </w:r>
    </w:p>
    <w:p>
      <w:pPr>
        <w:pStyle w:val="CaptionAPA"/>
      </w:pPr>
      <w:r>
        <w:t>Nota. Ilustración educativa creada con IA (OpenAI, 2026) para este informe. Las barras dibujadas son conceptuales; la aplicación entrega archivos CSV. No se utiliza esta imagen como evidencia de ejecución.</w:t>
      </w:r>
    </w:p>
    <w:p>
      <w:r>
        <w:t>La cabecera de ventas conserva tipo y número de documento, aunque el nombre del archivo solo contenga una parte. Así se pueden sumar varios archivos del mismo vendedor y distinguir dos documentos de igual número con tipo diferente. La figura resume la secuencia; los detalles verificables están en las entradas, la salida y las pruebas.</w:t>
      </w:r>
    </w:p>
    <w:p>
      <w:r>
        <w:br w:type="page"/>
      </w:r>
    </w:p>
    <w:p>
      <w:pPr>
        <w:pStyle w:val="H1APA"/>
      </w:pPr>
      <w:r>
        <w:t>Archivos y reglas de entrada</w:t>
      </w:r>
    </w:p>
    <w:p>
      <w:pPr>
        <w:pStyle w:val="CaptionAPA"/>
      </w:pPr>
      <w:r>
        <w:rPr>
          <w:b/>
        </w:rPr>
        <w:t>Tabla 1</w:t>
      </w:r>
    </w:p>
    <w:p>
      <w:pPr>
        <w:pStyle w:val="CaptionAPA"/>
      </w:pPr>
      <w:r>
        <w:rPr>
          <w:i/>
        </w:rPr>
        <w:t>Estructura de los archivos de entrada</w:t>
      </w:r>
    </w:p>
    <w:tbl>
      <w:tblPr>
        <w:tblW w:type="auto" w:w="0"/>
        <w:jc w:val="center"/>
        <w:tblLayout w:type="autofit"/>
        <w:tblLook w:firstColumn="1" w:firstRow="1" w:lastColumn="0" w:lastRow="0" w:noHBand="0" w:noVBand="1" w:val="04A0"/>
      </w:tblPr>
      <w:tblGrid>
        <w:gridCol w:w="4680"/>
        <w:gridCol w:w="4680"/>
      </w:tblGrid>
      <w:tr>
        <w:tc>
          <w:tcPr>
            <w:tcW w:type="dxa" w:w="4680"/>
          </w:tcPr>
          <w:p>
            <w:pPr>
              <w:spacing w:line="336" w:lineRule="auto"/>
              <w:ind w:firstLine="0"/>
            </w:pPr>
            <w:r>
              <w:rPr>
                <w:b/>
              </w:rPr>
              <w:t>Archivo</w:t>
            </w:r>
          </w:p>
        </w:tc>
        <w:tc>
          <w:tcPr>
            <w:tcW w:type="dxa" w:w="4680"/>
          </w:tcPr>
          <w:p>
            <w:pPr>
              <w:spacing w:line="336" w:lineRule="auto"/>
              <w:ind w:firstLine="0"/>
            </w:pPr>
            <w:r>
              <w:rPr>
                <w:b/>
              </w:rPr>
              <w:t>Campos por línea</w:t>
            </w:r>
          </w:p>
        </w:tc>
      </w:tr>
      <w:tr>
        <w:tc>
          <w:tcPr>
            <w:tcW w:type="dxa" w:w="4680"/>
          </w:tcPr>
          <w:p>
            <w:pPr>
              <w:spacing w:line="336" w:lineRule="auto"/>
              <w:ind w:firstLine="0"/>
            </w:pPr>
            <w:r>
              <w:t>productos.txt</w:t>
            </w:r>
          </w:p>
        </w:tc>
        <w:tc>
          <w:tcPr>
            <w:tcW w:type="dxa" w:w="4680"/>
          </w:tcPr>
          <w:p>
            <w:pPr>
              <w:spacing w:line="336" w:lineRule="auto"/>
              <w:ind w:firstLine="0"/>
            </w:pPr>
            <w:r>
              <w:t>ID;Nombre;Precio</w:t>
            </w:r>
          </w:p>
        </w:tc>
      </w:tr>
      <w:tr>
        <w:tc>
          <w:tcPr>
            <w:tcW w:type="dxa" w:w="4680"/>
          </w:tcPr>
          <w:p>
            <w:pPr>
              <w:spacing w:line="336" w:lineRule="auto"/>
              <w:ind w:firstLine="0"/>
            </w:pPr>
            <w:r>
              <w:t>vendedores.txt</w:t>
            </w:r>
          </w:p>
        </w:tc>
        <w:tc>
          <w:tcPr>
            <w:tcW w:type="dxa" w:w="4680"/>
          </w:tcPr>
          <w:p>
            <w:pPr>
              <w:spacing w:line="336" w:lineRule="auto"/>
              <w:ind w:firstLine="0"/>
            </w:pPr>
            <w:r>
              <w:t>Tipo;Documento;Nombres;Apellidos</w:t>
            </w:r>
          </w:p>
        </w:tc>
      </w:tr>
      <w:tr>
        <w:tc>
          <w:tcPr>
            <w:tcW w:type="dxa" w:w="4680"/>
          </w:tcPr>
          <w:p>
            <w:pPr>
              <w:spacing w:line="336" w:lineRule="auto"/>
              <w:ind w:firstLine="0"/>
            </w:pPr>
            <w:r>
              <w:t>ventas_&lt;documento&gt;.txt</w:t>
            </w:r>
          </w:p>
        </w:tc>
        <w:tc>
          <w:tcPr>
            <w:tcW w:type="dxa" w:w="4680"/>
          </w:tcPr>
          <w:p>
            <w:pPr>
              <w:spacing w:line="336" w:lineRule="auto"/>
              <w:ind w:firstLine="0"/>
            </w:pPr>
            <w:r>
              <w:t>Cabecera Tipo;Documento; luego IDProducto;Cantidad;</w:t>
            </w:r>
          </w:p>
        </w:tc>
      </w:tr>
    </w:tbl>
    <w:p>
      <w:r>
        <w:t>Todos los archivos usan UTF-8, punto y coma, sin encabezado de columnas. El precio y la cantidad deben ser enteros no negativos dentro de long; se rechazan valores fraccionarios. El identificador se trata como texto. Los CSV antiguos de la entrega 1 se conservan en ejemplos/entrega1 y no participan en el procesamiento actual.</w:t>
      </w:r>
    </w:p>
    <w:p>
      <w:r>
        <w:t>La opción 1 genera cuatro productos, tres vendedores y archivos de ventas coherentes. Antes de reemplazar sus cinco archivos conocidos, solicita la respuesta SI. Otros archivos ventas_*.txt que agregue la estudiante permanecen y pueden afectar el siguiente cálculo. La opción 2 muestra los textos, útil para inspección; las opciones 3 y 4 validan y recalculan. La opción 4 funciona sin ejecutar antes la 3.</w:t>
      </w:r>
    </w:p>
    <w:p>
      <w:pPr>
        <w:pStyle w:val="CaptionAPA"/>
      </w:pPr>
      <w:r>
        <w:rPr>
          <w:b/>
        </w:rPr>
        <w:t>Tabla 2</w:t>
      </w:r>
    </w:p>
    <w:p>
      <w:pPr>
        <w:pStyle w:val="CaptionAPA"/>
      </w:pPr>
      <w:r>
        <w:rPr>
          <w:i/>
        </w:rPr>
        <w:t>Estructura de los reportes</w:t>
      </w:r>
    </w:p>
    <w:tbl>
      <w:tblPr>
        <w:tblW w:type="auto" w:w="0"/>
        <w:jc w:val="center"/>
        <w:tblLayout w:type="autofit"/>
        <w:tblLook w:firstColumn="1" w:firstRow="1" w:lastColumn="0" w:lastRow="0" w:noHBand="0" w:noVBand="1" w:val="04A0"/>
      </w:tblPr>
      <w:tblGrid>
        <w:gridCol w:w="4680"/>
        <w:gridCol w:w="4680"/>
      </w:tblGrid>
      <w:tr>
        <w:tc>
          <w:tcPr>
            <w:tcW w:type="dxa" w:w="4680"/>
          </w:tcPr>
          <w:p>
            <w:pPr>
              <w:spacing w:line="336" w:lineRule="auto"/>
              <w:ind w:firstLine="0"/>
            </w:pPr>
            <w:r>
              <w:rPr>
                <w:b/>
              </w:rPr>
              <w:t>Salida</w:t>
            </w:r>
          </w:p>
        </w:tc>
        <w:tc>
          <w:tcPr>
            <w:tcW w:type="dxa" w:w="4680"/>
          </w:tcPr>
          <w:p>
            <w:pPr>
              <w:spacing w:line="336" w:lineRule="auto"/>
              <w:ind w:firstLine="0"/>
            </w:pPr>
            <w:r>
              <w:rPr>
                <w:b/>
              </w:rPr>
              <w:t>Orden y columnas</w:t>
            </w:r>
          </w:p>
        </w:tc>
      </w:tr>
      <w:tr>
        <w:tc>
          <w:tcPr>
            <w:tcW w:type="dxa" w:w="4680"/>
          </w:tcPr>
          <w:p>
            <w:pPr>
              <w:spacing w:line="336" w:lineRule="auto"/>
              <w:ind w:firstLine="0"/>
            </w:pPr>
            <w:r>
              <w:t>reporte_vendedores.csv</w:t>
            </w:r>
          </w:p>
        </w:tc>
        <w:tc>
          <w:tcPr>
            <w:tcW w:type="dxa" w:w="4680"/>
          </w:tcPr>
          <w:p>
            <w:pPr>
              <w:spacing w:line="336" w:lineRule="auto"/>
              <w:ind w:firstLine="0"/>
            </w:pPr>
            <w:r>
              <w:t>Recaudo mayor a menor; Nombre completo;Recaudo</w:t>
            </w:r>
          </w:p>
        </w:tc>
      </w:tr>
      <w:tr>
        <w:tc>
          <w:tcPr>
            <w:tcW w:type="dxa" w:w="4680"/>
          </w:tcPr>
          <w:p>
            <w:pPr>
              <w:spacing w:line="336" w:lineRule="auto"/>
              <w:ind w:firstLine="0"/>
            </w:pPr>
            <w:r>
              <w:t>reporte_productos.csv</w:t>
            </w:r>
          </w:p>
        </w:tc>
        <w:tc>
          <w:tcPr>
            <w:tcW w:type="dxa" w:w="4680"/>
          </w:tcPr>
          <w:p>
            <w:pPr>
              <w:spacing w:line="336" w:lineRule="auto"/>
              <w:ind w:firstLine="0"/>
            </w:pPr>
            <w:r>
              <w:t>Unidades mayor a menor; Nombre;Precio unitario</w:t>
            </w:r>
          </w:p>
        </w:tc>
      </w:tr>
    </w:tbl>
    <w:p>
      <w:r>
        <w:t>Las unidades determinan el orden del reporte de productos y se muestran en consola, pero la guía pide solo nombre y precio en su CSV. Los registros sin ventas aparecen con recaudo o unidades cero. Los empates se ordenan por tipo y número de documento para vendedores, y por ID para productos.</w:t>
      </w:r>
    </w:p>
    <w:p>
      <w:pPr>
        <w:pStyle w:val="H1APA"/>
      </w:pPr>
      <w:r>
        <w:t>Implementación paso a paso</w:t>
      </w:r>
    </w:p>
    <w:p>
      <w:r>
        <w:t>Main presenta cinco opciones mediante un ciclo. Al calcular, leerProductos y leerVendedores construyen listas nuevas; separar comprueba cantidad y contenido de campos; enteroNoNegativo convierte cada valor. La búsqueda secuencial localiza registros por ID. procesarVentas valida la cabecera antes de leer las ventas; acumularVenta comprueba las operaciones numéricas antes de modificar cualquiera de los dos acumuladores.</w:t>
      </w:r>
    </w:p>
    <w:p>
      <w:r>
        <w:t>Una fila con menos campos, precio negativo, producto inexistente o desbordamiento produce una advertencia con archivo y línea. Se salta esa fila y continúan las demás. Un ID duplicado conserva el primer registro válido. Una cabecera inválida descarta el archivo completo. Sin catálogos válidos, sin archivos de ventas o ante un fallo de lectura, el cálculo se detiene y vuelve al menú.</w:t>
      </w:r>
    </w:p>
    <w:p>
      <w:r>
        <w:t>ordenarVendedores y ordenarProductos emplean inserción con ciclos. escribirReportes produce ambos CSV con los campos de la guía. No se guarda un resultado entre opciones: incluso exportar vuelve a leer los TXT. Por ello cambiar un archivo antes de la opción 4 cambia el CSV y repetir la opción 3 no duplica ventas.</w:t>
      </w:r>
    </w:p>
    <w:p>
      <w:r>
        <w:t>Producto y Vendedor guardan los datos y acumulados; GenerateInfoFiles crea ejemplos; Main coordina lectura, validación, cálculo y exportación. El código tiene dos puntos de entrada main: el programa y el generador. Java 21 se configura en NetBeans y en los metadatos de Eclipse, sin bibliotecas externas.</w:t>
      </w:r>
    </w:p>
    <w:p>
      <w:pPr>
        <w:pStyle w:val="H1APA"/>
      </w:pPr>
      <w:r>
        <w:t>Ejemplo de cálculo verificable</w:t>
      </w:r>
    </w:p>
    <w:p>
      <w:r>
        <w:t>El caso manual incluido en ejemplos/caso_manual usa tres productos: Teclado a 100 pesos, Mouse a 50 y Monitor a 200. Ana Pérez registra dos teclados y cuatro mouse en dos archivos; Luis Gómez vende ocho mouse; Eva Ruiz no registra ventas. La igualdad de recaudo entre Ana y Luis prueba el desempate por documento.</w:t>
      </w:r>
    </w:p>
    <w:p>
      <w:pPr>
        <w:pStyle w:val="CaptionAPA"/>
      </w:pPr>
      <w:r>
        <w:rPr>
          <w:b/>
        </w:rPr>
        <w:t>Tabla 3</w:t>
      </w:r>
    </w:p>
    <w:p>
      <w:pPr>
        <w:pStyle w:val="CaptionAPA"/>
      </w:pPr>
      <w:r>
        <w:rPr>
          <w:i/>
        </w:rPr>
        <w:t>Recaudo esperado en el caso manual</w:t>
      </w:r>
    </w:p>
    <w:tbl>
      <w:tblPr>
        <w:tblW w:type="auto" w:w="0"/>
        <w:jc w:val="center"/>
        <w:tblLayout w:type="autofit"/>
        <w:tblLook w:firstColumn="1" w:firstRow="1" w:lastColumn="0" w:lastRow="0" w:noHBand="0" w:noVBand="1" w:val="04A0"/>
      </w:tblPr>
      <w:tblGrid>
        <w:gridCol w:w="3120"/>
        <w:gridCol w:w="3120"/>
        <w:gridCol w:w="3120"/>
      </w:tblGrid>
      <w:tr>
        <w:tc>
          <w:tcPr>
            <w:tcW w:type="dxa" w:w="3120"/>
          </w:tcPr>
          <w:p>
            <w:pPr>
              <w:spacing w:line="336" w:lineRule="auto"/>
              <w:ind w:firstLine="0"/>
            </w:pPr>
            <w:r>
              <w:rPr>
                <w:b/>
              </w:rPr>
              <w:t>Vendedor</w:t>
            </w:r>
          </w:p>
        </w:tc>
        <w:tc>
          <w:tcPr>
            <w:tcW w:type="dxa" w:w="3120"/>
          </w:tcPr>
          <w:p>
            <w:pPr>
              <w:spacing w:line="336" w:lineRule="auto"/>
              <w:ind w:firstLine="0"/>
            </w:pPr>
            <w:r>
              <w:rPr>
                <w:b/>
              </w:rPr>
              <w:t>Operación</w:t>
            </w:r>
          </w:p>
        </w:tc>
        <w:tc>
          <w:tcPr>
            <w:tcW w:type="dxa" w:w="3120"/>
          </w:tcPr>
          <w:p>
            <w:pPr>
              <w:spacing w:line="336" w:lineRule="auto"/>
              <w:ind w:firstLine="0"/>
            </w:pPr>
            <w:r>
              <w:rPr>
                <w:b/>
              </w:rPr>
              <w:t>Recaudo</w:t>
            </w:r>
          </w:p>
        </w:tc>
      </w:tr>
      <w:tr>
        <w:tc>
          <w:tcPr>
            <w:tcW w:type="dxa" w:w="3120"/>
          </w:tcPr>
          <w:p>
            <w:pPr>
              <w:spacing w:line="336" w:lineRule="auto"/>
              <w:ind w:firstLine="0"/>
            </w:pPr>
            <w:r>
              <w:t>Ana Pérez</w:t>
            </w:r>
          </w:p>
        </w:tc>
        <w:tc>
          <w:tcPr>
            <w:tcW w:type="dxa" w:w="3120"/>
          </w:tcPr>
          <w:p>
            <w:pPr>
              <w:spacing w:line="336" w:lineRule="auto"/>
              <w:ind w:firstLine="0"/>
            </w:pPr>
            <w:r>
              <w:t>2 × 100 + 4 × 50</w:t>
            </w:r>
          </w:p>
        </w:tc>
        <w:tc>
          <w:tcPr>
            <w:tcW w:type="dxa" w:w="3120"/>
          </w:tcPr>
          <w:p>
            <w:pPr>
              <w:spacing w:line="336" w:lineRule="auto"/>
              <w:ind w:firstLine="0"/>
            </w:pPr>
            <w:r>
              <w:t>400</w:t>
            </w:r>
          </w:p>
        </w:tc>
      </w:tr>
      <w:tr>
        <w:tc>
          <w:tcPr>
            <w:tcW w:type="dxa" w:w="3120"/>
          </w:tcPr>
          <w:p>
            <w:pPr>
              <w:spacing w:line="336" w:lineRule="auto"/>
              <w:ind w:firstLine="0"/>
            </w:pPr>
            <w:r>
              <w:t>Luis Gómez</w:t>
            </w:r>
          </w:p>
        </w:tc>
        <w:tc>
          <w:tcPr>
            <w:tcW w:type="dxa" w:w="3120"/>
          </w:tcPr>
          <w:p>
            <w:pPr>
              <w:spacing w:line="336" w:lineRule="auto"/>
              <w:ind w:firstLine="0"/>
            </w:pPr>
            <w:r>
              <w:t>8 × 50</w:t>
            </w:r>
          </w:p>
        </w:tc>
        <w:tc>
          <w:tcPr>
            <w:tcW w:type="dxa" w:w="3120"/>
          </w:tcPr>
          <w:p>
            <w:pPr>
              <w:spacing w:line="336" w:lineRule="auto"/>
              <w:ind w:firstLine="0"/>
            </w:pPr>
            <w:r>
              <w:t>400</w:t>
            </w:r>
          </w:p>
        </w:tc>
      </w:tr>
      <w:tr>
        <w:tc>
          <w:tcPr>
            <w:tcW w:type="dxa" w:w="3120"/>
          </w:tcPr>
          <w:p>
            <w:pPr>
              <w:spacing w:line="336" w:lineRule="auto"/>
              <w:ind w:firstLine="0"/>
            </w:pPr>
            <w:r>
              <w:t>Eva Ruiz</w:t>
            </w:r>
          </w:p>
        </w:tc>
        <w:tc>
          <w:tcPr>
            <w:tcW w:type="dxa" w:w="3120"/>
          </w:tcPr>
          <w:p>
            <w:pPr>
              <w:spacing w:line="336" w:lineRule="auto"/>
              <w:ind w:firstLine="0"/>
            </w:pPr>
            <w:r>
              <w:t>sin ventas</w:t>
            </w:r>
          </w:p>
        </w:tc>
        <w:tc>
          <w:tcPr>
            <w:tcW w:type="dxa" w:w="3120"/>
          </w:tcPr>
          <w:p>
            <w:pPr>
              <w:spacing w:line="336" w:lineRule="auto"/>
              <w:ind w:firstLine="0"/>
            </w:pPr>
            <w:r>
              <w:t>0</w:t>
            </w:r>
          </w:p>
        </w:tc>
      </w:tr>
    </w:tbl>
    <w:p>
      <w:r>
        <w:t>Mouse acumula 4 + 8 = 12 unidades; Teclado, 2; Monitor, 0. Por tanto el orden del CSV de productos es Mouse, Teclado, Monitor. El archivo esperado de vendedores contiene “Ana Pérez;400”, “Luis Gómez;400” y “Eva Ruiz;0”. El archivo esperado de productos contiene “Mouse;50”, “Teclado;100” y “Monitor;200”.</w:t>
      </w:r>
    </w:p>
    <w:p>
      <w:r>
        <w:t>Esta comprobación utiliza una cuenta independiente del programa. Los dos resultados esperados están en archivos separados y la prueba de integración compara con ellos los CSV producidos. La salida de consola conservada en docs/evidencias/salida_caso_manual.txt permite verificar también las unidades y los mensajes de la opción 4.</w:t>
      </w:r>
    </w:p>
    <w:p>
      <w:pPr>
        <w:pStyle w:val="H1APA"/>
      </w:pPr>
      <w:r>
        <w:t>Ejecución en NetBeans y consola</w:t>
      </w:r>
    </w:p>
    <w:p>
      <w:r>
        <w:t>En NetBeans se abre la carpeta cfpProyecto como proyecto Ant y se registra JDK 21 en Tools &gt; Java Platforms. En Properties se selecciona esa plataforma, codificación UTF-8 y Main como clase principal; el directorio de trabajo debe ser la raíz del proyecto porque allí se buscan los TXT. Run Project muestra el menú. Con los datos ya incluidos se elige 3 para ver los reportes o 4 para escribirlos. Run File sobre GenerateInfoFiles ejecuta el generador; si los archivos existen se responde SI solo cuando se desea reemplazarlos.</w:t>
      </w:r>
    </w:p>
    <w:p>
      <w:r>
        <w:t>También se puede compilar desde la raíz con javac -encoding UTF-8 --release 21 -d build/classes src/*.java y ejecutar java -cp build/classes Main. Esta fue la forma usada en la verificación automática con Eclipse Temurin 21.0.12.1. La apertura visual en NetBeans queda como actividad de revisión de la estudiante en su equipo; la ejecución de consola no se presenta como una prueba de la interfaz del IDE.</w:t>
      </w:r>
    </w:p>
    <w:p>
      <w:pPr>
        <w:pStyle w:val="H2APA"/>
      </w:pPr>
      <w:r>
        <w:t>Fragmento literal de la salida</w:t>
      </w:r>
    </w:p>
    <w:p>
      <w:pPr>
        <w:pStyle w:val="CodeAPA"/>
      </w:pPr>
      <w:r>
        <w:t>VENDEDORES - nombre;recaudo en pesos</w:t>
      </w:r>
    </w:p>
    <w:p>
      <w:pPr>
        <w:pStyle w:val="CodeAPA"/>
      </w:pPr>
      <w:r>
        <w:t>Ana Pérez;400</w:t>
      </w:r>
    </w:p>
    <w:p>
      <w:pPr>
        <w:pStyle w:val="CodeAPA"/>
      </w:pPr>
      <w:r>
        <w:t>Luis Gómez;400</w:t>
      </w:r>
    </w:p>
    <w:p>
      <w:pPr>
        <w:pStyle w:val="CodeAPA"/>
      </w:pPr>
      <w:r>
        <w:t>Eva Ruiz;0</w:t>
      </w:r>
    </w:p>
    <w:p>
      <w:pPr>
        <w:pStyle w:val="CodeAPA"/>
      </w:pPr>
      <w:r>
        <w:t>PRODUCTOS - nombre;precio en pesos (ordenados por unidades)</w:t>
      </w:r>
    </w:p>
    <w:p>
      <w:pPr>
        <w:pStyle w:val="CodeAPA"/>
      </w:pPr>
      <w:r>
        <w:t>Mouse;50 | Unidades: 12</w:t>
      </w:r>
    </w:p>
    <w:p>
      <w:pPr>
        <w:pStyle w:val="CodeAPA"/>
      </w:pPr>
      <w:r>
        <w:t>Teclado;100 | Unidades: 2</w:t>
      </w:r>
    </w:p>
    <w:p>
      <w:pPr>
        <w:pStyle w:val="CodeAPA"/>
      </w:pPr>
      <w:r>
        <w:t>Monitor;200 | Unidades: 0</w:t>
      </w:r>
    </w:p>
    <w:p>
      <w:pPr>
        <w:pStyle w:val="CaptionAPA"/>
      </w:pPr>
      <w:r>
        <w:t>Nota. Transcripción literal del registro generado por Java y guardado en docs/evidencias/salida_caso_manual.txt; no es una captura de pantalla. Se incluye el registro completo para auditoría.</w:t>
      </w:r>
    </w:p>
    <w:p>
      <w:r>
        <w:br w:type="page"/>
      </w:r>
    </w:p>
    <w:p>
      <w:pPr>
        <w:pStyle w:val="H1APA"/>
      </w:pPr>
      <w:r>
        <w:t>Pruebas y resultados</w:t>
      </w:r>
    </w:p>
    <w:p>
      <w:r>
        <w:t>Se compiló con javac --release 21 y se ejecutó Main en carpetas temporales para preservar los datos de la raíz. El script pruebas/verificar.py terminó con 22 casos aprobados. El archivo docs/evidencias/resultados_pruebas.json conserva sus nombres y resultado. La primera prueba compara los dos CSV con cuentas manuales; otras ejercitan entradas defectuosas y recuperación del menú.</w:t>
      </w:r>
    </w:p>
    <w:p>
      <w:pPr>
        <w:pStyle w:val="CaptionAPA"/>
      </w:pPr>
      <w:r>
        <w:rPr>
          <w:b/>
        </w:rPr>
        <w:t>Tabla 4</w:t>
      </w:r>
    </w:p>
    <w:p>
      <w:pPr>
        <w:pStyle w:val="CaptionAPA"/>
      </w:pPr>
      <w:r>
        <w:rPr>
          <w:i/>
        </w:rPr>
        <w:t>Síntesis de las pruebas de integración</w:t>
      </w:r>
    </w:p>
    <w:tbl>
      <w:tblPr>
        <w:tblW w:type="auto" w:w="0"/>
        <w:jc w:val="center"/>
        <w:tblLayout w:type="autofit"/>
        <w:tblLook w:firstColumn="1" w:firstRow="1" w:lastColumn="0" w:lastRow="0" w:noHBand="0" w:noVBand="1" w:val="04A0"/>
      </w:tblPr>
      <w:tblGrid>
        <w:gridCol w:w="4680"/>
        <w:gridCol w:w="4680"/>
      </w:tblGrid>
      <w:tr>
        <w:tc>
          <w:tcPr>
            <w:tcW w:type="dxa" w:w="4680"/>
          </w:tcPr>
          <w:p>
            <w:pPr>
              <w:spacing w:line="336" w:lineRule="auto"/>
              <w:ind w:firstLine="0"/>
            </w:pPr>
            <w:r>
              <w:rPr>
                <w:b/>
              </w:rPr>
              <w:t>Grupo de prueba</w:t>
            </w:r>
          </w:p>
        </w:tc>
        <w:tc>
          <w:tcPr>
            <w:tcW w:type="dxa" w:w="4680"/>
          </w:tcPr>
          <w:p>
            <w:pPr>
              <w:spacing w:line="336" w:lineRule="auto"/>
              <w:ind w:firstLine="0"/>
            </w:pPr>
            <w:r>
              <w:rPr>
                <w:b/>
              </w:rPr>
              <w:t>Resultado observado</w:t>
            </w:r>
          </w:p>
        </w:tc>
      </w:tr>
      <w:tr>
        <w:tc>
          <w:tcPr>
            <w:tcW w:type="dxa" w:w="4680"/>
          </w:tcPr>
          <w:p>
            <w:pPr>
              <w:spacing w:line="336" w:lineRule="auto"/>
              <w:ind w:firstLine="0"/>
            </w:pPr>
            <w:r>
              <w:t>Cálculo y orden</w:t>
            </w:r>
          </w:p>
        </w:tc>
        <w:tc>
          <w:tcPr>
            <w:tcW w:type="dxa" w:w="4680"/>
          </w:tcPr>
          <w:p>
            <w:pPr>
              <w:spacing w:line="336" w:lineRule="auto"/>
              <w:ind w:firstLine="0"/>
            </w:pPr>
            <w:r>
              <w:t>400/400/0; 12/2/0 unidades; empates estables.</w:t>
            </w:r>
          </w:p>
        </w:tc>
      </w:tr>
      <w:tr>
        <w:tc>
          <w:tcPr>
            <w:tcW w:type="dxa" w:w="4680"/>
          </w:tcPr>
          <w:p>
            <w:pPr>
              <w:spacing w:line="336" w:lineRule="auto"/>
              <w:ind w:firstLine="0"/>
            </w:pPr>
            <w:r>
              <w:t>Repetición y exportación</w:t>
            </w:r>
          </w:p>
        </w:tc>
        <w:tc>
          <w:tcPr>
            <w:tcW w:type="dxa" w:w="4680"/>
          </w:tcPr>
          <w:p>
            <w:pPr>
              <w:spacing w:line="336" w:lineRule="auto"/>
              <w:ind w:firstLine="0"/>
            </w:pPr>
            <w:r>
              <w:t>Recalcula; no duplica acumulados; exporta desde opción 4.</w:t>
            </w:r>
          </w:p>
        </w:tc>
      </w:tr>
      <w:tr>
        <w:tc>
          <w:tcPr>
            <w:tcW w:type="dxa" w:w="4680"/>
          </w:tcPr>
          <w:p>
            <w:pPr>
              <w:spacing w:line="336" w:lineRule="auto"/>
              <w:ind w:firstLine="0"/>
            </w:pPr>
            <w:r>
              <w:t>Corrupción de datos</w:t>
            </w:r>
          </w:p>
        </w:tc>
        <w:tc>
          <w:tcPr>
            <w:tcW w:type="dxa" w:w="4680"/>
          </w:tcPr>
          <w:p>
            <w:pPr>
              <w:spacing w:line="336" w:lineRule="auto"/>
              <w:ind w:firstLine="0"/>
            </w:pPr>
            <w:r>
              <w:t>Fila o archivo inválido se informa y se omite según la regla.</w:t>
            </w:r>
          </w:p>
        </w:tc>
      </w:tr>
      <w:tr>
        <w:tc>
          <w:tcPr>
            <w:tcW w:type="dxa" w:w="4680"/>
          </w:tcPr>
          <w:p>
            <w:pPr>
              <w:spacing w:line="336" w:lineRule="auto"/>
              <w:ind w:firstLine="0"/>
            </w:pPr>
            <w:r>
              <w:t>Límites numéricos</w:t>
            </w:r>
          </w:p>
        </w:tc>
        <w:tc>
          <w:tcPr>
            <w:tcW w:type="dxa" w:w="4680"/>
          </w:tcPr>
          <w:p>
            <w:pPr>
              <w:spacing w:line="336" w:lineRule="auto"/>
              <w:ind w:firstLine="0"/>
            </w:pPr>
            <w:r>
              <w:t>Multiplicación y sumas fuera de long no alteran acumulados.</w:t>
            </w:r>
          </w:p>
        </w:tc>
      </w:tr>
      <w:tr>
        <w:tc>
          <w:tcPr>
            <w:tcW w:type="dxa" w:w="4680"/>
          </w:tcPr>
          <w:p>
            <w:pPr>
              <w:spacing w:line="336" w:lineRule="auto"/>
              <w:ind w:firstLine="0"/>
            </w:pPr>
            <w:r>
              <w:t>Casos sin base</w:t>
            </w:r>
          </w:p>
        </w:tc>
        <w:tc>
          <w:tcPr>
            <w:tcW w:type="dxa" w:w="4680"/>
          </w:tcPr>
          <w:p>
            <w:pPr>
              <w:spacing w:line="336" w:lineRule="auto"/>
              <w:ind w:firstLine="0"/>
            </w:pPr>
            <w:r>
              <w:t>Detiene la operación y conserva el control del menú.</w:t>
            </w:r>
          </w:p>
        </w:tc>
      </w:tr>
      <w:tr>
        <w:tc>
          <w:tcPr>
            <w:tcW w:type="dxa" w:w="4680"/>
          </w:tcPr>
          <w:p>
            <w:pPr>
              <w:spacing w:line="336" w:lineRule="auto"/>
              <w:ind w:firstLine="0"/>
            </w:pPr>
            <w:r>
              <w:t>Generador</w:t>
            </w:r>
          </w:p>
        </w:tc>
        <w:tc>
          <w:tcPr>
            <w:tcW w:type="dxa" w:w="4680"/>
          </w:tcPr>
          <w:p>
            <w:pPr>
              <w:spacing w:line="336" w:lineRule="auto"/>
              <w:ind w:firstLine="0"/>
            </w:pPr>
            <w:r>
              <w:t>Produce identificadores coherentes; cancelación conserva archivos.</w:t>
            </w:r>
          </w:p>
        </w:tc>
      </w:tr>
    </w:tbl>
    <w:p>
      <w:r>
        <w:t>Se probaron además productos y vendedores sin ventas, múltiples archivos del mismo vendedor, mismo número con distintos tipos de documento, cabeceras ausentes, menús inválidos, fin de entrada y error de escritura. Los resultados completos se guardan como evidencia reproducible. Una advertencia implica que el reporte representa únicamente las filas válidas, por lo que debe revisarse antes de interpretarlo como el universo completo de ventas.</w:t>
      </w:r>
    </w:p>
    <w:p>
      <w:r>
        <w:br w:type="page"/>
      </w:r>
    </w:p>
    <w:p>
      <w:pPr>
        <w:pStyle w:val="H1APA"/>
      </w:pPr>
      <w:r>
        <w:t>Estado de la versión preliminar</w:t>
      </w:r>
    </w:p>
    <w:p>
      <w:r>
        <w:t>Dentro del alcance acordado están implementados el generador, las cinco opciones, los tres tipos de entrada, las dos salidas, los criterios de orden, el descarte informado y la protección de acumulados. La documentación de tareas restantes se adjunta por separado en PendientesEntrega3.docx, conforme a la exigencia de la segunda entrega.</w:t>
      </w:r>
    </w:p>
    <w:p>
      <w:pPr>
        <w:pStyle w:val="H2APA"/>
      </w:pPr>
      <w:r>
        <w:t>Límites observados</w:t>
      </w:r>
    </w:p>
    <w:p>
      <w:r>
        <w:t>La salida se escribe en dos archivos sucesivos. Si falla la escritura del segundo, el primero puede quedar actualizado y el segundo incompleto. El programa informa el error y no anuncia exportación completa, pero aún no ofrece una publicación conjunta de ambos CSV. Tras un fallo de lectura, archivos CSV anteriores pueden permanecer en disco; no se presentan como resultado actual. El uso de búsqueda lineal y ordenación por inserción es adecuado para estudiar y para los conjuntos pequeños probados, sin garantía de rendimiento masivo.</w:t>
      </w:r>
    </w:p>
    <w:p>
      <w:r>
        <w:t>Los pesos son enteros. Agregar centavos exigiría decidir representación y reglas de redondeo. La generación es pseudoaleatoria y sirve para practicar el flujo, no para modelar ventas reales. El conjunto manual ofrece una base determinista para verificar cálculos.</w:t>
      </w:r>
    </w:p>
    <w:p>
      <w:pPr>
        <w:pStyle w:val="H2APA"/>
      </w:pPr>
      <w:r>
        <w:t>Continuidad hacia la entrega 3</w:t>
      </w:r>
    </w:p>
    <w:p>
      <w:r>
        <w:t>La estudiante puede abrir y explicar el proyecto en NetBeans, revisar el directorio de trabajo y repetir el caso manual. Como mejora de robustez se puede escribir cada reporte en un temporal y reemplazar ambos archivos solo después de completar su generación. HashMap, datos de mayor volumen, centavos y serialización son ampliaciones opcionales, sujetas a los requisitos que se acuerden para la tercera entrega.</w:t>
      </w:r>
    </w:p>
    <w:p>
      <w:r>
        <w:br w:type="page"/>
      </w:r>
    </w:p>
    <w:p>
      <w:pPr>
        <w:pStyle w:val="H1APA"/>
      </w:pPr>
      <w:r>
        <w:t>Conclusiones</w:t>
      </w:r>
    </w:p>
    <w:p>
      <w:r>
        <w:t>La versión preliminar relaciona contenidos de las cinco lecturas con una necesidad concreta: tipos para representar datos, operadores para calcular, estructuras de control para decidir y repetir, métodos para dividir tareas, arreglos para ejemplos y listas para catálogos variables. La selección de herramientas mantiene visible cada paso del algoritmo y permite contrastar los resultados con un caso de cálculo manual.</w:t>
      </w:r>
    </w:p>
    <w:p>
      <w:r>
        <w:t>La prioridad dada a la indicación posterior del profesor explica el cambio de Java 8 a Java 21, de ejecución automática a menú y de tratamiento fatal de cada fila errónea a descarte informado. Se conservan las dos salidas, las firmas del generador y el historial de la entrega 1. La prueba en consola valida la versión entregada dentro de ese alcance; la revisión visual en NetBeans y la mejora de escritura conjunta están identificadas como tareas posteriores.</w:t>
      </w:r>
    </w:p>
    <w:p>
      <w:r>
        <w:t>Las fuentes del curso se interpretaron críticamente. Algunos ejemplos contienen errores de comparación o de asignación en arreglos; por ello no se copiaron como solución. BaseConocimiento.md documenta las decisiones, discrepancias y preguntas para la sustentación con mayor detalle.</w:t>
      </w:r>
    </w:p>
    <w:p>
      <w:r>
        <w:br w:type="page"/>
      </w:r>
    </w:p>
    <w:p>
      <w:pPr>
        <w:pStyle w:val="H1APA"/>
      </w:pPr>
      <w:r>
        <w:t>Referencias</w:t>
      </w:r>
    </w:p>
    <w:p>
      <w:pPr>
        <w:pStyle w:val="ReferenceAPA"/>
      </w:pPr>
      <w:r>
        <w:t>American Psychological Association. (2020, 15 de septiembre). APA style student papers. https://www.apa.org/ed/precollege/psn/2020/09/apa-style-student-papers</w:t>
      </w:r>
    </w:p>
    <w:p>
      <w:pPr>
        <w:pStyle w:val="ReferenceAPA"/>
      </w:pPr>
      <w:r>
        <w:t>Niquefa, R. (s. f.-a). Arreglos de tamaño fijo [Lectura 4, material de curso]. Politécnico Grancolombiano.</w:t>
      </w:r>
    </w:p>
    <w:p>
      <w:pPr>
        <w:pStyle w:val="ReferenceAPA"/>
      </w:pPr>
      <w:r>
        <w:t>Niquefa, R. (s. f.-b). Conceptos iniciales en lenguajes de programación [Lectura 1, material de curso]. Politécnico Grancolombiano.</w:t>
      </w:r>
    </w:p>
    <w:p>
      <w:pPr>
        <w:pStyle w:val="ReferenceAPA"/>
      </w:pPr>
      <w:r>
        <w:t>Niquefa, R. (s. f.-c). Contenedores estándar de datos [Lectura 5, material de curso]. Politécnico Grancolombiano.</w:t>
      </w:r>
    </w:p>
    <w:p>
      <w:pPr>
        <w:pStyle w:val="ReferenceAPA"/>
      </w:pPr>
      <w:r>
        <w:t>Niquefa, R. (s. f.-d). Estructuras de control de flujo de programa [Lectura 3, material de curso]. Politécnico Grancolombiano.</w:t>
      </w:r>
    </w:p>
    <w:p>
      <w:pPr>
        <w:pStyle w:val="ReferenceAPA"/>
      </w:pPr>
      <w:r>
        <w:t>Niquefa, R. (s. f.-e). Funciones o métodos [Lectura 2, material de curso]. Politécnico Grancolombiano.</w:t>
      </w:r>
    </w:p>
    <w:p>
      <w:pPr>
        <w:pStyle w:val="ReferenceAPA"/>
      </w:pPr>
      <w:r>
        <w:t>OpenAI. (2026). Recorrido conceptual de datos de ventas [Ilustración generada con IA]. Documento de esta entrega.</w:t>
      </w:r>
    </w:p>
    <w:p>
      <w:pPr>
        <w:pStyle w:val="ReferenceAPA"/>
      </w:pPr>
      <w:r>
        <w:t>Oracle. (2026a). Class ArrayList&lt;E&gt; (Java SE 21). https://docs.oracle.com/en/java/javase/21/docs/api/java.base/java/util/ArrayList.html</w:t>
      </w:r>
    </w:p>
    <w:p>
      <w:pPr>
        <w:pStyle w:val="ReferenceAPA"/>
      </w:pPr>
      <w:r>
        <w:t>Oracle. (2026b). Class Long (Java SE 21). https://docs.oracle.com/en/java/javase/21/docs/api/java.base/java/lang/Long.html</w:t>
      </w:r>
    </w:p>
    <w:p>
      <w:pPr>
        <w:pStyle w:val="ReferenceAPA"/>
      </w:pPr>
      <w:r>
        <w:t>Politécnico Grancolombiano. (s. f.). Generación y clasificación de datos [Guía de proyecto, material de curso].</w:t>
      </w:r>
    </w:p>
    <w:p>
      <w:pPr>
        <w:pStyle w:val="ReferenceAPA"/>
      </w:pPr>
      <w:r>
        <w:t>Soto Trujillo, M. D. M. (2026). Entrega 1: Conceptos Fundamentales de Programación [Informe de proyecto no publicado]. Politécnico Grancolombiano.</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r>
    <w:r>
      <w:instrText xml:space="preserve">PAGE</w:instrTex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APA">
    <w:name w:val="TitleAPA"/>
    <w:basedOn w:val="Normal"/>
    <w:pPr>
      <w:spacing w:line="480" w:lineRule="auto" w:after="0"/>
      <w:ind w:firstLine="0"/>
    </w:pPr>
    <w:rPr>
      <w:rFonts w:ascii="Times New Roman" w:hAnsi="Times New Roman"/>
      <w:b/>
      <w:sz w:val="24"/>
    </w:rPr>
  </w:style>
  <w:style w:type="paragraph" w:customStyle="1" w:styleId="H1APA">
    <w:name w:val="H1APA"/>
    <w:basedOn w:val="Normal"/>
    <w:pPr>
      <w:keepNext/>
      <w:spacing w:line="480" w:lineRule="auto" w:after="0"/>
      <w:ind w:firstLine="0"/>
      <w:jc w:val="center"/>
    </w:pPr>
    <w:rPr>
      <w:rFonts w:ascii="Times New Roman" w:hAnsi="Times New Roman"/>
      <w:b/>
      <w:sz w:val="24"/>
    </w:rPr>
  </w:style>
  <w:style w:type="paragraph" w:customStyle="1" w:styleId="H2APA">
    <w:name w:val="H2APA"/>
    <w:basedOn w:val="Normal"/>
    <w:pPr>
      <w:keepNext/>
      <w:spacing w:line="480" w:lineRule="auto" w:after="0"/>
      <w:ind w:firstLine="0"/>
    </w:pPr>
    <w:rPr>
      <w:rFonts w:ascii="Times New Roman" w:hAnsi="Times New Roman"/>
      <w:b/>
      <w:sz w:val="24"/>
    </w:rPr>
  </w:style>
  <w:style w:type="paragraph" w:customStyle="1" w:styleId="CaptionAPA">
    <w:name w:val="CaptionAPA"/>
    <w:basedOn w:val="Normal"/>
    <w:pPr>
      <w:spacing w:line="480" w:lineRule="auto" w:after="0"/>
      <w:ind w:firstLine="0"/>
    </w:pPr>
    <w:rPr>
      <w:rFonts w:ascii="Times New Roman" w:hAnsi="Times New Roman"/>
      <w:sz w:val="24"/>
    </w:rPr>
  </w:style>
  <w:style w:type="paragraph" w:customStyle="1" w:styleId="ReferenceAPA">
    <w:name w:val="ReferenceAPA"/>
    <w:basedOn w:val="Normal"/>
    <w:pPr>
      <w:spacing w:line="480" w:lineRule="auto" w:after="0"/>
      <w:ind w:left="720" w:hanging="720"/>
    </w:pPr>
    <w:rPr>
      <w:rFonts w:ascii="Times New Roman" w:hAnsi="Times New Roman"/>
      <w:sz w:val="24"/>
    </w:rPr>
  </w:style>
  <w:style w:type="paragraph" w:customStyle="1" w:styleId="CodeAPA">
    <w:name w:val="CodeAPA"/>
    <w:basedOn w:val="Normal"/>
    <w:pPr>
      <w:spacing w:line="480" w:lineRule="auto" w:after="0"/>
      <w:ind w:firstLine="0"/>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 2: sistema preliminar de ventas y vendedores</dc:title>
  <dc:subject>Entrega 2, Conceptos Fundamentales de Programación</dc:subject>
  <dc:creator>Maria Del Mar Soto Trujillo</dc:creator>
  <cp:keywords/>
  <dc:description>generated by python-docx</dc:description>
  <cp:lastModifiedBy/>
  <cp:revision>1</cp:revision>
  <dcterms:created xsi:type="dcterms:W3CDTF">2013-12-23T23:15:00Z</dcterms:created>
  <dcterms:modified xsi:type="dcterms:W3CDTF">2013-12-23T23:15:00Z</dcterms:modified>
  <cp:category/>
</cp:coreProperties>
</file>