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9EED2" w14:textId="04BA4288" w:rsidR="00396ABF" w:rsidRPr="00396ABF" w:rsidRDefault="00396ABF" w:rsidP="00396ABF">
      <w:pPr>
        <w:pStyle w:val="Ttulo1"/>
        <w:rPr>
          <w:lang w:eastAsia="es-ES"/>
        </w:rPr>
      </w:pPr>
      <w:r>
        <w:rPr>
          <w:lang w:eastAsia="es-ES"/>
        </w:rPr>
        <w:t>A</w:t>
      </w:r>
      <w:r w:rsidRPr="00396ABF">
        <w:rPr>
          <w:lang w:eastAsia="es-ES"/>
        </w:rPr>
        <w:t>ctividad 3.</w:t>
      </w:r>
      <w:r w:rsidR="00020C23">
        <w:rPr>
          <w:lang w:eastAsia="es-ES"/>
        </w:rPr>
        <w:t xml:space="preserve"> </w:t>
      </w:r>
      <w:r w:rsidRPr="00396ABF">
        <w:rPr>
          <w:lang w:eastAsia="es-ES"/>
        </w:rPr>
        <w:t>Formación on-line</w:t>
      </w:r>
    </w:p>
    <w:p w14:paraId="58EBBEC3" w14:textId="20957A30" w:rsidR="00396ABF" w:rsidRPr="00D16DD0" w:rsidRDefault="00396ABF" w:rsidP="00396ABF">
      <w:pPr>
        <w:pStyle w:val="Ttulo2"/>
        <w:rPr>
          <w:color w:val="0070C0"/>
        </w:rPr>
      </w:pPr>
      <w:r w:rsidRPr="00D16DD0">
        <w:rPr>
          <w:rFonts w:eastAsiaTheme="majorEastAsia"/>
          <w:color w:val="0070C0"/>
        </w:rPr>
        <w:t>Características metodológicas de la formación online</w:t>
      </w:r>
    </w:p>
    <w:p w14:paraId="67021BD3" w14:textId="77777777" w:rsidR="00396ABF" w:rsidRPr="00D16DD0" w:rsidRDefault="00396ABF" w:rsidP="001914B3">
      <w:pPr>
        <w:shd w:val="clear" w:color="auto" w:fill="FFFFFF"/>
        <w:spacing w:before="100" w:beforeAutospacing="1" w:after="100" w:afterAutospacing="1" w:line="240" w:lineRule="auto"/>
        <w:jc w:val="both"/>
        <w:rPr>
          <w:color w:val="0070C0"/>
          <w:lang w:eastAsia="es-ES"/>
        </w:rPr>
      </w:pPr>
      <w:r w:rsidRPr="00D16DD0">
        <w:rPr>
          <w:color w:val="0070C0"/>
          <w:lang w:eastAsia="es-ES"/>
        </w:rPr>
        <w:t>La formación online se caracteriza por las siguientes características metodológicas:</w:t>
      </w:r>
    </w:p>
    <w:p w14:paraId="56F25773" w14:textId="55C10A2B" w:rsidR="00396ABF" w:rsidRPr="00D16DD0" w:rsidRDefault="00396ABF" w:rsidP="001914B3">
      <w:pPr>
        <w:numPr>
          <w:ilvl w:val="0"/>
          <w:numId w:val="5"/>
        </w:numPr>
        <w:shd w:val="clear" w:color="auto" w:fill="FFFFFF"/>
        <w:spacing w:before="100" w:beforeAutospacing="1" w:after="0" w:line="240" w:lineRule="auto"/>
        <w:jc w:val="both"/>
        <w:rPr>
          <w:color w:val="0070C0"/>
          <w:lang w:eastAsia="es-ES"/>
        </w:rPr>
      </w:pPr>
      <w:r w:rsidRPr="00D16DD0">
        <w:rPr>
          <w:color w:val="0070C0"/>
          <w:lang w:eastAsia="es-ES"/>
        </w:rPr>
        <w:t>Flexibilidad:</w:t>
      </w:r>
      <w:r w:rsidR="00020C23" w:rsidRPr="00D16DD0">
        <w:rPr>
          <w:color w:val="0070C0"/>
          <w:lang w:eastAsia="es-ES"/>
        </w:rPr>
        <w:t xml:space="preserve"> </w:t>
      </w:r>
      <w:r w:rsidRPr="00D16DD0">
        <w:rPr>
          <w:color w:val="0070C0"/>
          <w:lang w:eastAsia="es-ES"/>
        </w:rPr>
        <w:t>Los alumnos pueden acceder a los contenidos y realizar las actividades formativas en cualquier momento y desde cualquier lugar con conexión a internet.</w:t>
      </w:r>
    </w:p>
    <w:p w14:paraId="2A11C2E7" w14:textId="20E46F1F" w:rsidR="00396ABF" w:rsidRPr="00D16DD0" w:rsidRDefault="00396ABF" w:rsidP="001914B3">
      <w:pPr>
        <w:numPr>
          <w:ilvl w:val="0"/>
          <w:numId w:val="5"/>
        </w:numPr>
        <w:shd w:val="clear" w:color="auto" w:fill="FFFFFF"/>
        <w:spacing w:before="100" w:beforeAutospacing="1" w:after="0" w:line="240" w:lineRule="auto"/>
        <w:jc w:val="both"/>
        <w:rPr>
          <w:color w:val="0070C0"/>
          <w:lang w:eastAsia="es-ES"/>
        </w:rPr>
      </w:pPr>
      <w:r w:rsidRPr="00D16DD0">
        <w:rPr>
          <w:color w:val="0070C0"/>
          <w:lang w:eastAsia="es-ES"/>
        </w:rPr>
        <w:t>Autonomía:</w:t>
      </w:r>
      <w:r w:rsidR="00020C23" w:rsidRPr="00D16DD0">
        <w:rPr>
          <w:color w:val="0070C0"/>
          <w:lang w:eastAsia="es-ES"/>
        </w:rPr>
        <w:t xml:space="preserve"> </w:t>
      </w:r>
      <w:r w:rsidRPr="00D16DD0">
        <w:rPr>
          <w:color w:val="0070C0"/>
          <w:lang w:eastAsia="es-ES"/>
        </w:rPr>
        <w:t>Los alumnos son los protagonistas de su propio aprendizaje, estableciendo su propio ritmo y método de estudio.</w:t>
      </w:r>
    </w:p>
    <w:p w14:paraId="066ECF85" w14:textId="5229D169" w:rsidR="00396ABF" w:rsidRPr="00D16DD0" w:rsidRDefault="00396ABF" w:rsidP="001914B3">
      <w:pPr>
        <w:numPr>
          <w:ilvl w:val="0"/>
          <w:numId w:val="5"/>
        </w:numPr>
        <w:shd w:val="clear" w:color="auto" w:fill="FFFFFF"/>
        <w:spacing w:before="100" w:beforeAutospacing="1" w:after="0" w:line="240" w:lineRule="auto"/>
        <w:jc w:val="both"/>
        <w:rPr>
          <w:color w:val="0070C0"/>
          <w:lang w:eastAsia="es-ES"/>
        </w:rPr>
      </w:pPr>
      <w:r w:rsidRPr="00D16DD0">
        <w:rPr>
          <w:color w:val="0070C0"/>
          <w:lang w:eastAsia="es-ES"/>
        </w:rPr>
        <w:t>Interactividad:</w:t>
      </w:r>
      <w:r w:rsidR="00020C23" w:rsidRPr="00D16DD0">
        <w:rPr>
          <w:color w:val="0070C0"/>
          <w:lang w:eastAsia="es-ES"/>
        </w:rPr>
        <w:t xml:space="preserve"> </w:t>
      </w:r>
      <w:r w:rsidRPr="00D16DD0">
        <w:rPr>
          <w:color w:val="0070C0"/>
          <w:lang w:eastAsia="es-ES"/>
        </w:rPr>
        <w:t>La formación online permite una comunicación fluida entre el profesor y los alumnos, así como entre los propios alumnos, a través de foros, chats y otras herramientas online.</w:t>
      </w:r>
    </w:p>
    <w:p w14:paraId="641BCC40" w14:textId="06D72C90" w:rsidR="00396ABF" w:rsidRPr="00D16DD0" w:rsidRDefault="00396ABF" w:rsidP="001914B3">
      <w:pPr>
        <w:numPr>
          <w:ilvl w:val="0"/>
          <w:numId w:val="5"/>
        </w:numPr>
        <w:shd w:val="clear" w:color="auto" w:fill="FFFFFF"/>
        <w:spacing w:before="100" w:beforeAutospacing="1" w:after="0" w:line="240" w:lineRule="auto"/>
        <w:jc w:val="both"/>
        <w:rPr>
          <w:color w:val="0070C0"/>
          <w:lang w:eastAsia="es-ES"/>
        </w:rPr>
      </w:pPr>
      <w:r w:rsidRPr="00D16DD0">
        <w:rPr>
          <w:color w:val="0070C0"/>
          <w:lang w:eastAsia="es-ES"/>
        </w:rPr>
        <w:t>Multimedialidad:</w:t>
      </w:r>
      <w:r w:rsidR="00020C23" w:rsidRPr="00D16DD0">
        <w:rPr>
          <w:color w:val="0070C0"/>
          <w:lang w:eastAsia="es-ES"/>
        </w:rPr>
        <w:t xml:space="preserve"> </w:t>
      </w:r>
      <w:r w:rsidRPr="00D16DD0">
        <w:rPr>
          <w:color w:val="0070C0"/>
          <w:lang w:eastAsia="es-ES"/>
        </w:rPr>
        <w:t>Se pueden utilizar diversos recursos didácticos en formato multimedia, como vídeos, audios, presentaciones, etc.</w:t>
      </w:r>
    </w:p>
    <w:p w14:paraId="1977902A" w14:textId="1CBBA0DE" w:rsidR="00396ABF" w:rsidRPr="00D16DD0" w:rsidRDefault="00396ABF" w:rsidP="001914B3">
      <w:pPr>
        <w:numPr>
          <w:ilvl w:val="0"/>
          <w:numId w:val="5"/>
        </w:numPr>
        <w:shd w:val="clear" w:color="auto" w:fill="FFFFFF"/>
        <w:spacing w:before="100" w:beforeAutospacing="1" w:after="0" w:line="240" w:lineRule="auto"/>
        <w:jc w:val="both"/>
        <w:rPr>
          <w:color w:val="0070C0"/>
          <w:lang w:eastAsia="es-ES"/>
        </w:rPr>
      </w:pPr>
      <w:r w:rsidRPr="00D16DD0">
        <w:rPr>
          <w:color w:val="0070C0"/>
          <w:lang w:eastAsia="es-ES"/>
        </w:rPr>
        <w:t>Personalización:</w:t>
      </w:r>
      <w:r w:rsidR="00020C23" w:rsidRPr="00D16DD0">
        <w:rPr>
          <w:color w:val="0070C0"/>
          <w:lang w:eastAsia="es-ES"/>
        </w:rPr>
        <w:t xml:space="preserve"> </w:t>
      </w:r>
      <w:r w:rsidRPr="00D16DD0">
        <w:rPr>
          <w:color w:val="0070C0"/>
          <w:lang w:eastAsia="es-ES"/>
        </w:rPr>
        <w:t>La formación online puede adaptarse a las necesidades individuales de cada alumno.</w:t>
      </w:r>
    </w:p>
    <w:p w14:paraId="1AE257BA" w14:textId="54AAC715" w:rsidR="00396ABF" w:rsidRPr="00D16DD0" w:rsidRDefault="00396ABF" w:rsidP="00396ABF">
      <w:pPr>
        <w:pStyle w:val="Ttulo2"/>
        <w:rPr>
          <w:color w:val="0070C0"/>
        </w:rPr>
      </w:pPr>
      <w:r w:rsidRPr="00D16DD0">
        <w:rPr>
          <w:rFonts w:eastAsiaTheme="majorEastAsia"/>
          <w:color w:val="0070C0"/>
        </w:rPr>
        <w:t>Ideas para aplicar las características metodológicas de la formación online en la programación didáctica</w:t>
      </w:r>
    </w:p>
    <w:p w14:paraId="784C4472" w14:textId="77777777" w:rsidR="00396ABF" w:rsidRPr="00D16DD0" w:rsidRDefault="00396ABF" w:rsidP="001914B3">
      <w:pPr>
        <w:shd w:val="clear" w:color="auto" w:fill="FFFFFF"/>
        <w:spacing w:before="100" w:beforeAutospacing="1" w:after="100" w:afterAutospacing="1" w:line="240" w:lineRule="auto"/>
        <w:jc w:val="both"/>
        <w:rPr>
          <w:color w:val="0070C0"/>
          <w:lang w:eastAsia="es-ES"/>
        </w:rPr>
      </w:pPr>
      <w:r w:rsidRPr="00D16DD0">
        <w:rPr>
          <w:color w:val="0070C0"/>
          <w:lang w:eastAsia="es-ES"/>
        </w:rPr>
        <w:t>Aquí hay algunas ideas para aplicar las características metodológicas de la formación online en la programación didáctica del certificado de profesionalidad de Gestión de llamadas de teleasistencia:</w:t>
      </w:r>
    </w:p>
    <w:p w14:paraId="20EACD5D" w14:textId="77777777" w:rsidR="00396ABF" w:rsidRPr="00D16DD0" w:rsidRDefault="00396ABF" w:rsidP="001914B3">
      <w:pPr>
        <w:numPr>
          <w:ilvl w:val="0"/>
          <w:numId w:val="6"/>
        </w:numPr>
        <w:shd w:val="clear" w:color="auto" w:fill="FFFFFF"/>
        <w:spacing w:before="100" w:beforeAutospacing="1" w:after="0" w:line="240" w:lineRule="auto"/>
        <w:jc w:val="both"/>
        <w:rPr>
          <w:color w:val="0070C0"/>
          <w:lang w:eastAsia="es-ES"/>
        </w:rPr>
      </w:pPr>
      <w:r w:rsidRPr="00D16DD0">
        <w:rPr>
          <w:color w:val="0070C0"/>
          <w:lang w:eastAsia="es-ES"/>
        </w:rPr>
        <w:t>Utilizar una plataforma de formación online que permita a los alumnos acceder a los contenidos y realizar las actividades formativas en cualquier momento y desde cualquier lugar.</w:t>
      </w:r>
    </w:p>
    <w:p w14:paraId="6AD53DAD" w14:textId="77777777" w:rsidR="00396ABF" w:rsidRPr="00D16DD0" w:rsidRDefault="00396ABF" w:rsidP="001914B3">
      <w:pPr>
        <w:numPr>
          <w:ilvl w:val="0"/>
          <w:numId w:val="6"/>
        </w:numPr>
        <w:shd w:val="clear" w:color="auto" w:fill="FFFFFF"/>
        <w:spacing w:before="100" w:beforeAutospacing="1" w:after="0" w:line="240" w:lineRule="auto"/>
        <w:jc w:val="both"/>
        <w:rPr>
          <w:color w:val="0070C0"/>
          <w:lang w:eastAsia="es-ES"/>
        </w:rPr>
      </w:pPr>
      <w:r w:rsidRPr="00D16DD0">
        <w:rPr>
          <w:color w:val="0070C0"/>
          <w:lang w:eastAsia="es-ES"/>
        </w:rPr>
        <w:t>Diseñar actividades formativas variadas y motivadoras que fomenten la autonomía de los alumnos.</w:t>
      </w:r>
    </w:p>
    <w:p w14:paraId="11AC0E56" w14:textId="77777777" w:rsidR="00396ABF" w:rsidRPr="00D16DD0" w:rsidRDefault="00396ABF" w:rsidP="001914B3">
      <w:pPr>
        <w:numPr>
          <w:ilvl w:val="0"/>
          <w:numId w:val="6"/>
        </w:numPr>
        <w:shd w:val="clear" w:color="auto" w:fill="FFFFFF"/>
        <w:spacing w:before="100" w:beforeAutospacing="1" w:after="0" w:line="240" w:lineRule="auto"/>
        <w:jc w:val="both"/>
        <w:rPr>
          <w:color w:val="0070C0"/>
          <w:lang w:eastAsia="es-ES"/>
        </w:rPr>
      </w:pPr>
      <w:r w:rsidRPr="00D16DD0">
        <w:rPr>
          <w:color w:val="0070C0"/>
          <w:lang w:eastAsia="es-ES"/>
        </w:rPr>
        <w:t>Incluir foros, chats y otras herramientas online para facilitar la comunicación entre el profesor y los alumnos, así como entre los propios alumnos.</w:t>
      </w:r>
    </w:p>
    <w:p w14:paraId="10AEAFB8" w14:textId="77777777" w:rsidR="00396ABF" w:rsidRPr="00D16DD0" w:rsidRDefault="00396ABF" w:rsidP="001914B3">
      <w:pPr>
        <w:numPr>
          <w:ilvl w:val="0"/>
          <w:numId w:val="6"/>
        </w:numPr>
        <w:shd w:val="clear" w:color="auto" w:fill="FFFFFF"/>
        <w:spacing w:before="100" w:beforeAutospacing="1" w:after="0" w:line="240" w:lineRule="auto"/>
        <w:jc w:val="both"/>
        <w:rPr>
          <w:color w:val="0070C0"/>
          <w:lang w:eastAsia="es-ES"/>
        </w:rPr>
      </w:pPr>
      <w:r w:rsidRPr="00D16DD0">
        <w:rPr>
          <w:color w:val="0070C0"/>
          <w:lang w:eastAsia="es-ES"/>
        </w:rPr>
        <w:t>Utilizar recursos didácticos en formato multimedia para hacer la formación más atractiva y dinámica.</w:t>
      </w:r>
    </w:p>
    <w:p w14:paraId="1897DB58" w14:textId="77777777" w:rsidR="00396ABF" w:rsidRPr="00D16DD0" w:rsidRDefault="00396ABF" w:rsidP="001914B3">
      <w:pPr>
        <w:numPr>
          <w:ilvl w:val="0"/>
          <w:numId w:val="6"/>
        </w:numPr>
        <w:shd w:val="clear" w:color="auto" w:fill="FFFFFF"/>
        <w:spacing w:before="100" w:beforeAutospacing="1" w:after="0" w:line="240" w:lineRule="auto"/>
        <w:jc w:val="both"/>
        <w:rPr>
          <w:color w:val="0070C0"/>
          <w:lang w:eastAsia="es-ES"/>
        </w:rPr>
      </w:pPr>
      <w:r w:rsidRPr="00D16DD0">
        <w:rPr>
          <w:color w:val="0070C0"/>
          <w:lang w:eastAsia="es-ES"/>
        </w:rPr>
        <w:t>Ofrecer a los alumnos la posibilidad de personalizar su aprendizaje en función de sus necesidades e intereses.</w:t>
      </w:r>
    </w:p>
    <w:p w14:paraId="14C68CF9" w14:textId="6D896183" w:rsidR="00396ABF" w:rsidRPr="00D16DD0" w:rsidRDefault="00943C14" w:rsidP="00396ABF">
      <w:pPr>
        <w:pStyle w:val="Ttulo2"/>
      </w:pPr>
      <w:r>
        <w:rPr>
          <w:rFonts w:eastAsiaTheme="majorEastAsia"/>
          <w:color w:val="0070C0"/>
        </w:rPr>
        <w:br w:type="column"/>
      </w:r>
      <w:r w:rsidR="00396ABF" w:rsidRPr="00D16DD0">
        <w:rPr>
          <w:rFonts w:eastAsiaTheme="majorEastAsia"/>
        </w:rPr>
        <w:lastRenderedPageBreak/>
        <w:t>Debate de ideas con compañeros/as</w:t>
      </w:r>
    </w:p>
    <w:p w14:paraId="201AE34F" w14:textId="77777777" w:rsidR="00396ABF" w:rsidRPr="00D16DD0" w:rsidRDefault="00396ABF" w:rsidP="001914B3">
      <w:pPr>
        <w:shd w:val="clear" w:color="auto" w:fill="FFFFFF"/>
        <w:spacing w:before="100" w:beforeAutospacing="1" w:after="100" w:afterAutospacing="1" w:line="240" w:lineRule="auto"/>
        <w:jc w:val="both"/>
        <w:rPr>
          <w:lang w:eastAsia="es-ES"/>
        </w:rPr>
      </w:pPr>
      <w:r w:rsidRPr="00D16DD0">
        <w:rPr>
          <w:lang w:eastAsia="es-ES"/>
        </w:rPr>
        <w:t>Es importante debatir las ideas con los compañeros/as para llegar a conclusiones enriquecedoras. Algunas preguntas que pueden servir para iniciar el debate son:</w:t>
      </w:r>
    </w:p>
    <w:p w14:paraId="428EFFAD" w14:textId="77777777" w:rsidR="00396ABF" w:rsidRPr="00D16DD0" w:rsidRDefault="00396ABF" w:rsidP="001914B3">
      <w:pPr>
        <w:numPr>
          <w:ilvl w:val="0"/>
          <w:numId w:val="7"/>
        </w:numPr>
        <w:shd w:val="clear" w:color="auto" w:fill="FFFFFF"/>
        <w:spacing w:before="100" w:beforeAutospacing="1" w:after="0" w:line="240" w:lineRule="auto"/>
        <w:jc w:val="both"/>
        <w:rPr>
          <w:lang w:eastAsia="es-ES"/>
        </w:rPr>
      </w:pPr>
      <w:r w:rsidRPr="00D16DD0">
        <w:rPr>
          <w:lang w:eastAsia="es-ES"/>
        </w:rPr>
        <w:t>¿Qué ventajas e inconvenientes tiene la formación online frente a la formación presencial?</w:t>
      </w:r>
    </w:p>
    <w:p w14:paraId="02F36F9C" w14:textId="77777777" w:rsidR="00396ABF" w:rsidRPr="00D16DD0" w:rsidRDefault="00396ABF" w:rsidP="001914B3">
      <w:pPr>
        <w:numPr>
          <w:ilvl w:val="0"/>
          <w:numId w:val="7"/>
        </w:numPr>
        <w:shd w:val="clear" w:color="auto" w:fill="FFFFFF"/>
        <w:spacing w:before="100" w:beforeAutospacing="1" w:after="0" w:line="240" w:lineRule="auto"/>
        <w:jc w:val="both"/>
        <w:rPr>
          <w:lang w:eastAsia="es-ES"/>
        </w:rPr>
      </w:pPr>
      <w:r w:rsidRPr="00D16DD0">
        <w:rPr>
          <w:lang w:eastAsia="es-ES"/>
        </w:rPr>
        <w:t>¿Qué tipo de actividades formativas son más adecuadas para la formación online?</w:t>
      </w:r>
    </w:p>
    <w:p w14:paraId="500D6C64" w14:textId="77777777" w:rsidR="00396ABF" w:rsidRPr="00D16DD0" w:rsidRDefault="00396ABF" w:rsidP="001914B3">
      <w:pPr>
        <w:numPr>
          <w:ilvl w:val="0"/>
          <w:numId w:val="7"/>
        </w:numPr>
        <w:shd w:val="clear" w:color="auto" w:fill="FFFFFF"/>
        <w:spacing w:before="100" w:beforeAutospacing="1" w:after="0" w:line="240" w:lineRule="auto"/>
        <w:jc w:val="both"/>
        <w:rPr>
          <w:lang w:eastAsia="es-ES"/>
        </w:rPr>
      </w:pPr>
      <w:r w:rsidRPr="00D16DD0">
        <w:rPr>
          <w:lang w:eastAsia="es-ES"/>
        </w:rPr>
        <w:t>¿Cómo se puede garantizar la motivación de los alumnos en un entorno de formación online?</w:t>
      </w:r>
    </w:p>
    <w:p w14:paraId="2E04256D" w14:textId="77777777" w:rsidR="00396ABF" w:rsidRPr="00D16DD0" w:rsidRDefault="00396ABF" w:rsidP="001914B3">
      <w:pPr>
        <w:numPr>
          <w:ilvl w:val="0"/>
          <w:numId w:val="7"/>
        </w:numPr>
        <w:shd w:val="clear" w:color="auto" w:fill="FFFFFF"/>
        <w:spacing w:before="100" w:beforeAutospacing="1" w:after="0" w:line="240" w:lineRule="auto"/>
        <w:jc w:val="both"/>
        <w:rPr>
          <w:lang w:eastAsia="es-ES"/>
        </w:rPr>
      </w:pPr>
      <w:r w:rsidRPr="00D16DD0">
        <w:rPr>
          <w:lang w:eastAsia="es-ES"/>
        </w:rPr>
        <w:t>¿Qué papel debe jugar el profesor en la formación online?</w:t>
      </w:r>
    </w:p>
    <w:p w14:paraId="701CA30E" w14:textId="5A434F8B" w:rsidR="00396ABF" w:rsidRPr="00D16DD0" w:rsidRDefault="00396ABF" w:rsidP="00396ABF">
      <w:pPr>
        <w:pStyle w:val="Ttulo2"/>
      </w:pPr>
      <w:r w:rsidRPr="00D16DD0">
        <w:rPr>
          <w:rFonts w:eastAsiaTheme="majorEastAsia"/>
        </w:rPr>
        <w:t>Estructura del certificado de profesionalidad de Gestión de llamadas de teleasistencia</w:t>
      </w:r>
    </w:p>
    <w:p w14:paraId="15A855D6" w14:textId="77777777" w:rsidR="00396ABF" w:rsidRPr="00D16DD0" w:rsidRDefault="00396ABF" w:rsidP="001914B3">
      <w:pPr>
        <w:shd w:val="clear" w:color="auto" w:fill="FFFFFF"/>
        <w:spacing w:before="100" w:beforeAutospacing="1" w:after="100" w:afterAutospacing="1" w:line="240" w:lineRule="auto"/>
        <w:jc w:val="both"/>
        <w:rPr>
          <w:lang w:eastAsia="es-ES"/>
        </w:rPr>
      </w:pPr>
      <w:r w:rsidRPr="00D16DD0">
        <w:rPr>
          <w:lang w:eastAsia="es-ES"/>
        </w:rPr>
        <w:t>El certificado de profesionalidad de Gestión de llamadas de teleasistencia se estructura en las siguientes unidades de competencia:</w:t>
      </w:r>
    </w:p>
    <w:p w14:paraId="75F1AF0E" w14:textId="77777777" w:rsidR="00396ABF" w:rsidRPr="00D16DD0" w:rsidRDefault="00396ABF" w:rsidP="001914B3">
      <w:pPr>
        <w:numPr>
          <w:ilvl w:val="0"/>
          <w:numId w:val="8"/>
        </w:numPr>
        <w:shd w:val="clear" w:color="auto" w:fill="FFFFFF"/>
        <w:spacing w:before="100" w:beforeAutospacing="1" w:after="0" w:line="240" w:lineRule="auto"/>
        <w:jc w:val="both"/>
        <w:rPr>
          <w:lang w:eastAsia="es-ES"/>
        </w:rPr>
      </w:pPr>
      <w:r w:rsidRPr="00D16DD0">
        <w:rPr>
          <w:lang w:eastAsia="es-ES"/>
        </w:rPr>
        <w:t>UC1. Atender y gestionar llamadas de teleasistencia.</w:t>
      </w:r>
    </w:p>
    <w:p w14:paraId="53D5B4C1" w14:textId="77777777" w:rsidR="00396ABF" w:rsidRPr="00D16DD0" w:rsidRDefault="00396ABF" w:rsidP="001914B3">
      <w:pPr>
        <w:numPr>
          <w:ilvl w:val="0"/>
          <w:numId w:val="8"/>
        </w:numPr>
        <w:shd w:val="clear" w:color="auto" w:fill="FFFFFF"/>
        <w:spacing w:before="100" w:beforeAutospacing="1" w:after="0" w:line="240" w:lineRule="auto"/>
        <w:jc w:val="both"/>
        <w:rPr>
          <w:lang w:eastAsia="es-ES"/>
        </w:rPr>
      </w:pPr>
      <w:r w:rsidRPr="00D16DD0">
        <w:rPr>
          <w:lang w:eastAsia="es-ES"/>
        </w:rPr>
        <w:t>UC2. Proporcionar información y resolver incidencias en el servicio de teleasistencia.</w:t>
      </w:r>
    </w:p>
    <w:p w14:paraId="488435F1" w14:textId="77777777" w:rsidR="00396ABF" w:rsidRPr="00D16DD0" w:rsidRDefault="00396ABF" w:rsidP="001914B3">
      <w:pPr>
        <w:numPr>
          <w:ilvl w:val="0"/>
          <w:numId w:val="8"/>
        </w:numPr>
        <w:shd w:val="clear" w:color="auto" w:fill="FFFFFF"/>
        <w:spacing w:before="100" w:beforeAutospacing="1" w:after="0" w:line="240" w:lineRule="auto"/>
        <w:jc w:val="both"/>
        <w:rPr>
          <w:lang w:eastAsia="es-ES"/>
        </w:rPr>
      </w:pPr>
      <w:r w:rsidRPr="00D16DD0">
        <w:rPr>
          <w:lang w:eastAsia="es-ES"/>
        </w:rPr>
        <w:t>UC3. Realizar el seguimiento y apoyo social a los usuarios de teleasistencia.</w:t>
      </w:r>
    </w:p>
    <w:p w14:paraId="131632A0" w14:textId="77777777" w:rsidR="00396ABF" w:rsidRPr="00D16DD0" w:rsidRDefault="00396ABF" w:rsidP="001914B3">
      <w:pPr>
        <w:numPr>
          <w:ilvl w:val="0"/>
          <w:numId w:val="8"/>
        </w:numPr>
        <w:shd w:val="clear" w:color="auto" w:fill="FFFFFF"/>
        <w:spacing w:before="100" w:beforeAutospacing="1" w:after="0" w:line="240" w:lineRule="auto"/>
        <w:jc w:val="both"/>
        <w:rPr>
          <w:lang w:eastAsia="es-ES"/>
        </w:rPr>
      </w:pPr>
      <w:r w:rsidRPr="00D16DD0">
        <w:rPr>
          <w:lang w:eastAsia="es-ES"/>
        </w:rPr>
        <w:t>UC4. Gestionar la documentación y los recursos del servicio de teleasistencia.</w:t>
      </w:r>
    </w:p>
    <w:p w14:paraId="55A0CFF5" w14:textId="749E408D" w:rsidR="00396ABF" w:rsidRPr="00D16DD0" w:rsidRDefault="00396ABF" w:rsidP="00396ABF">
      <w:pPr>
        <w:pStyle w:val="Ttulo2"/>
      </w:pPr>
      <w:r w:rsidRPr="00D16DD0">
        <w:rPr>
          <w:rFonts w:eastAsiaTheme="majorEastAsia"/>
        </w:rPr>
        <w:t>Utilización de la información extraída del certificado de profesionalidad</w:t>
      </w:r>
    </w:p>
    <w:p w14:paraId="1556CDD0" w14:textId="77777777" w:rsidR="00396ABF" w:rsidRPr="00D16DD0" w:rsidRDefault="00396ABF" w:rsidP="001914B3">
      <w:pPr>
        <w:shd w:val="clear" w:color="auto" w:fill="FFFFFF"/>
        <w:spacing w:before="100" w:beforeAutospacing="1" w:after="100" w:afterAutospacing="1" w:line="240" w:lineRule="auto"/>
        <w:jc w:val="both"/>
        <w:rPr>
          <w:lang w:eastAsia="es-ES"/>
        </w:rPr>
      </w:pPr>
      <w:r w:rsidRPr="00D16DD0">
        <w:rPr>
          <w:lang w:eastAsia="es-ES"/>
        </w:rPr>
        <w:t>La información extraída del certificado de profesionalidad se utilizará para:</w:t>
      </w:r>
    </w:p>
    <w:p w14:paraId="3E2255F1" w14:textId="77777777" w:rsidR="00396ABF" w:rsidRPr="00D16DD0" w:rsidRDefault="00396ABF" w:rsidP="001914B3">
      <w:pPr>
        <w:numPr>
          <w:ilvl w:val="0"/>
          <w:numId w:val="9"/>
        </w:numPr>
        <w:shd w:val="clear" w:color="auto" w:fill="FFFFFF"/>
        <w:spacing w:before="100" w:beforeAutospacing="1" w:after="0" w:line="240" w:lineRule="auto"/>
        <w:jc w:val="both"/>
        <w:rPr>
          <w:lang w:eastAsia="es-ES"/>
        </w:rPr>
      </w:pPr>
      <w:r w:rsidRPr="00D16DD0">
        <w:rPr>
          <w:lang w:eastAsia="es-ES"/>
        </w:rPr>
        <w:t>Definir los objetivos de la acción formativa.</w:t>
      </w:r>
    </w:p>
    <w:p w14:paraId="4647CCED" w14:textId="77777777" w:rsidR="00396ABF" w:rsidRPr="00D16DD0" w:rsidRDefault="00396ABF" w:rsidP="001914B3">
      <w:pPr>
        <w:numPr>
          <w:ilvl w:val="0"/>
          <w:numId w:val="9"/>
        </w:numPr>
        <w:shd w:val="clear" w:color="auto" w:fill="FFFFFF"/>
        <w:spacing w:before="100" w:beforeAutospacing="1" w:after="0" w:line="240" w:lineRule="auto"/>
        <w:jc w:val="both"/>
        <w:rPr>
          <w:lang w:eastAsia="es-ES"/>
        </w:rPr>
      </w:pPr>
      <w:r w:rsidRPr="00D16DD0">
        <w:rPr>
          <w:lang w:eastAsia="es-ES"/>
        </w:rPr>
        <w:t>Establecer los contenidos de la acción formativa.</w:t>
      </w:r>
    </w:p>
    <w:p w14:paraId="4B8D79C9" w14:textId="77777777" w:rsidR="00396ABF" w:rsidRPr="00D16DD0" w:rsidRDefault="00396ABF" w:rsidP="001914B3">
      <w:pPr>
        <w:numPr>
          <w:ilvl w:val="0"/>
          <w:numId w:val="9"/>
        </w:numPr>
        <w:shd w:val="clear" w:color="auto" w:fill="FFFFFF"/>
        <w:spacing w:before="100" w:beforeAutospacing="1" w:after="0" w:line="240" w:lineRule="auto"/>
        <w:jc w:val="both"/>
        <w:rPr>
          <w:lang w:eastAsia="es-ES"/>
        </w:rPr>
      </w:pPr>
      <w:r w:rsidRPr="00D16DD0">
        <w:rPr>
          <w:lang w:eastAsia="es-ES"/>
        </w:rPr>
        <w:t>Diseñar las actividades formativas.</w:t>
      </w:r>
    </w:p>
    <w:p w14:paraId="0D85FE1F" w14:textId="77777777" w:rsidR="00396ABF" w:rsidRPr="00D16DD0" w:rsidRDefault="00396ABF" w:rsidP="001914B3">
      <w:pPr>
        <w:numPr>
          <w:ilvl w:val="0"/>
          <w:numId w:val="9"/>
        </w:numPr>
        <w:shd w:val="clear" w:color="auto" w:fill="FFFFFF"/>
        <w:spacing w:before="100" w:beforeAutospacing="1" w:after="0" w:line="240" w:lineRule="auto"/>
        <w:jc w:val="both"/>
        <w:rPr>
          <w:lang w:eastAsia="es-ES"/>
        </w:rPr>
      </w:pPr>
      <w:r w:rsidRPr="00D16DD0">
        <w:rPr>
          <w:lang w:eastAsia="es-ES"/>
        </w:rPr>
        <w:t>Elaborar los criterios de evaluación.</w:t>
      </w:r>
    </w:p>
    <w:p w14:paraId="0A696A33" w14:textId="77777777" w:rsidR="00D16DD0" w:rsidRPr="00D16DD0" w:rsidRDefault="00D16DD0" w:rsidP="00D16DD0">
      <w:pPr>
        <w:pStyle w:val="Ttulo2"/>
      </w:pPr>
      <w:r w:rsidRPr="00D16DD0">
        <w:t>Conclusiones</w:t>
      </w:r>
    </w:p>
    <w:p w14:paraId="091BCD92" w14:textId="77777777" w:rsidR="00D16DD0" w:rsidRPr="00D16DD0" w:rsidRDefault="00D16DD0" w:rsidP="00D16DD0">
      <w:pPr>
        <w:jc w:val="both"/>
      </w:pPr>
      <w:r w:rsidRPr="00D16DD0">
        <w:t>La formación online ofrece una serie de ventajas que la convierten en una modalidad muy adecuada para impartir el certificado de profesionalidad de Gestión de llamadas de teleasistencia. Sin embargo, es importante tener en cuenta las características específicas de esta modalidad a la hora de programar la acción formativa. Es fundamental debatir las ideas con los compañeros/as para llegar a conclusiones enriquecedoras y elaborar una programación didáctica que sea efectiva y satisfactoria para los alumnos.</w:t>
      </w:r>
    </w:p>
    <w:p w14:paraId="0AA9FF82" w14:textId="77777777" w:rsidR="00D16DD0" w:rsidRPr="00D16DD0" w:rsidRDefault="00D16DD0" w:rsidP="00D16DD0"/>
    <w:p w14:paraId="08D910E2" w14:textId="77777777" w:rsidR="00D16DD0" w:rsidRPr="00D16DD0" w:rsidRDefault="00D16DD0" w:rsidP="00D16DD0">
      <w:pPr>
        <w:rPr>
          <w:lang w:eastAsia="es-ES"/>
        </w:rPr>
      </w:pPr>
    </w:p>
    <w:sectPr w:rsidR="00D16DD0" w:rsidRPr="00D16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41B63"/>
    <w:multiLevelType w:val="multilevel"/>
    <w:tmpl w:val="A66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A006C"/>
    <w:multiLevelType w:val="multilevel"/>
    <w:tmpl w:val="AD3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03CF6"/>
    <w:multiLevelType w:val="multilevel"/>
    <w:tmpl w:val="E6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329E7"/>
    <w:multiLevelType w:val="multilevel"/>
    <w:tmpl w:val="75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F48E9"/>
    <w:multiLevelType w:val="multilevel"/>
    <w:tmpl w:val="C82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A68FF"/>
    <w:multiLevelType w:val="multilevel"/>
    <w:tmpl w:val="A62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A4DE4"/>
    <w:multiLevelType w:val="multilevel"/>
    <w:tmpl w:val="CCB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7466C"/>
    <w:multiLevelType w:val="multilevel"/>
    <w:tmpl w:val="D1A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E7D72"/>
    <w:multiLevelType w:val="multilevel"/>
    <w:tmpl w:val="7E4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4707">
    <w:abstractNumId w:val="1"/>
  </w:num>
  <w:num w:numId="2" w16cid:durableId="2135906251">
    <w:abstractNumId w:val="2"/>
  </w:num>
  <w:num w:numId="3" w16cid:durableId="1083139137">
    <w:abstractNumId w:val="3"/>
  </w:num>
  <w:num w:numId="4" w16cid:durableId="415984015">
    <w:abstractNumId w:val="4"/>
  </w:num>
  <w:num w:numId="5" w16cid:durableId="181021307">
    <w:abstractNumId w:val="5"/>
  </w:num>
  <w:num w:numId="6" w16cid:durableId="1366523438">
    <w:abstractNumId w:val="6"/>
  </w:num>
  <w:num w:numId="7" w16cid:durableId="1132748765">
    <w:abstractNumId w:val="7"/>
  </w:num>
  <w:num w:numId="8" w16cid:durableId="1722827527">
    <w:abstractNumId w:val="8"/>
  </w:num>
  <w:num w:numId="9" w16cid:durableId="166844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6"/>
    <w:rsid w:val="00020C23"/>
    <w:rsid w:val="00157716"/>
    <w:rsid w:val="001914B3"/>
    <w:rsid w:val="00396ABF"/>
    <w:rsid w:val="00943C14"/>
    <w:rsid w:val="00C40366"/>
    <w:rsid w:val="00CC4DB6"/>
    <w:rsid w:val="00D16DD0"/>
    <w:rsid w:val="00D25B5E"/>
    <w:rsid w:val="00FE4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E5E"/>
  <w15:chartTrackingRefBased/>
  <w15:docId w15:val="{71B6E146-59CB-4942-997F-751E214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ABF"/>
  </w:style>
  <w:style w:type="paragraph" w:styleId="Ttulo1">
    <w:name w:val="heading 1"/>
    <w:basedOn w:val="Normal"/>
    <w:next w:val="Normal"/>
    <w:link w:val="Ttulo1Car"/>
    <w:uiPriority w:val="9"/>
    <w:qFormat/>
    <w:rsid w:val="00C4036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link w:val="Ttulo2Car"/>
    <w:uiPriority w:val="9"/>
    <w:qFormat/>
    <w:rsid w:val="00C40366"/>
    <w:pPr>
      <w:spacing w:before="100" w:beforeAutospacing="1" w:after="100" w:afterAutospacing="1" w:line="240" w:lineRule="auto"/>
      <w:outlineLvl w:val="1"/>
    </w:pPr>
    <w:rPr>
      <w:rFonts w:asciiTheme="majorHAnsi" w:eastAsia="Times New Roman" w:hAnsiTheme="majorHAnsi" w:cs="Times New Roman"/>
      <w:b/>
      <w:bCs/>
      <w:kern w:val="0"/>
      <w:sz w:val="28"/>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366"/>
    <w:rPr>
      <w:rFonts w:asciiTheme="majorHAnsi" w:eastAsia="Times New Roman" w:hAnsiTheme="majorHAnsi" w:cs="Times New Roman"/>
      <w:b/>
      <w:bCs/>
      <w:kern w:val="0"/>
      <w:sz w:val="28"/>
      <w:szCs w:val="36"/>
      <w:lang w:eastAsia="es-ES"/>
      <w14:ligatures w14:val="none"/>
    </w:rPr>
  </w:style>
  <w:style w:type="paragraph" w:styleId="NormalWeb">
    <w:name w:val="Normal (Web)"/>
    <w:basedOn w:val="Normal"/>
    <w:uiPriority w:val="99"/>
    <w:semiHidden/>
    <w:unhideWhenUsed/>
    <w:rsid w:val="00C403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40366"/>
    <w:rPr>
      <w:b/>
      <w:bCs/>
    </w:rPr>
  </w:style>
  <w:style w:type="character" w:customStyle="1" w:styleId="Ttulo1Car">
    <w:name w:val="Título 1 Car"/>
    <w:basedOn w:val="Fuentedeprrafopredeter"/>
    <w:link w:val="Ttulo1"/>
    <w:uiPriority w:val="9"/>
    <w:rsid w:val="00C40366"/>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3809">
      <w:bodyDiv w:val="1"/>
      <w:marLeft w:val="0"/>
      <w:marRight w:val="0"/>
      <w:marTop w:val="0"/>
      <w:marBottom w:val="0"/>
      <w:divBdr>
        <w:top w:val="none" w:sz="0" w:space="0" w:color="auto"/>
        <w:left w:val="none" w:sz="0" w:space="0" w:color="auto"/>
        <w:bottom w:val="none" w:sz="0" w:space="0" w:color="auto"/>
        <w:right w:val="none" w:sz="0" w:space="0" w:color="auto"/>
      </w:divBdr>
    </w:div>
    <w:div w:id="884635907">
      <w:bodyDiv w:val="1"/>
      <w:marLeft w:val="0"/>
      <w:marRight w:val="0"/>
      <w:marTop w:val="0"/>
      <w:marBottom w:val="0"/>
      <w:divBdr>
        <w:top w:val="none" w:sz="0" w:space="0" w:color="auto"/>
        <w:left w:val="none" w:sz="0" w:space="0" w:color="auto"/>
        <w:bottom w:val="none" w:sz="0" w:space="0" w:color="auto"/>
        <w:right w:val="none" w:sz="0" w:space="0" w:color="auto"/>
      </w:divBdr>
    </w:div>
    <w:div w:id="983973849">
      <w:bodyDiv w:val="1"/>
      <w:marLeft w:val="0"/>
      <w:marRight w:val="0"/>
      <w:marTop w:val="0"/>
      <w:marBottom w:val="0"/>
      <w:divBdr>
        <w:top w:val="none" w:sz="0" w:space="0" w:color="auto"/>
        <w:left w:val="none" w:sz="0" w:space="0" w:color="auto"/>
        <w:bottom w:val="none" w:sz="0" w:space="0" w:color="auto"/>
        <w:right w:val="none" w:sz="0" w:space="0" w:color="auto"/>
      </w:divBdr>
    </w:div>
    <w:div w:id="1507401197">
      <w:bodyDiv w:val="1"/>
      <w:marLeft w:val="0"/>
      <w:marRight w:val="0"/>
      <w:marTop w:val="0"/>
      <w:marBottom w:val="0"/>
      <w:divBdr>
        <w:top w:val="none" w:sz="0" w:space="0" w:color="auto"/>
        <w:left w:val="none" w:sz="0" w:space="0" w:color="auto"/>
        <w:bottom w:val="none" w:sz="0" w:space="0" w:color="auto"/>
        <w:right w:val="none" w:sz="0" w:space="0" w:color="auto"/>
      </w:divBdr>
    </w:div>
    <w:div w:id="1564638187">
      <w:bodyDiv w:val="1"/>
      <w:marLeft w:val="0"/>
      <w:marRight w:val="0"/>
      <w:marTop w:val="0"/>
      <w:marBottom w:val="0"/>
      <w:divBdr>
        <w:top w:val="none" w:sz="0" w:space="0" w:color="auto"/>
        <w:left w:val="none" w:sz="0" w:space="0" w:color="auto"/>
        <w:bottom w:val="none" w:sz="0" w:space="0" w:color="auto"/>
        <w:right w:val="none" w:sz="0" w:space="0" w:color="auto"/>
      </w:divBdr>
    </w:div>
    <w:div w:id="18552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568</Words>
  <Characters>3128</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7</cp:revision>
  <dcterms:created xsi:type="dcterms:W3CDTF">2024-04-02T14:01:00Z</dcterms:created>
  <dcterms:modified xsi:type="dcterms:W3CDTF">2024-04-02T18:55:00Z</dcterms:modified>
</cp:coreProperties>
</file>