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5C2CA532" w:rsidR="004F2A8B" w:rsidRDefault="004C0610" w:rsidP="3D28A338">
            <w:pPr>
              <w:jc w:val="both"/>
              <w:rPr>
                <w:rFonts w:ascii="Calibri" w:hAnsi="Calibri"/>
                <w:b/>
                <w:bCs/>
                <w:color w:val="1F4E79" w:themeColor="accent1" w:themeShade="80"/>
              </w:rPr>
            </w:pPr>
            <w:r w:rsidRPr="004C0610">
              <w:rPr>
                <w:rFonts w:ascii="Calibri" w:hAnsi="Calibri"/>
                <w:b/>
                <w:bCs/>
                <w:color w:val="1F4E79" w:themeColor="accent1" w:themeShade="80"/>
              </w:rPr>
              <w:t xml:space="preserve">Hemos logrado cumplir </w:t>
            </w:r>
            <w:r w:rsidR="003C18E0">
              <w:rPr>
                <w:rFonts w:ascii="Calibri" w:hAnsi="Calibri"/>
                <w:b/>
                <w:bCs/>
                <w:color w:val="1F4E79" w:themeColor="accent1" w:themeShade="80"/>
              </w:rPr>
              <w:t>todas</w:t>
            </w:r>
            <w:r w:rsidRPr="004C0610">
              <w:rPr>
                <w:rFonts w:ascii="Calibri" w:hAnsi="Calibri"/>
                <w:b/>
                <w:bCs/>
                <w:color w:val="1F4E79" w:themeColor="accent1" w:themeShade="80"/>
              </w:rPr>
              <w:t xml:space="preserve"> las actividades dentro de los plazos definidos en la carta Gantt, pero algunos factores han influido en el desarrollo del proyecto, tanto facilitando como complicando el avance. Por un lado, el uso de </w:t>
            </w:r>
            <w:proofErr w:type="spellStart"/>
            <w:r w:rsidRPr="004C0610">
              <w:rPr>
                <w:rFonts w:ascii="Calibri" w:hAnsi="Calibri"/>
                <w:b/>
                <w:bCs/>
                <w:color w:val="1F4E79" w:themeColor="accent1" w:themeShade="80"/>
              </w:rPr>
              <w:t>React</w:t>
            </w:r>
            <w:proofErr w:type="spellEnd"/>
            <w:r w:rsidRPr="004C0610">
              <w:rPr>
                <w:rFonts w:ascii="Calibri" w:hAnsi="Calibri"/>
                <w:b/>
                <w:bCs/>
                <w:color w:val="1F4E79" w:themeColor="accent1" w:themeShade="80"/>
              </w:rPr>
              <w:t xml:space="preserve"> y Django ha facilitado la integración del </w:t>
            </w:r>
            <w:proofErr w:type="spellStart"/>
            <w:r w:rsidRPr="004C0610">
              <w:rPr>
                <w:rFonts w:ascii="Calibri" w:hAnsi="Calibri"/>
                <w:b/>
                <w:bCs/>
                <w:color w:val="1F4E79" w:themeColor="accent1" w:themeShade="80"/>
              </w:rPr>
              <w:t>frontend</w:t>
            </w:r>
            <w:proofErr w:type="spellEnd"/>
            <w:r w:rsidRPr="004C0610">
              <w:rPr>
                <w:rFonts w:ascii="Calibri" w:hAnsi="Calibri"/>
                <w:b/>
                <w:bCs/>
                <w:color w:val="1F4E79" w:themeColor="accent1" w:themeShade="80"/>
              </w:rPr>
              <w:t xml:space="preserve"> y </w:t>
            </w:r>
            <w:proofErr w:type="spellStart"/>
            <w:r w:rsidRPr="004C0610">
              <w:rPr>
                <w:rFonts w:ascii="Calibri" w:hAnsi="Calibri"/>
                <w:b/>
                <w:bCs/>
                <w:color w:val="1F4E79" w:themeColor="accent1" w:themeShade="80"/>
              </w:rPr>
              <w:t>backend</w:t>
            </w:r>
            <w:proofErr w:type="spellEnd"/>
            <w:r w:rsidRPr="004C0610">
              <w:rPr>
                <w:rFonts w:ascii="Calibri" w:hAnsi="Calibri"/>
                <w:b/>
                <w:bCs/>
                <w:color w:val="1F4E79" w:themeColor="accent1" w:themeShade="80"/>
              </w:rPr>
              <w:t xml:space="preserve">. Sin embargo, la implementación de la API de Google </w:t>
            </w:r>
            <w:proofErr w:type="spellStart"/>
            <w:r w:rsidRPr="004C0610">
              <w:rPr>
                <w:rFonts w:ascii="Calibri" w:hAnsi="Calibri"/>
                <w:b/>
                <w:bCs/>
                <w:color w:val="1F4E79" w:themeColor="accent1" w:themeShade="80"/>
              </w:rPr>
              <w:t>Maps</w:t>
            </w:r>
            <w:proofErr w:type="spellEnd"/>
            <w:r w:rsidRPr="004C0610">
              <w:rPr>
                <w:rFonts w:ascii="Calibri" w:hAnsi="Calibri"/>
                <w:b/>
                <w:bCs/>
                <w:color w:val="1F4E79" w:themeColor="accent1" w:themeShade="80"/>
              </w:rPr>
              <w:t xml:space="preserve"> para las rutas ha sido más compleja de lo esperado, causando algunos retrasos.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4E9662CA" w:rsidR="004F2A8B" w:rsidRDefault="004C0610" w:rsidP="3D28A338">
            <w:pPr>
              <w:jc w:val="both"/>
              <w:rPr>
                <w:rFonts w:ascii="Calibri" w:hAnsi="Calibri"/>
                <w:b/>
                <w:bCs/>
                <w:color w:val="1F4E79" w:themeColor="accent1" w:themeShade="80"/>
              </w:rPr>
            </w:pPr>
            <w:r w:rsidRPr="004C0610">
              <w:rPr>
                <w:rFonts w:ascii="Calibri" w:hAnsi="Calibri"/>
                <w:b/>
                <w:bCs/>
                <w:color w:val="1F4E79" w:themeColor="accent1" w:themeShade="80"/>
              </w:rPr>
              <w:t xml:space="preserve">Para enfrentar las dificultades con la API de Google </w:t>
            </w:r>
            <w:proofErr w:type="spellStart"/>
            <w:r w:rsidRPr="004C0610">
              <w:rPr>
                <w:rFonts w:ascii="Calibri" w:hAnsi="Calibri"/>
                <w:b/>
                <w:bCs/>
                <w:color w:val="1F4E79" w:themeColor="accent1" w:themeShade="80"/>
              </w:rPr>
              <w:t>Maps</w:t>
            </w:r>
            <w:proofErr w:type="spellEnd"/>
            <w:r w:rsidRPr="004C0610">
              <w:rPr>
                <w:rFonts w:ascii="Calibri" w:hAnsi="Calibri"/>
                <w:b/>
                <w:bCs/>
                <w:color w:val="1F4E79" w:themeColor="accent1" w:themeShade="80"/>
              </w:rPr>
              <w:t>, hemos decidido simplificar la lógica de rutas para los primeros entregables y, progresivamente, incorporar las funciones más complejas. También estamos gestionando mejor el control de errores en la asignación de colaboradores y rutas, asegurando la trazabilidad en el sistema de gestión de viajes.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C1660D0" w:rsidR="004F2A8B" w:rsidRDefault="004C0610" w:rsidP="3D28A338">
            <w:pPr>
              <w:jc w:val="both"/>
              <w:rPr>
                <w:rFonts w:ascii="Calibri" w:hAnsi="Calibri"/>
                <w:b/>
                <w:bCs/>
                <w:color w:val="1F4E79" w:themeColor="accent1" w:themeShade="80"/>
              </w:rPr>
            </w:pPr>
            <w:proofErr w:type="spellStart"/>
            <w:r w:rsidRPr="004C0610">
              <w:rPr>
                <w:rFonts w:ascii="Calibri" w:hAnsi="Calibri"/>
                <w:b/>
                <w:bCs/>
                <w:color w:val="1F4E79" w:themeColor="accent1" w:themeShade="80"/>
              </w:rPr>
              <w:t>Evalu</w:t>
            </w:r>
            <w:r>
              <w:rPr>
                <w:rFonts w:ascii="Calibri" w:hAnsi="Calibri"/>
                <w:b/>
                <w:bCs/>
                <w:color w:val="1F4E79" w:themeColor="accent1" w:themeShade="80"/>
              </w:rPr>
              <w:t>o</w:t>
            </w:r>
            <w:proofErr w:type="spellEnd"/>
            <w:r>
              <w:rPr>
                <w:rFonts w:ascii="Calibri" w:hAnsi="Calibri"/>
                <w:b/>
                <w:bCs/>
                <w:color w:val="1F4E79" w:themeColor="accent1" w:themeShade="80"/>
              </w:rPr>
              <w:t xml:space="preserve"> </w:t>
            </w:r>
            <w:r w:rsidRPr="004C0610">
              <w:rPr>
                <w:rFonts w:ascii="Calibri" w:hAnsi="Calibri"/>
                <w:b/>
                <w:bCs/>
                <w:color w:val="1F4E79" w:themeColor="accent1" w:themeShade="80"/>
              </w:rPr>
              <w:t>el trabajo de forma positiva en general. H</w:t>
            </w:r>
            <w:r>
              <w:rPr>
                <w:rFonts w:ascii="Calibri" w:hAnsi="Calibri"/>
                <w:b/>
                <w:bCs/>
                <w:color w:val="1F4E79" w:themeColor="accent1" w:themeShade="80"/>
              </w:rPr>
              <w:t>e</w:t>
            </w:r>
            <w:r w:rsidRPr="004C0610">
              <w:rPr>
                <w:rFonts w:ascii="Calibri" w:hAnsi="Calibri"/>
                <w:b/>
                <w:bCs/>
                <w:color w:val="1F4E79" w:themeColor="accent1" w:themeShade="80"/>
              </w:rPr>
              <w:t xml:space="preserve"> avanzado significativamente en la estructura de las tablas y la gestión de usuarios. Lo que destacarí</w:t>
            </w:r>
            <w:r>
              <w:rPr>
                <w:rFonts w:ascii="Calibri" w:hAnsi="Calibri"/>
                <w:b/>
                <w:bCs/>
                <w:color w:val="1F4E79" w:themeColor="accent1" w:themeShade="80"/>
              </w:rPr>
              <w:t>a</w:t>
            </w:r>
            <w:r w:rsidRPr="004C0610">
              <w:rPr>
                <w:rFonts w:ascii="Calibri" w:hAnsi="Calibri"/>
                <w:b/>
                <w:bCs/>
                <w:color w:val="1F4E79" w:themeColor="accent1" w:themeShade="80"/>
              </w:rPr>
              <w:t xml:space="preserve"> es la creación de un código único para los viajes y el desarrollo del log para registrar las acciones importantes. Como área de mejora, podría optimizar aún más las consultas a la base de datos y mejorar la experiencia de usuario en la interfaz.</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488B4FE" w:rsidR="004F2A8B" w:rsidRDefault="004C0610" w:rsidP="3D28A338">
            <w:pPr>
              <w:jc w:val="both"/>
              <w:rPr>
                <w:rFonts w:ascii="Calibri" w:hAnsi="Calibri"/>
                <w:b/>
                <w:bCs/>
                <w:color w:val="1F4E79" w:themeColor="accent1" w:themeShade="80"/>
              </w:rPr>
            </w:pPr>
            <w:r w:rsidRPr="004C0610">
              <w:rPr>
                <w:rFonts w:ascii="Calibri" w:hAnsi="Calibri"/>
                <w:b/>
                <w:bCs/>
                <w:color w:val="1F4E79" w:themeColor="accent1" w:themeShade="80"/>
              </w:rPr>
              <w:t>Una de las principales inquietudes que nos quedan es cómo manejar de manera eficiente la asignación dinámica de conductores y colaboradores en viajes largos. Nos gustaría recibir retroalimentación sobre cómo optimizar esta parte sin que se vuelva muy compleja para los usuarios finales.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08E93CB" w:rsidR="004F2A8B" w:rsidRPr="004C0610" w:rsidRDefault="004C0610" w:rsidP="3D28A338">
            <w:pPr>
              <w:jc w:val="both"/>
              <w:rPr>
                <w:rFonts w:ascii="Calibri" w:hAnsi="Calibri"/>
                <w:b/>
                <w:bCs/>
                <w:color w:val="1F4E79" w:themeColor="accent1" w:themeShade="80"/>
              </w:rPr>
            </w:pPr>
            <w:r w:rsidRPr="004C0610">
              <w:rPr>
                <w:rFonts w:ascii="Calibri" w:hAnsi="Calibri"/>
                <w:b/>
                <w:bCs/>
                <w:color w:val="1F4E79" w:themeColor="accent1" w:themeShade="80"/>
              </w:rPr>
              <w:t>Hasta ahora, no es necesario redistribuir actividades. Todos los miembros del equipo están alineados con sus responsabilidades y hemos podido mantener el ritmo de trabajo. Sin embargo, si surgen nuevas funcionalidades, como la implementación de notificaciones, podríamos reasignar algunas tareas.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3F52D16" w:rsidR="004F2A8B" w:rsidRPr="004C0610" w:rsidRDefault="004C0610" w:rsidP="3D28A338">
            <w:pPr>
              <w:jc w:val="both"/>
              <w:rPr>
                <w:rFonts w:ascii="Calibri" w:hAnsi="Calibri"/>
                <w:b/>
                <w:bCs/>
                <w:color w:val="1F4E79" w:themeColor="accent1" w:themeShade="80"/>
              </w:rPr>
            </w:pPr>
            <w:r w:rsidRPr="004C0610">
              <w:rPr>
                <w:rFonts w:ascii="Calibri" w:hAnsi="Calibri"/>
                <w:b/>
                <w:bCs/>
                <w:color w:val="1F4E79" w:themeColor="accent1" w:themeShade="80"/>
              </w:rPr>
              <w:t>El trabajo en grupo ha sido eficiente, destacamos la comunicación constante y el apoyo mutuo en la resolución de problemas técnicos. Como área de mejora, podríamos organizar mejor las reuniones para revisar avances específicos en lugar de tratar múltiples temas en cada sesión.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70132" w14:textId="77777777" w:rsidR="00C749D8" w:rsidRDefault="00C749D8" w:rsidP="00DF38AE">
      <w:pPr>
        <w:spacing w:after="0" w:line="240" w:lineRule="auto"/>
      </w:pPr>
      <w:r>
        <w:separator/>
      </w:r>
    </w:p>
  </w:endnote>
  <w:endnote w:type="continuationSeparator" w:id="0">
    <w:p w14:paraId="18297496" w14:textId="77777777" w:rsidR="00C749D8" w:rsidRDefault="00C749D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0E91A" w14:textId="77777777" w:rsidR="00C749D8" w:rsidRDefault="00C749D8" w:rsidP="00DF38AE">
      <w:pPr>
        <w:spacing w:after="0" w:line="240" w:lineRule="auto"/>
      </w:pPr>
      <w:r>
        <w:separator/>
      </w:r>
    </w:p>
  </w:footnote>
  <w:footnote w:type="continuationSeparator" w:id="0">
    <w:p w14:paraId="7156A419" w14:textId="77777777" w:rsidR="00C749D8" w:rsidRDefault="00C749D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3813254">
    <w:abstractNumId w:val="3"/>
  </w:num>
  <w:num w:numId="2" w16cid:durableId="554656161">
    <w:abstractNumId w:val="8"/>
  </w:num>
  <w:num w:numId="3" w16cid:durableId="1775901832">
    <w:abstractNumId w:val="12"/>
  </w:num>
  <w:num w:numId="4" w16cid:durableId="1790006933">
    <w:abstractNumId w:val="28"/>
  </w:num>
  <w:num w:numId="5" w16cid:durableId="790394770">
    <w:abstractNumId w:val="30"/>
  </w:num>
  <w:num w:numId="6" w16cid:durableId="391394176">
    <w:abstractNumId w:val="4"/>
  </w:num>
  <w:num w:numId="7" w16cid:durableId="1131745183">
    <w:abstractNumId w:val="11"/>
  </w:num>
  <w:num w:numId="8" w16cid:durableId="2046633289">
    <w:abstractNumId w:val="19"/>
  </w:num>
  <w:num w:numId="9" w16cid:durableId="1737439034">
    <w:abstractNumId w:val="15"/>
  </w:num>
  <w:num w:numId="10" w16cid:durableId="1241016037">
    <w:abstractNumId w:val="9"/>
  </w:num>
  <w:num w:numId="11" w16cid:durableId="371079479">
    <w:abstractNumId w:val="24"/>
  </w:num>
  <w:num w:numId="12" w16cid:durableId="610547657">
    <w:abstractNumId w:val="35"/>
  </w:num>
  <w:num w:numId="13" w16cid:durableId="848524078">
    <w:abstractNumId w:val="29"/>
  </w:num>
  <w:num w:numId="14" w16cid:durableId="1600212126">
    <w:abstractNumId w:val="1"/>
  </w:num>
  <w:num w:numId="15" w16cid:durableId="1759600434">
    <w:abstractNumId w:val="36"/>
  </w:num>
  <w:num w:numId="16" w16cid:durableId="1078752047">
    <w:abstractNumId w:val="21"/>
  </w:num>
  <w:num w:numId="17" w16cid:durableId="1833327393">
    <w:abstractNumId w:val="17"/>
  </w:num>
  <w:num w:numId="18" w16cid:durableId="2059548600">
    <w:abstractNumId w:val="31"/>
  </w:num>
  <w:num w:numId="19" w16cid:durableId="409815183">
    <w:abstractNumId w:val="10"/>
  </w:num>
  <w:num w:numId="20" w16cid:durableId="514464517">
    <w:abstractNumId w:val="39"/>
  </w:num>
  <w:num w:numId="21" w16cid:durableId="1153334745">
    <w:abstractNumId w:val="34"/>
  </w:num>
  <w:num w:numId="22" w16cid:durableId="175386436">
    <w:abstractNumId w:val="13"/>
  </w:num>
  <w:num w:numId="23" w16cid:durableId="2057656072">
    <w:abstractNumId w:val="14"/>
  </w:num>
  <w:num w:numId="24" w16cid:durableId="186528070">
    <w:abstractNumId w:val="5"/>
  </w:num>
  <w:num w:numId="25" w16cid:durableId="1804499614">
    <w:abstractNumId w:val="16"/>
  </w:num>
  <w:num w:numId="26" w16cid:durableId="1816028430">
    <w:abstractNumId w:val="20"/>
  </w:num>
  <w:num w:numId="27" w16cid:durableId="752094889">
    <w:abstractNumId w:val="23"/>
  </w:num>
  <w:num w:numId="28" w16cid:durableId="1109082070">
    <w:abstractNumId w:val="0"/>
  </w:num>
  <w:num w:numId="29" w16cid:durableId="375857676">
    <w:abstractNumId w:val="18"/>
  </w:num>
  <w:num w:numId="30" w16cid:durableId="1428650482">
    <w:abstractNumId w:val="22"/>
  </w:num>
  <w:num w:numId="31" w16cid:durableId="836269410">
    <w:abstractNumId w:val="2"/>
  </w:num>
  <w:num w:numId="32" w16cid:durableId="1421096243">
    <w:abstractNumId w:val="7"/>
  </w:num>
  <w:num w:numId="33" w16cid:durableId="924144553">
    <w:abstractNumId w:val="32"/>
  </w:num>
  <w:num w:numId="34" w16cid:durableId="2049059609">
    <w:abstractNumId w:val="38"/>
  </w:num>
  <w:num w:numId="35" w16cid:durableId="1136336318">
    <w:abstractNumId w:val="6"/>
  </w:num>
  <w:num w:numId="36" w16cid:durableId="676155187">
    <w:abstractNumId w:val="25"/>
  </w:num>
  <w:num w:numId="37" w16cid:durableId="1029528969">
    <w:abstractNumId w:val="37"/>
  </w:num>
  <w:num w:numId="38" w16cid:durableId="449401811">
    <w:abstractNumId w:val="27"/>
  </w:num>
  <w:num w:numId="39" w16cid:durableId="137460881">
    <w:abstractNumId w:val="26"/>
  </w:num>
  <w:num w:numId="40" w16cid:durableId="35327141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A759E"/>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5218"/>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8E0"/>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0610"/>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0F3"/>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49D8"/>
    <w:rsid w:val="00C75A28"/>
    <w:rsid w:val="00C763A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A0"/>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Pages>
  <Words>551</Words>
  <Characters>3035</Characters>
  <Application>Microsoft Office Word</Application>
  <DocSecurity>0</DocSecurity>
  <Lines>25</Lines>
  <Paragraphs>7</Paragraphs>
  <ScaleCrop>false</ScaleCrop>
  <Company>Wal-Mart Stores, Inc.</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Soto Riquelme</cp:lastModifiedBy>
  <cp:revision>45</cp:revision>
  <cp:lastPrinted>2019-12-16T20:10:00Z</cp:lastPrinted>
  <dcterms:created xsi:type="dcterms:W3CDTF">2021-12-31T12:50:00Z</dcterms:created>
  <dcterms:modified xsi:type="dcterms:W3CDTF">2024-11-22T23:12:00Z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