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350"/>
      </w:tblGrid>
      <w:tr w:rsidR="00A5485C" w:rsidRPr="004619E4" w14:paraId="40A5282E" w14:textId="77777777" w:rsidTr="004D7DDD">
        <w:tc>
          <w:tcPr>
            <w:tcW w:w="9350" w:type="dxa"/>
            <w:tcBorders>
              <w:top w:val="nil"/>
              <w:left w:val="nil"/>
              <w:bottom w:val="nil"/>
              <w:right w:val="nil"/>
            </w:tcBorders>
            <w:tcMar>
              <w:left w:w="0" w:type="dxa"/>
              <w:right w:w="0" w:type="dxa"/>
            </w:tcMar>
          </w:tcPr>
          <w:p w14:paraId="37570912" w14:textId="77777777" w:rsidR="00A5485C" w:rsidRPr="00A765E0" w:rsidRDefault="00A5485C" w:rsidP="004D7DDD">
            <w:pPr>
              <w:pStyle w:val="Heading14ptGREY"/>
              <w:rPr>
                <w:color w:val="FF0000"/>
                <w:sz w:val="32"/>
                <w:szCs w:val="36"/>
              </w:rPr>
            </w:pPr>
            <w:r w:rsidRPr="00A765E0">
              <w:rPr>
                <w:color w:val="FF0000"/>
                <w:sz w:val="32"/>
                <w:szCs w:val="36"/>
              </w:rPr>
              <w:t>Finance &amp; Accounting: Business Rules &amp; Requirement Specifications</w:t>
            </w:r>
          </w:p>
          <w:p w14:paraId="2103D55B" w14:textId="77777777" w:rsidR="00A5485C" w:rsidRPr="004619E4" w:rsidRDefault="00A5485C" w:rsidP="004D7DDD">
            <w:pPr>
              <w:pStyle w:val="Heading14ptGREY"/>
              <w:rPr>
                <w:rFonts w:asciiTheme="minorHAnsi" w:hAnsiTheme="minorHAnsi" w:cstheme="minorHAnsi"/>
                <w:b w:val="0"/>
                <w:bCs w:val="0"/>
                <w:color w:val="auto"/>
                <w:sz w:val="22"/>
                <w:szCs w:val="20"/>
              </w:rPr>
            </w:pPr>
            <w:r>
              <w:rPr>
                <w:rFonts w:asciiTheme="minorHAnsi" w:hAnsiTheme="minorHAnsi" w:cstheme="minorHAnsi"/>
                <w:b w:val="0"/>
                <w:bCs w:val="0"/>
                <w:color w:val="auto"/>
                <w:sz w:val="22"/>
                <w:szCs w:val="20"/>
              </w:rPr>
              <w:t>April 14</w:t>
            </w:r>
            <w:r w:rsidRPr="004619E4">
              <w:rPr>
                <w:rFonts w:asciiTheme="minorHAnsi" w:hAnsiTheme="minorHAnsi" w:cstheme="minorHAnsi"/>
                <w:b w:val="0"/>
                <w:bCs w:val="0"/>
                <w:color w:val="auto"/>
                <w:sz w:val="22"/>
                <w:szCs w:val="20"/>
              </w:rPr>
              <w:t>, 2026</w:t>
            </w:r>
          </w:p>
          <w:p w14:paraId="2B1CB80F" w14:textId="77777777" w:rsidR="00A5485C" w:rsidRPr="006B5EAB" w:rsidRDefault="00A5485C" w:rsidP="004D7DDD">
            <w:pPr>
              <w:spacing w:after="120" w:line="276" w:lineRule="auto"/>
              <w:rPr>
                <w:rFonts w:ascii="Arial" w:eastAsia="Arial" w:hAnsi="Arial" w:cs="Arial"/>
              </w:rPr>
            </w:pPr>
            <w:r w:rsidRPr="006B5EAB">
              <w:rPr>
                <w:rFonts w:ascii="Arial" w:eastAsia="Arial" w:hAnsi="Arial" w:cs="Arial"/>
                <w:b/>
                <w:bCs/>
                <w:u w:val="single"/>
              </w:rPr>
              <w:t>Objective:</w:t>
            </w:r>
            <w:r w:rsidRPr="006B5EAB">
              <w:rPr>
                <w:rFonts w:ascii="Arial" w:eastAsia="Arial" w:hAnsi="Arial" w:cs="Arial"/>
              </w:rPr>
              <w:t xml:space="preserve"> </w:t>
            </w:r>
            <w:r w:rsidRPr="006B5EAB">
              <w:t>Establish financial oversight of the new loyalty model by defining liability treatment, ensuring accurate accounting and auditability, and enabling ongoing performance reporting</w:t>
            </w:r>
          </w:p>
          <w:p w14:paraId="07CDF38A" w14:textId="77777777" w:rsidR="00A5485C" w:rsidRPr="00F13698" w:rsidRDefault="00A5485C" w:rsidP="004D7DDD">
            <w:pPr>
              <w:spacing w:after="120" w:line="276" w:lineRule="auto"/>
              <w:rPr>
                <w:rFonts w:ascii="Arial" w:eastAsia="Arial" w:hAnsi="Arial" w:cs="Arial"/>
              </w:rPr>
            </w:pPr>
            <w:r w:rsidRPr="00F13698">
              <w:rPr>
                <w:rFonts w:ascii="Arial" w:eastAsia="Arial" w:hAnsi="Arial" w:cs="Arial"/>
                <w:b/>
                <w:bCs/>
                <w:u w:val="single"/>
              </w:rPr>
              <w:t>Business context:</w:t>
            </w:r>
            <w:r w:rsidRPr="00F13698">
              <w:rPr>
                <w:rFonts w:ascii="Arial" w:eastAsia="Arial" w:hAnsi="Arial" w:cs="Arial"/>
              </w:rPr>
              <w:t xml:space="preserve">  Floor &amp; Decor is redesigning its PRO loyalty program to better engage high-value PRO customers and drive incremental spend. A critical enabler of this effort is defining mechanisms to forecast and track performance</w:t>
            </w:r>
            <w:r>
              <w:rPr>
                <w:rFonts w:ascii="Arial" w:eastAsia="Arial" w:hAnsi="Arial" w:cs="Arial"/>
              </w:rPr>
              <w:t xml:space="preserve"> against expectations and budget</w:t>
            </w:r>
            <w:r w:rsidRPr="00F13698">
              <w:rPr>
                <w:rFonts w:ascii="Arial" w:eastAsia="Arial" w:hAnsi="Arial" w:cs="Arial"/>
              </w:rPr>
              <w:t xml:space="preserve"> </w:t>
            </w:r>
            <w:r>
              <w:rPr>
                <w:rFonts w:ascii="Arial" w:eastAsia="Arial" w:hAnsi="Arial" w:cs="Arial"/>
              </w:rPr>
              <w:t xml:space="preserve">with KPIs </w:t>
            </w:r>
            <w:r w:rsidRPr="00F13698">
              <w:rPr>
                <w:rFonts w:ascii="Arial" w:eastAsia="Arial" w:hAnsi="Arial" w:cs="Arial"/>
              </w:rPr>
              <w:t xml:space="preserve">while reliably </w:t>
            </w:r>
            <w:r>
              <w:rPr>
                <w:rFonts w:ascii="Arial" w:eastAsia="Arial" w:hAnsi="Arial" w:cs="Arial"/>
              </w:rPr>
              <w:t xml:space="preserve">properly </w:t>
            </w:r>
            <w:r w:rsidRPr="00F13698">
              <w:rPr>
                <w:rFonts w:ascii="Arial" w:eastAsia="Arial" w:hAnsi="Arial" w:cs="Arial"/>
              </w:rPr>
              <w:t xml:space="preserve">accounting for </w:t>
            </w:r>
            <w:r>
              <w:rPr>
                <w:rFonts w:ascii="Arial" w:eastAsia="Arial" w:hAnsi="Arial" w:cs="Arial"/>
              </w:rPr>
              <w:t xml:space="preserve">PRO spend and </w:t>
            </w:r>
            <w:r w:rsidRPr="00F13698">
              <w:rPr>
                <w:rFonts w:ascii="Arial" w:eastAsia="Arial" w:hAnsi="Arial" w:cs="Arial"/>
              </w:rPr>
              <w:t>liabilities accrued under the new program.</w:t>
            </w:r>
          </w:p>
          <w:p w14:paraId="0304B1AE" w14:textId="77777777" w:rsidR="00A5485C" w:rsidRPr="00185278" w:rsidRDefault="00A5485C" w:rsidP="004D7DDD">
            <w:pPr>
              <w:spacing w:after="120" w:line="276" w:lineRule="auto"/>
              <w:rPr>
                <w:rFonts w:ascii="Arial" w:eastAsia="Arial" w:hAnsi="Arial" w:cs="Arial"/>
              </w:rPr>
            </w:pPr>
            <w:r w:rsidRPr="00185278">
              <w:rPr>
                <w:rFonts w:ascii="Arial" w:eastAsia="Arial" w:hAnsi="Arial" w:cs="Arial"/>
              </w:rPr>
              <w:t>We are establishing a clear and scalable finance and accounting framework that:</w:t>
            </w:r>
          </w:p>
          <w:p w14:paraId="66210AB1" w14:textId="77777777" w:rsidR="00A5485C" w:rsidRPr="00E357F5" w:rsidRDefault="00A5485C" w:rsidP="00A5485C">
            <w:pPr>
              <w:numPr>
                <w:ilvl w:val="0"/>
                <w:numId w:val="37"/>
              </w:numPr>
              <w:spacing w:after="120" w:line="276" w:lineRule="auto"/>
              <w:rPr>
                <w:rFonts w:ascii="Arial" w:eastAsia="Arial" w:hAnsi="Arial" w:cs="Arial"/>
              </w:rPr>
            </w:pPr>
            <w:r w:rsidRPr="00E357F5">
              <w:rPr>
                <w:rFonts w:ascii="Arial" w:eastAsia="Arial" w:hAnsi="Arial" w:cs="Arial"/>
              </w:rPr>
              <w:t>Enables loyalty-related liabilities, accruals, payouts, and adjustments to be recorded accurately and consistently across source systems and Oracle</w:t>
            </w:r>
          </w:p>
          <w:p w14:paraId="1CA42822" w14:textId="77777777" w:rsidR="00A5485C" w:rsidRPr="00E357F5" w:rsidRDefault="00A5485C" w:rsidP="00A5485C">
            <w:pPr>
              <w:numPr>
                <w:ilvl w:val="0"/>
                <w:numId w:val="37"/>
              </w:numPr>
              <w:spacing w:after="120" w:line="276" w:lineRule="auto"/>
              <w:rPr>
                <w:rFonts w:ascii="Arial" w:eastAsia="Arial" w:hAnsi="Arial" w:cs="Arial"/>
              </w:rPr>
            </w:pPr>
            <w:r w:rsidRPr="00E357F5">
              <w:rPr>
                <w:rFonts w:ascii="Arial" w:eastAsia="Arial" w:hAnsi="Arial" w:cs="Arial"/>
              </w:rPr>
              <w:t>Supports forecasting and budgeting for program costs, redemption behavior, breakage, and other financial impacts associated with the new loyalty design</w:t>
            </w:r>
          </w:p>
          <w:p w14:paraId="60A4662F" w14:textId="77777777" w:rsidR="00A5485C" w:rsidRPr="00E357F5" w:rsidRDefault="00A5485C" w:rsidP="00A5485C">
            <w:pPr>
              <w:numPr>
                <w:ilvl w:val="0"/>
                <w:numId w:val="37"/>
              </w:numPr>
              <w:spacing w:after="120" w:line="276" w:lineRule="auto"/>
              <w:rPr>
                <w:rFonts w:ascii="Arial" w:eastAsia="Arial" w:hAnsi="Arial" w:cs="Arial"/>
              </w:rPr>
            </w:pPr>
            <w:r w:rsidRPr="00E357F5">
              <w:rPr>
                <w:rFonts w:ascii="Arial" w:eastAsia="Arial" w:hAnsi="Arial" w:cs="Arial"/>
              </w:rPr>
              <w:t>Provides clear rules and controls for period-end close, reconciliations, audit support, and management of accounting exceptions tied to loyalty activity</w:t>
            </w:r>
          </w:p>
          <w:p w14:paraId="1DF0FE01" w14:textId="77777777" w:rsidR="00A5485C" w:rsidRPr="00E357F5" w:rsidRDefault="00A5485C" w:rsidP="00A5485C">
            <w:pPr>
              <w:numPr>
                <w:ilvl w:val="0"/>
                <w:numId w:val="37"/>
              </w:numPr>
              <w:spacing w:after="120" w:line="276" w:lineRule="auto"/>
              <w:rPr>
                <w:rFonts w:ascii="Arial" w:eastAsia="Arial" w:hAnsi="Arial" w:cs="Arial"/>
              </w:rPr>
            </w:pPr>
            <w:r w:rsidRPr="00E357F5">
              <w:rPr>
                <w:rFonts w:ascii="Arial" w:eastAsia="Arial" w:hAnsi="Arial" w:cs="Arial"/>
              </w:rPr>
              <w:t xml:space="preserve">Allows Finance to monitor program performance through KPI reporting </w:t>
            </w:r>
          </w:p>
          <w:p w14:paraId="414D398A" w14:textId="77777777" w:rsidR="00A5485C" w:rsidRPr="002F491D" w:rsidRDefault="00A5485C" w:rsidP="004D7DDD">
            <w:pPr>
              <w:spacing w:after="120" w:line="276" w:lineRule="auto"/>
              <w:rPr>
                <w:rFonts w:ascii="Arial" w:eastAsia="Arial" w:hAnsi="Arial" w:cs="Arial"/>
              </w:rPr>
            </w:pPr>
            <w:r w:rsidRPr="002F491D">
              <w:rPr>
                <w:rFonts w:ascii="Arial" w:eastAsia="Arial" w:hAnsi="Arial" w:cs="Arial"/>
                <w:b/>
                <w:bCs/>
                <w:u w:val="single"/>
              </w:rPr>
              <w:t>Scope:</w:t>
            </w:r>
            <w:r w:rsidRPr="002F491D">
              <w:rPr>
                <w:rFonts w:ascii="Arial" w:eastAsia="Arial" w:hAnsi="Arial" w:cs="Arial"/>
                <w:b/>
                <w:bCs/>
              </w:rPr>
              <w:t xml:space="preserve"> </w:t>
            </w:r>
            <w:r w:rsidRPr="002F491D">
              <w:rPr>
                <w:rFonts w:ascii="Arial" w:eastAsia="Arial" w:hAnsi="Arial" w:cs="Arial"/>
              </w:rPr>
              <w:t xml:space="preserve">This scope defines the finance and accounting requirements needed to support the future-state PRO loyalty program across </w:t>
            </w:r>
            <w:r>
              <w:rPr>
                <w:rFonts w:ascii="Arial" w:eastAsia="Arial" w:hAnsi="Arial" w:cs="Arial"/>
              </w:rPr>
              <w:t>two</w:t>
            </w:r>
            <w:r w:rsidRPr="002F491D">
              <w:rPr>
                <w:rFonts w:ascii="Arial" w:eastAsia="Arial" w:hAnsi="Arial" w:cs="Arial"/>
              </w:rPr>
              <w:t xml:space="preserve"> areas: </w:t>
            </w:r>
            <w:r w:rsidRPr="002F491D">
              <w:rPr>
                <w:rFonts w:ascii="Arial" w:eastAsia="Arial" w:hAnsi="Arial" w:cs="Arial"/>
                <w:b/>
                <w:bCs/>
              </w:rPr>
              <w:t>Accounting treatment</w:t>
            </w:r>
            <w:r w:rsidRPr="002F491D">
              <w:rPr>
                <w:rFonts w:ascii="Arial" w:eastAsia="Arial" w:hAnsi="Arial" w:cs="Arial"/>
              </w:rPr>
              <w:t xml:space="preserve">, future liability recognition, accrual tracking, and transition treatment for legacy PPR-related obligations; </w:t>
            </w:r>
            <w:r w:rsidRPr="002F491D">
              <w:rPr>
                <w:rFonts w:ascii="Arial" w:eastAsia="Arial" w:hAnsi="Arial" w:cs="Arial"/>
                <w:b/>
                <w:bCs/>
              </w:rPr>
              <w:t>KPI reporting</w:t>
            </w:r>
            <w:r w:rsidRPr="002F491D">
              <w:rPr>
                <w:rFonts w:ascii="Arial" w:eastAsia="Arial" w:hAnsi="Arial" w:cs="Arial"/>
              </w:rPr>
              <w:t>, including the metrics, data flows, and reporting views required to track program performance, liability movement, reward cost, and other key financial indicators</w:t>
            </w:r>
            <w:r>
              <w:rPr>
                <w:rFonts w:ascii="Arial" w:eastAsia="Arial" w:hAnsi="Arial" w:cs="Arial"/>
              </w:rPr>
              <w:t>.</w:t>
            </w:r>
            <w:r w:rsidRPr="002F491D">
              <w:rPr>
                <w:rFonts w:ascii="Arial" w:eastAsia="Arial" w:hAnsi="Arial" w:cs="Arial"/>
              </w:rPr>
              <w:t xml:space="preserve"> </w:t>
            </w:r>
          </w:p>
          <w:p w14:paraId="4AA5406B" w14:textId="77777777" w:rsidR="00A5485C" w:rsidRPr="004619E4" w:rsidRDefault="00A5485C" w:rsidP="004D7DDD">
            <w:pPr>
              <w:pStyle w:val="Heading14ptGREY"/>
              <w:rPr>
                <w:b w:val="0"/>
                <w:color w:val="FF0000"/>
                <w:sz w:val="22"/>
                <w:szCs w:val="20"/>
                <w:u w:val="single"/>
              </w:rPr>
            </w:pPr>
            <w:r w:rsidRPr="003B6B63">
              <w:rPr>
                <w:rFonts w:ascii="Arial" w:eastAsia="Arial" w:hAnsi="Arial" w:cs="Arial"/>
                <w:b w:val="0"/>
                <w:bCs w:val="0"/>
                <w:color w:val="auto"/>
                <w:sz w:val="22"/>
                <w:szCs w:val="22"/>
              </w:rPr>
              <w:t>Out of scope are</w:t>
            </w:r>
            <w:r>
              <w:rPr>
                <w:rFonts w:ascii="Arial" w:eastAsia="Arial" w:hAnsi="Arial" w:cs="Arial"/>
                <w:b w:val="0"/>
                <w:bCs w:val="0"/>
                <w:color w:val="auto"/>
                <w:sz w:val="22"/>
                <w:szCs w:val="22"/>
              </w:rPr>
              <w:t xml:space="preserve"> budgeting and forecasting, expected to be handled by existing system capabilities </w:t>
            </w:r>
            <w:proofErr w:type="gramStart"/>
            <w:r>
              <w:rPr>
                <w:rFonts w:ascii="Arial" w:eastAsia="Arial" w:hAnsi="Arial" w:cs="Arial"/>
                <w:b w:val="0"/>
                <w:bCs w:val="0"/>
                <w:color w:val="auto"/>
                <w:sz w:val="22"/>
                <w:szCs w:val="22"/>
              </w:rPr>
              <w:t>today;</w:t>
            </w:r>
            <w:proofErr w:type="gramEnd"/>
            <w:r w:rsidRPr="003B6B63">
              <w:rPr>
                <w:rFonts w:ascii="Arial" w:eastAsia="Arial" w:hAnsi="Arial" w:cs="Arial"/>
                <w:b w:val="0"/>
                <w:bCs w:val="0"/>
                <w:color w:val="auto"/>
                <w:sz w:val="22"/>
                <w:szCs w:val="22"/>
              </w:rPr>
              <w:t xml:space="preserve"> detailed technical architecture, and enhancements beyond the initial launch. Also out of scope are broader enterprise finance activities not specific to loyalty, as well as business requirements owned by adjacent workstreams</w:t>
            </w:r>
            <w:r>
              <w:rPr>
                <w:rFonts w:ascii="Arial" w:eastAsia="Arial" w:hAnsi="Arial" w:cs="Arial"/>
                <w:b w:val="0"/>
                <w:bCs w:val="0"/>
                <w:color w:val="auto"/>
                <w:sz w:val="22"/>
                <w:szCs w:val="22"/>
              </w:rPr>
              <w:t xml:space="preserve">, including </w:t>
            </w:r>
            <w:r w:rsidRPr="003B6B63">
              <w:rPr>
                <w:rFonts w:ascii="Arial" w:eastAsia="Arial" w:hAnsi="Arial" w:cs="Arial"/>
                <w:b w:val="0"/>
                <w:bCs w:val="0"/>
                <w:color w:val="auto"/>
                <w:sz w:val="22"/>
                <w:szCs w:val="22"/>
              </w:rPr>
              <w:t>customer experience design, store operations, and CRM account structure, except where those topics directly affect finance and accounting requirements.</w:t>
            </w:r>
          </w:p>
        </w:tc>
      </w:tr>
    </w:tbl>
    <w:p w14:paraId="1B03485A" w14:textId="77777777" w:rsidR="00A5485C" w:rsidRPr="00A97322" w:rsidRDefault="00A5485C" w:rsidP="00A5485C"/>
    <w:p w14:paraId="67FB5DCA" w14:textId="77777777" w:rsidR="00A5485C" w:rsidRPr="00782371" w:rsidRDefault="00A5485C" w:rsidP="00A5485C">
      <w:pPr>
        <w:pStyle w:val="Heading1"/>
        <w:rPr>
          <w:color w:val="FF0000"/>
          <w:szCs w:val="44"/>
        </w:rPr>
      </w:pPr>
      <w:r w:rsidRPr="00782371">
        <w:t>Question / Topics and Response / Conclusions:</w:t>
      </w:r>
    </w:p>
    <w:p w14:paraId="3149F7F5" w14:textId="77777777" w:rsidR="00A5485C" w:rsidRDefault="00A5485C" w:rsidP="00A5485C">
      <w:pPr>
        <w:pStyle w:val="Heading3"/>
        <w:rPr>
          <w:color w:val="FF0000"/>
          <w:sz w:val="28"/>
          <w:szCs w:val="36"/>
          <w:u w:val="single"/>
        </w:rPr>
      </w:pPr>
      <w:r>
        <w:rPr>
          <w:color w:val="FF0000"/>
          <w:sz w:val="28"/>
          <w:szCs w:val="36"/>
          <w:u w:val="single"/>
        </w:rPr>
        <w:t>Accounting treatment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250"/>
        <w:gridCol w:w="2628"/>
        <w:gridCol w:w="5462"/>
      </w:tblGrid>
      <w:tr w:rsidR="00A5485C" w:rsidRPr="00ED67B4" w14:paraId="05AD5FAC"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DBA4938"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ID</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E97D3AA"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1A0175E"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Response / Conclusion</w:t>
            </w:r>
          </w:p>
        </w:tc>
      </w:tr>
      <w:tr w:rsidR="00A5485C" w:rsidRPr="00ED67B4" w14:paraId="4DEF8DE1"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3BF9E3" w14:textId="77777777" w:rsidR="00A5485C" w:rsidRPr="001C42B5" w:rsidRDefault="00A5485C" w:rsidP="004D7DDD">
            <w:pPr>
              <w:pStyle w:val="F2Body"/>
              <w:rPr>
                <w:rFonts w:eastAsia="Arial" w:cstheme="minorHAnsi"/>
                <w:color w:val="000000" w:themeColor="text1"/>
              </w:rPr>
            </w:pPr>
            <w:r w:rsidRPr="001C42B5">
              <w:lastRenderedPageBreak/>
              <w:t>FA-ACT -1</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EE6058" w14:textId="77777777" w:rsidR="00A5485C" w:rsidRPr="001C42B5" w:rsidRDefault="00A5485C" w:rsidP="004D7DDD">
            <w:pPr>
              <w:pStyle w:val="F2Body"/>
              <w:rPr>
                <w:rFonts w:eastAsia="Arial" w:cstheme="minorHAnsi"/>
                <w:color w:val="000000" w:themeColor="text1"/>
              </w:rPr>
            </w:pPr>
            <w:r w:rsidRPr="001C42B5">
              <w:t>What is the accounting treatment for outstanding PPR points at the time of cutover to the new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F2D282" w14:textId="77777777" w:rsidR="00A5485C" w:rsidRPr="001C42B5" w:rsidRDefault="00A5485C" w:rsidP="004D7DDD">
            <w:pPr>
              <w:pStyle w:val="F2Body"/>
            </w:pPr>
            <w:r w:rsidRPr="001C42B5">
              <w:t>Under the current assumption that F&amp;D plans to extend liability into the future beyond the start of the new program, Accounting must be able to continue monitoring PPR liability in the accounting systems currently utilized today alongside the new loyalty engine. Finance will need to execute a one-time transition accounting treatment in the core loyalty transition that resolves the legacy PPR liability when the time for redeeming points officially ends, if outstanding points exist. The PPR redemption window will extend beyond the launch of the new loyalty program, and as such, liability needs to be tracked as it is currently during that time.</w:t>
            </w:r>
          </w:p>
          <w:p w14:paraId="37828418" w14:textId="77777777" w:rsidR="00A5485C" w:rsidRPr="001C42B5" w:rsidRDefault="00A5485C" w:rsidP="004D7DDD">
            <w:pPr>
              <w:pStyle w:val="F2Body"/>
            </w:pPr>
          </w:p>
          <w:p w14:paraId="25126669" w14:textId="77777777" w:rsidR="00A5485C" w:rsidRPr="001C42B5" w:rsidRDefault="00A5485C" w:rsidP="004D7DDD">
            <w:pPr>
              <w:pStyle w:val="F2Body"/>
            </w:pPr>
            <w:r w:rsidRPr="001C42B5">
              <w:t xml:space="preserve">Both old and new liabilities will exist as a contract liability for external reporting purposes. </w:t>
            </w:r>
          </w:p>
        </w:tc>
      </w:tr>
      <w:tr w:rsidR="00A5485C" w:rsidRPr="00ED67B4" w14:paraId="26212552"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22D25E" w14:textId="77777777" w:rsidR="00A5485C" w:rsidRPr="001C42B5" w:rsidRDefault="00A5485C" w:rsidP="004D7DDD">
            <w:pPr>
              <w:pStyle w:val="F2Body"/>
            </w:pPr>
            <w:r w:rsidRPr="001C42B5">
              <w:t>FA-ACT-2</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ED53FD" w14:textId="77777777" w:rsidR="00A5485C" w:rsidRPr="001C42B5" w:rsidRDefault="00A5485C" w:rsidP="004D7DDD">
            <w:pPr>
              <w:pStyle w:val="F2Body"/>
            </w:pPr>
            <w:r w:rsidRPr="001C42B5">
              <w:t>How should seeded members and any transition benefits tied to prior PPR participation be accounted for?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BBE3DB" w14:textId="77777777" w:rsidR="00A5485C" w:rsidRPr="001C42B5" w:rsidRDefault="00A5485C" w:rsidP="004D7DDD">
            <w:pPr>
              <w:pStyle w:val="F2Body"/>
            </w:pPr>
            <w:r w:rsidRPr="001C42B5">
              <w:t xml:space="preserve">Upon </w:t>
            </w:r>
            <w:proofErr w:type="gramStart"/>
            <w:r w:rsidRPr="001C42B5">
              <w:t>seeding</w:t>
            </w:r>
            <w:proofErr w:type="gramEnd"/>
            <w:r w:rsidRPr="001C42B5">
              <w:t xml:space="preserve">, PROs will </w:t>
            </w:r>
            <w:r w:rsidRPr="001C42B5">
              <w:rPr>
                <w:u w:val="single"/>
              </w:rPr>
              <w:t>not</w:t>
            </w:r>
            <w:r w:rsidRPr="001C42B5">
              <w:t xml:space="preserve"> receive lump sum benefits (e.g., a large gift card trade in for points</w:t>
            </w:r>
            <w:proofErr w:type="gramStart"/>
            <w:r w:rsidRPr="001C42B5">
              <w:t>), and</w:t>
            </w:r>
            <w:proofErr w:type="gramEnd"/>
            <w:r w:rsidRPr="001C42B5">
              <w:t xml:space="preserve"> will accrue new program benefits as normal. Supporting ERP and CRM systems must be able to flag seeded members in the proper tier so they can automatically accrue tier benefits / liabilities at the proper amounts for accounting, reconciliation, and audit purposes.</w:t>
            </w:r>
          </w:p>
        </w:tc>
      </w:tr>
      <w:tr w:rsidR="00A5485C" w:rsidRPr="00ED67B4" w14:paraId="4E33E6C9"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A18FAE" w14:textId="77777777" w:rsidR="00A5485C" w:rsidRPr="001C42B5" w:rsidRDefault="00A5485C" w:rsidP="004D7DDD">
            <w:pPr>
              <w:pStyle w:val="F2Body"/>
            </w:pPr>
            <w:r w:rsidRPr="001C42B5">
              <w:t>FA-ACT-3</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11FEB2" w14:textId="77777777" w:rsidR="00A5485C" w:rsidRPr="001C42B5" w:rsidRDefault="00A5485C" w:rsidP="004D7DDD">
            <w:pPr>
              <w:pStyle w:val="F2Body"/>
            </w:pPr>
            <w:r w:rsidRPr="001C42B5">
              <w:t>How should inactive, expired, ineligible, or otherwise non-transferring PPR balances be treated at transition to new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A64CF81" w14:textId="77777777" w:rsidR="00A5485C" w:rsidRPr="001C42B5" w:rsidRDefault="00A5485C" w:rsidP="004D7DDD">
            <w:pPr>
              <w:pStyle w:val="F2Body"/>
              <w:rPr>
                <w:i/>
                <w:iCs/>
              </w:rPr>
            </w:pPr>
            <w:r w:rsidRPr="001C42B5">
              <w:t>PPR balance wind-down will follow a gradual transition approach with a specific date TBD (likely early 2027) on which PPR earning closes and a separate redemption wind-down period that extends past new program launch.</w:t>
            </w:r>
            <w:r w:rsidRPr="001C42B5">
              <w:rPr>
                <w:i/>
              </w:rPr>
              <w:t xml:space="preserve"> </w:t>
            </w:r>
            <w:r w:rsidRPr="001C42B5">
              <w:rPr>
                <w:i/>
                <w:iCs/>
              </w:rPr>
              <w:t xml:space="preserve"> </w:t>
            </w:r>
          </w:p>
          <w:p w14:paraId="28793D5D" w14:textId="77777777" w:rsidR="00A5485C" w:rsidRPr="001C42B5" w:rsidRDefault="00A5485C" w:rsidP="004D7DDD">
            <w:pPr>
              <w:pStyle w:val="F2Body"/>
              <w:rPr>
                <w:iCs/>
              </w:rPr>
            </w:pPr>
            <w:r w:rsidRPr="001C42B5">
              <w:rPr>
                <w:iCs/>
              </w:rPr>
              <w:t>Upon reaching the expiration tier, the PRO team will be required to cancel the points as is current procedure for expiring accounts.</w:t>
            </w:r>
          </w:p>
        </w:tc>
      </w:tr>
      <w:tr w:rsidR="00A5485C" w:rsidRPr="00ED67B4" w14:paraId="6C16D705"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298A3B" w14:textId="77777777" w:rsidR="00A5485C" w:rsidRPr="001C42B5" w:rsidRDefault="00A5485C" w:rsidP="004D7DDD">
            <w:pPr>
              <w:pStyle w:val="F2Body"/>
            </w:pPr>
            <w:r w:rsidRPr="001C42B5">
              <w:t>FA-ACT-4</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A8D1C7" w14:textId="77777777" w:rsidR="00A5485C" w:rsidRPr="001C42B5" w:rsidRDefault="00A5485C" w:rsidP="004D7DDD">
            <w:pPr>
              <w:pStyle w:val="F2Body"/>
            </w:pPr>
            <w:r w:rsidRPr="001C42B5">
              <w:t>What records must be retained to support auditability of the PPR transition?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8478B0" w14:textId="77777777" w:rsidR="00A5485C" w:rsidRPr="001C42B5" w:rsidRDefault="00A5485C" w:rsidP="004D7DDD">
            <w:pPr>
              <w:pStyle w:val="F2Body"/>
            </w:pPr>
            <w:r w:rsidRPr="001C42B5">
              <w:t xml:space="preserve">Finance / accounting must retain a complete audit trail of pre-cutover balances, transition logic, seeded member treatment, and final journal entries. Historical data must be retained in CRM / reporting systems for audit and customer service </w:t>
            </w:r>
            <w:proofErr w:type="gramStart"/>
            <w:r w:rsidRPr="001C42B5">
              <w:t>purposes, but</w:t>
            </w:r>
            <w:proofErr w:type="gramEnd"/>
            <w:r w:rsidRPr="001C42B5">
              <w:t xml:space="preserve"> will not be </w:t>
            </w:r>
            <w:r w:rsidRPr="001C42B5">
              <w:lastRenderedPageBreak/>
              <w:t xml:space="preserve">surfaced prominently in </w:t>
            </w:r>
            <w:proofErr w:type="gramStart"/>
            <w:r w:rsidRPr="001C42B5">
              <w:t>PRO facing</w:t>
            </w:r>
            <w:proofErr w:type="gramEnd"/>
            <w:r w:rsidRPr="001C42B5">
              <w:t xml:space="preserve"> interfaces (app, website etc.) post transition. All existing records must be maintained until the program completely sunsets.</w:t>
            </w:r>
          </w:p>
        </w:tc>
      </w:tr>
      <w:tr w:rsidR="00A5485C" w:rsidRPr="00ED67B4" w14:paraId="21B786FF"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43C7EA" w14:textId="77777777" w:rsidR="00A5485C" w:rsidRPr="001C42B5" w:rsidRDefault="00A5485C" w:rsidP="004D7DDD">
            <w:pPr>
              <w:pStyle w:val="F2Body"/>
            </w:pPr>
            <w:r w:rsidRPr="001C42B5">
              <w:lastRenderedPageBreak/>
              <w:t>FA-ACT-5</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592178" w14:textId="77777777" w:rsidR="00A5485C" w:rsidRPr="001C42B5" w:rsidRDefault="00A5485C" w:rsidP="004D7DDD">
            <w:pPr>
              <w:pStyle w:val="F2Body"/>
            </w:pPr>
            <w:r w:rsidRPr="001C42B5">
              <w:t>At what point does the new loyalty program create an accounting liability?</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65BAAE" w14:textId="77777777" w:rsidR="00A5485C" w:rsidRPr="001C42B5" w:rsidRDefault="00A5485C" w:rsidP="004D7DDD">
            <w:pPr>
              <w:pStyle w:val="F2Body"/>
            </w:pPr>
            <w:r w:rsidRPr="001C42B5">
              <w:t xml:space="preserve">POS and upstream transaction systems must support accounting liability recognition beginning at the point of an eligible PRO transaction. Financial currency will be awarded as delivered sales thresholds are achieved by PROs and creation of liability should immediately follow award. As such, finance &amp; accounting will require access to the loyalty engine to track the dollar value of outstanding award. As PROs progress toward reward thresholds or tier-based benefits, the liability must be continuously updated, and upon conversion into a financial award (e.g., F&amp;D currency issuance or rebate accrual), reclassified into the appropriate liability category. The POS must pass the timing and transaction </w:t>
            </w:r>
            <w:proofErr w:type="gramStart"/>
            <w:r w:rsidRPr="001C42B5">
              <w:t>detail</w:t>
            </w:r>
            <w:proofErr w:type="gramEnd"/>
            <w:r w:rsidRPr="001C42B5">
              <w:t xml:space="preserve"> needed for consistent recording in the loyalty engine accounting system. </w:t>
            </w:r>
          </w:p>
        </w:tc>
      </w:tr>
      <w:tr w:rsidR="00A5485C" w:rsidRPr="00ED67B4" w14:paraId="59FA7093"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C299B0" w14:textId="77777777" w:rsidR="00A5485C" w:rsidRPr="001C42B5" w:rsidRDefault="00A5485C" w:rsidP="004D7DDD">
            <w:pPr>
              <w:pStyle w:val="F2Body"/>
            </w:pPr>
            <w:r w:rsidRPr="001C42B5">
              <w:t>FA-ACT-6</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8EBF7D" w14:textId="77777777" w:rsidR="00A5485C" w:rsidRPr="001C42B5" w:rsidRDefault="00A5485C" w:rsidP="004D7DDD">
            <w:pPr>
              <w:pStyle w:val="F2Body"/>
            </w:pPr>
            <w:r w:rsidRPr="001C42B5">
              <w:t>What data must be captured to support future-state loyalty accounting?</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B55145A" w14:textId="77777777" w:rsidR="00A5485C" w:rsidRPr="001C42B5" w:rsidRDefault="00A5485C" w:rsidP="004D7DDD">
            <w:pPr>
              <w:pStyle w:val="F2Body"/>
            </w:pPr>
            <w:r w:rsidRPr="001C42B5">
              <w:t>The future-state process must capture transaction ID, PRO account ID, transaction date, eligible spend, reward type, reward value, adjustment amount, status, and relevant event timestamps. These fields must flow from source systems into the loyalty and finance environments to support accrual calculation, reconciliation, and journal entry support.</w:t>
            </w:r>
          </w:p>
        </w:tc>
      </w:tr>
      <w:tr w:rsidR="00A5485C" w:rsidRPr="00ED67B4" w14:paraId="4DF06955"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BD93DC" w14:textId="77777777" w:rsidR="00A5485C" w:rsidRDefault="00A5485C" w:rsidP="004D7DDD">
            <w:pPr>
              <w:pStyle w:val="F2Body"/>
            </w:pPr>
            <w:r w:rsidRPr="00187BE0">
              <w:t>FA-A</w:t>
            </w:r>
            <w:r>
              <w:t>CT-7</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DE64AB" w14:textId="77777777" w:rsidR="00A5485C" w:rsidRPr="008323F1" w:rsidRDefault="00A5485C" w:rsidP="004D7DDD">
            <w:pPr>
              <w:pStyle w:val="F2Body"/>
            </w:pPr>
            <w:r w:rsidRPr="00E2548B">
              <w:t xml:space="preserve">How should </w:t>
            </w:r>
            <w:r>
              <w:t>financial award</w:t>
            </w:r>
            <w:r w:rsidRPr="00E2548B">
              <w:t>s be accounted for once they are earned and issued?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4C8D6CC" w14:textId="77777777" w:rsidR="00A5485C" w:rsidRDefault="00A5485C" w:rsidP="004D7DDD">
            <w:pPr>
              <w:pStyle w:val="F2Body"/>
            </w:pPr>
            <w:r>
              <w:t>O</w:t>
            </w:r>
            <w:r w:rsidRPr="00F807C9">
              <w:t xml:space="preserve">bligations must be tracked by reward type once earned and issue: rebates </w:t>
            </w:r>
            <w:r w:rsidRPr="00D821F6">
              <w:t>must be tracked as accrued liabilities upon earning</w:t>
            </w:r>
            <w:r>
              <w:t xml:space="preserve"> and remain </w:t>
            </w:r>
            <w:r w:rsidRPr="00D821F6">
              <w:t xml:space="preserve">outstanding </w:t>
            </w:r>
            <w:r w:rsidRPr="00F807C9">
              <w:t xml:space="preserve">until the accrual period closes, reconciliations are completed, and payment </w:t>
            </w:r>
            <w:r w:rsidRPr="00D821F6">
              <w:t>is issued. Gift</w:t>
            </w:r>
            <w:r w:rsidRPr="00F807C9">
              <w:t xml:space="preserve"> cards </w:t>
            </w:r>
            <w:r w:rsidRPr="00D821F6">
              <w:t>must be tracked as issued liabilities upon issuance</w:t>
            </w:r>
            <w:r>
              <w:t xml:space="preserve"> and </w:t>
            </w:r>
            <w:r w:rsidRPr="00F807C9">
              <w:t>remain outstanding until redemption, expiration, or other approved disposition</w:t>
            </w:r>
            <w:r w:rsidRPr="00D821F6">
              <w:t>.</w:t>
            </w:r>
          </w:p>
          <w:p w14:paraId="57E558C7" w14:textId="77777777" w:rsidR="00A5485C" w:rsidRDefault="00A5485C" w:rsidP="004D7DDD">
            <w:pPr>
              <w:pStyle w:val="F2Body"/>
            </w:pPr>
            <w:r>
              <w:t>Systems must mai</w:t>
            </w:r>
            <w:r w:rsidRPr="00F807C9">
              <w:t>ntain visibility into issuance, balance, usage, and remaining obligation</w:t>
            </w:r>
            <w:r>
              <w:t>.</w:t>
            </w:r>
          </w:p>
          <w:p w14:paraId="148BB020" w14:textId="77777777" w:rsidR="00A5485C" w:rsidRPr="0065451D" w:rsidRDefault="00A5485C" w:rsidP="004D7DDD">
            <w:pPr>
              <w:pStyle w:val="F2Body"/>
              <w:rPr>
                <w:i/>
              </w:rPr>
            </w:pPr>
            <w:r w:rsidRPr="0065451D">
              <w:rPr>
                <w:i/>
                <w:iCs/>
              </w:rPr>
              <w:t>To discuss detailed accounting treatment for both financial award options</w:t>
            </w:r>
          </w:p>
        </w:tc>
      </w:tr>
      <w:tr w:rsidR="00A5485C" w:rsidRPr="00ED67B4" w14:paraId="6031B183"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05B414" w14:textId="77777777" w:rsidR="00A5485C" w:rsidRDefault="00A5485C" w:rsidP="004D7DDD">
            <w:pPr>
              <w:pStyle w:val="F2Body"/>
            </w:pPr>
            <w:r w:rsidRPr="00187BE0">
              <w:lastRenderedPageBreak/>
              <w:t>FA-A</w:t>
            </w:r>
            <w:r>
              <w:t>CT-8</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DA20B5" w14:textId="77777777" w:rsidR="00A5485C" w:rsidRPr="008323F1" w:rsidRDefault="00A5485C" w:rsidP="004D7DDD">
            <w:pPr>
              <w:pStyle w:val="F2Body"/>
            </w:pPr>
            <w:r w:rsidRPr="00FF6223">
              <w:t>How should breakage and expiration be reflected in accounting for the future-state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25977E" w14:textId="77777777" w:rsidR="00A5485C" w:rsidRPr="00703C39" w:rsidRDefault="00A5485C" w:rsidP="004D7DDD">
            <w:pPr>
              <w:pStyle w:val="F2Body"/>
              <w:rPr>
                <w:i/>
                <w:iCs/>
              </w:rPr>
            </w:pPr>
            <w:r w:rsidRPr="00703C39">
              <w:rPr>
                <w:i/>
                <w:iCs/>
              </w:rPr>
              <w:t>Accounting to work with third party actuary to establish breakage methodology, which will dictate requirements for accounting systems to maintain and track assumptions</w:t>
            </w:r>
          </w:p>
        </w:tc>
      </w:tr>
    </w:tbl>
    <w:p w14:paraId="6D73C86D" w14:textId="77777777" w:rsidR="00A5485C" w:rsidRDefault="00A5485C" w:rsidP="00A5485C">
      <w:pPr>
        <w:pStyle w:val="Heading3"/>
        <w:rPr>
          <w:color w:val="FF0000"/>
          <w:sz w:val="28"/>
          <w:szCs w:val="36"/>
          <w:u w:val="single"/>
        </w:rPr>
      </w:pPr>
    </w:p>
    <w:p w14:paraId="0DDCF5A3" w14:textId="77777777" w:rsidR="00A5485C" w:rsidRDefault="00A5485C" w:rsidP="00A5485C">
      <w:pPr>
        <w:pStyle w:val="Heading3"/>
        <w:rPr>
          <w:color w:val="FF0000"/>
          <w:sz w:val="28"/>
          <w:szCs w:val="36"/>
          <w:u w:val="single"/>
        </w:rPr>
      </w:pPr>
      <w:r>
        <w:rPr>
          <w:color w:val="FF0000"/>
          <w:sz w:val="28"/>
          <w:szCs w:val="36"/>
          <w:u w:val="single"/>
        </w:rPr>
        <w:t>KPI reporting</w:t>
      </w:r>
    </w:p>
    <w:p w14:paraId="70C82163" w14:textId="77777777" w:rsidR="00A5485C" w:rsidRPr="009A252E" w:rsidRDefault="00A5485C" w:rsidP="00A5485C">
      <w:pPr>
        <w:pStyle w:val="F2Body"/>
        <w:rPr>
          <w:b/>
          <w:bCs/>
          <w:u w:val="single"/>
        </w:rPr>
      </w:pPr>
      <w:r>
        <w:rPr>
          <w:b/>
          <w:bCs/>
          <w:u w:val="single"/>
        </w:rPr>
        <w:t>Data inputs and sourcing</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250"/>
        <w:gridCol w:w="2628"/>
        <w:gridCol w:w="5462"/>
      </w:tblGrid>
      <w:tr w:rsidR="00A5485C" w:rsidRPr="00ED67B4" w14:paraId="21EF7D83"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8B5D57D"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ID</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2CC0670"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81FAAFC" w14:textId="77777777" w:rsidR="00A5485C" w:rsidRPr="00ED67B4" w:rsidRDefault="00A5485C" w:rsidP="004D7DDD">
            <w:pPr>
              <w:pStyle w:val="F2Body"/>
              <w:jc w:val="center"/>
              <w:rPr>
                <w:rFonts w:eastAsia="Arial" w:cstheme="minorHAnsi"/>
                <w:b/>
                <w:bCs/>
                <w:color w:val="000000" w:themeColor="text1"/>
              </w:rPr>
            </w:pPr>
            <w:r w:rsidRPr="00ED67B4">
              <w:rPr>
                <w:rFonts w:eastAsia="Arial" w:cstheme="minorHAnsi"/>
                <w:b/>
                <w:bCs/>
                <w:color w:val="000000" w:themeColor="text1"/>
              </w:rPr>
              <w:t>Response / Conclusion</w:t>
            </w:r>
          </w:p>
        </w:tc>
      </w:tr>
      <w:tr w:rsidR="00A5485C" w:rsidRPr="00ED67B4" w14:paraId="671E23EC"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AECDA6" w14:textId="77777777" w:rsidR="00A5485C" w:rsidRDefault="00A5485C" w:rsidP="004D7DDD">
            <w:pPr>
              <w:pStyle w:val="F2Body"/>
            </w:pPr>
            <w:r>
              <w:t>FA-KPI-1</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1448F2" w14:textId="77777777" w:rsidR="00A5485C" w:rsidRDefault="00A5485C" w:rsidP="004D7DDD">
            <w:pPr>
              <w:pStyle w:val="F2Body"/>
            </w:pPr>
            <w:r>
              <w:t xml:space="preserve">What are the relevant KPIs to report across each function?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3F5EA1" w14:textId="77777777" w:rsidR="00A5485C" w:rsidRDefault="00A5485C" w:rsidP="004D7DDD">
            <w:pPr>
              <w:pStyle w:val="F2Body"/>
            </w:pPr>
            <w:r w:rsidRPr="00003D8B">
              <w:t>The Loyalty Reporting framework and KPI definitions page must serve as the controlled source for KPI definitions so reporting systems and dashboards calculate metrics consistently across teams</w:t>
            </w:r>
            <w:r>
              <w:t xml:space="preserve">. Reporting tools used by Finance &amp; Accounting must be capable of linking data from ERP, POS, CRM, and the loyalty account engine to gather the proper information for these reports. </w:t>
            </w:r>
          </w:p>
        </w:tc>
      </w:tr>
      <w:tr w:rsidR="00A5485C" w:rsidRPr="00ED67B4" w14:paraId="4196E0FD"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5501FC" w14:textId="77777777" w:rsidR="00A5485C" w:rsidRDefault="00A5485C" w:rsidP="004D7DDD">
            <w:pPr>
              <w:pStyle w:val="F2Body"/>
            </w:pPr>
            <w:r>
              <w:t>FA-KPI-2</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39CD93" w14:textId="77777777" w:rsidR="00A5485C" w:rsidRDefault="00A5485C" w:rsidP="004D7DDD">
            <w:pPr>
              <w:pStyle w:val="F2Body"/>
            </w:pPr>
            <w:r>
              <w:t xml:space="preserve">Which group will own data gathering of each of the key KPI reports?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69086FA" w14:textId="77777777" w:rsidR="00A5485C" w:rsidRDefault="00A5485C" w:rsidP="004D7DDD">
            <w:pPr>
              <w:pStyle w:val="F2Body"/>
            </w:pPr>
            <w:r w:rsidRPr="003D2E6C">
              <w:t>Reporting environments and source systems must provide role-appropriate access to KPI inputs for FP&amp;A, Loyalty / CRM, Store Ops, Customer Insights, and Accounting based on the data requirements defined in the Loyalty Reporting framework</w:t>
            </w:r>
            <w:r>
              <w:t>.</w:t>
            </w:r>
          </w:p>
        </w:tc>
      </w:tr>
      <w:tr w:rsidR="00A5485C" w:rsidRPr="00ED67B4" w14:paraId="7AD85482"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421E47" w14:textId="77777777" w:rsidR="00A5485C" w:rsidRDefault="00A5485C" w:rsidP="004D7DDD">
            <w:pPr>
              <w:pStyle w:val="F2Body"/>
            </w:pPr>
            <w:r>
              <w:t>FA-KPI-3</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9077DE" w14:textId="77777777" w:rsidR="00A5485C" w:rsidRDefault="00A5485C" w:rsidP="004D7DDD">
            <w:pPr>
              <w:pStyle w:val="F2Body"/>
            </w:pPr>
            <w:r>
              <w:t xml:space="preserve">What are the relevant metrics for tracking breakage and how will they be gathered?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532C9B" w14:textId="77777777" w:rsidR="00A5485C" w:rsidRDefault="00A5485C" w:rsidP="004D7DDD">
            <w:pPr>
              <w:pStyle w:val="F2Body"/>
            </w:pPr>
            <w:r w:rsidRPr="003D2E6C">
              <w:t xml:space="preserve">ERP, CRM, and loyalty reporting systems must produce monthly breakage inputs </w:t>
            </w:r>
            <w:r>
              <w:t>(</w:t>
            </w:r>
            <w:r w:rsidRPr="003D2E6C">
              <w:t>including issued, redeemed, expired / forfeited, total liability, and actual versus assumed breakage rate</w:t>
            </w:r>
            <w:r>
              <w:t>)</w:t>
            </w:r>
            <w:r w:rsidRPr="003D2E6C">
              <w:t xml:space="preserve"> with aligned definitions across sources</w:t>
            </w:r>
            <w:r>
              <w:t>.</w:t>
            </w:r>
          </w:p>
          <w:p w14:paraId="2DE30F8D" w14:textId="77777777" w:rsidR="00A5485C" w:rsidRPr="001A5D31" w:rsidRDefault="00A5485C" w:rsidP="004D7DDD">
            <w:pPr>
              <w:pStyle w:val="F2Body"/>
              <w:rPr>
                <w:i/>
              </w:rPr>
            </w:pPr>
            <w:r>
              <w:rPr>
                <w:i/>
                <w:iCs/>
              </w:rPr>
              <w:t>Finance / Accounting workstream to recommend relevant metrics that need to be incorporated into appropriate systems and shared with third-party actuary</w:t>
            </w:r>
          </w:p>
        </w:tc>
      </w:tr>
      <w:tr w:rsidR="00A5485C" w:rsidRPr="00ED67B4" w14:paraId="635622D2"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2EF995" w14:textId="77777777" w:rsidR="00A5485C" w:rsidRPr="00DB3306" w:rsidRDefault="00A5485C" w:rsidP="004D7DDD">
            <w:pPr>
              <w:pStyle w:val="F2Body"/>
            </w:pPr>
            <w:r w:rsidRPr="00DB3306">
              <w:t>FA-KPI-4</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29BACC" w14:textId="77777777" w:rsidR="00A5485C" w:rsidRPr="00DB3306" w:rsidRDefault="00A5485C" w:rsidP="004D7DDD">
            <w:pPr>
              <w:pStyle w:val="F2Body"/>
            </w:pPr>
            <w:r w:rsidRPr="00DB3306">
              <w:t xml:space="preserve">How will we quantify incremental revenue </w:t>
            </w:r>
            <w:r w:rsidRPr="00DB3306">
              <w:lastRenderedPageBreak/>
              <w:t>from the loyalty program?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EFECA3" w14:textId="77777777" w:rsidR="00A5485C" w:rsidRPr="00DB3306" w:rsidRDefault="00A5485C" w:rsidP="004D7DDD">
            <w:pPr>
              <w:pStyle w:val="F2Body"/>
              <w:rPr>
                <w:i/>
                <w:iCs/>
              </w:rPr>
            </w:pPr>
            <w:r w:rsidRPr="00DB3306">
              <w:rPr>
                <w:i/>
                <w:iCs/>
              </w:rPr>
              <w:lastRenderedPageBreak/>
              <w:t xml:space="preserve">Finance / accounting is working to establish methodology to quantify incremental revenue, which </w:t>
            </w:r>
            <w:r w:rsidRPr="00DB3306">
              <w:rPr>
                <w:i/>
                <w:iCs/>
              </w:rPr>
              <w:lastRenderedPageBreak/>
              <w:t xml:space="preserve">will dictate data points and system permissions required to track incrementality. </w:t>
            </w:r>
          </w:p>
        </w:tc>
      </w:tr>
      <w:tr w:rsidR="00A5485C" w:rsidRPr="00ED67B4" w14:paraId="5DB4B6CE" w14:textId="77777777" w:rsidTr="004D7DDD">
        <w:tc>
          <w:tcPr>
            <w:tcW w:w="1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82CAEC" w14:textId="77777777" w:rsidR="00A5485C" w:rsidRDefault="00A5485C" w:rsidP="004D7DDD">
            <w:pPr>
              <w:pStyle w:val="F2Body"/>
            </w:pPr>
            <w:r>
              <w:lastRenderedPageBreak/>
              <w:t>FA-KPI-5</w:t>
            </w:r>
          </w:p>
        </w:tc>
        <w:tc>
          <w:tcPr>
            <w:tcW w:w="26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AFAA83" w14:textId="77777777" w:rsidR="00A5485C" w:rsidRDefault="00A5485C" w:rsidP="004D7DDD">
            <w:pPr>
              <w:pStyle w:val="F2Body"/>
            </w:pPr>
            <w:r>
              <w:t>Who are the relevant audiences of KPI reports and how often will their reports need to be refreshed?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2D10ED" w14:textId="77777777" w:rsidR="00A5485C" w:rsidRDefault="00A5485C" w:rsidP="004D7DDD">
            <w:pPr>
              <w:pStyle w:val="F2Body"/>
              <w:rPr>
                <w:rFonts w:eastAsia="Arial" w:cstheme="minorHAnsi"/>
                <w:color w:val="000000" w:themeColor="text1"/>
              </w:rPr>
            </w:pPr>
            <w:r>
              <w:rPr>
                <w:rFonts w:eastAsia="Arial" w:cstheme="minorHAnsi"/>
                <w:color w:val="000000" w:themeColor="text1"/>
              </w:rPr>
              <w:t>Finance will prepare the following reports for distinct audiences to provide performance updates for the loyalty model. They will require the proper data connections and software to build these reports and refresh them on a constant basis (</w:t>
            </w:r>
            <w:proofErr w:type="gramStart"/>
            <w:r>
              <w:rPr>
                <w:rFonts w:eastAsia="Arial" w:cstheme="minorHAnsi"/>
                <w:color w:val="000000" w:themeColor="text1"/>
              </w:rPr>
              <w:t>monthly</w:t>
            </w:r>
            <w:proofErr w:type="gramEnd"/>
            <w:r>
              <w:rPr>
                <w:rFonts w:eastAsia="Arial" w:cstheme="minorHAnsi"/>
                <w:color w:val="000000" w:themeColor="text1"/>
              </w:rPr>
              <w:t xml:space="preserve"> to weekly for most reports). These reports include: </w:t>
            </w:r>
          </w:p>
          <w:p w14:paraId="07EF0375"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Loyalty P&amp;L</w:t>
            </w:r>
            <w:r>
              <w:rPr>
                <w:rFonts w:eastAsia="Arial" w:cstheme="minorHAnsi"/>
                <w:color w:val="000000" w:themeColor="text1"/>
              </w:rPr>
              <w:t xml:space="preserve"> – CFO &amp; CEO, updated monthly in the FP&amp;A package </w:t>
            </w:r>
          </w:p>
          <w:p w14:paraId="77644B2F"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Executive Summary (1-pager)</w:t>
            </w:r>
            <w:r>
              <w:rPr>
                <w:rFonts w:eastAsia="Arial" w:cstheme="minorHAnsi"/>
                <w:color w:val="000000" w:themeColor="text1"/>
              </w:rPr>
              <w:t xml:space="preserve"> - CFO &amp; CEO updated monthly in PDF with exec dashboard</w:t>
            </w:r>
          </w:p>
          <w:p w14:paraId="5DA5464E"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Program Performance Dashboard</w:t>
            </w:r>
            <w:r>
              <w:rPr>
                <w:rFonts w:eastAsia="Arial" w:cstheme="minorHAnsi"/>
                <w:color w:val="000000" w:themeColor="text1"/>
              </w:rPr>
              <w:t xml:space="preserve"> – CCO and marketing updated monthly in </w:t>
            </w:r>
            <w:proofErr w:type="spellStart"/>
            <w:r>
              <w:rPr>
                <w:rFonts w:eastAsia="Arial" w:cstheme="minorHAnsi"/>
                <w:color w:val="000000" w:themeColor="text1"/>
              </w:rPr>
              <w:t>PowerBI</w:t>
            </w:r>
            <w:proofErr w:type="spellEnd"/>
          </w:p>
          <w:p w14:paraId="2886FE78"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Store Scorecard</w:t>
            </w:r>
            <w:r>
              <w:rPr>
                <w:rFonts w:eastAsia="Arial" w:cstheme="minorHAnsi"/>
                <w:color w:val="000000" w:themeColor="text1"/>
              </w:rPr>
              <w:t xml:space="preserve"> – RVPs, DMs, &amp; Stores updated weekly through </w:t>
            </w:r>
            <w:proofErr w:type="spellStart"/>
            <w:r>
              <w:rPr>
                <w:rFonts w:eastAsia="Arial" w:cstheme="minorHAnsi"/>
                <w:color w:val="000000" w:themeColor="text1"/>
              </w:rPr>
              <w:t>PowerBI</w:t>
            </w:r>
            <w:proofErr w:type="spellEnd"/>
          </w:p>
          <w:p w14:paraId="5DDD1D28"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Operational Health Dashboard</w:t>
            </w:r>
            <w:r>
              <w:rPr>
                <w:rFonts w:eastAsia="Arial" w:cstheme="minorHAnsi"/>
                <w:color w:val="000000" w:themeColor="text1"/>
              </w:rPr>
              <w:t xml:space="preserve"> – daily update for loyalty internal team</w:t>
            </w:r>
          </w:p>
          <w:p w14:paraId="06B46006"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Incrementality Report</w:t>
            </w:r>
            <w:r>
              <w:rPr>
                <w:rFonts w:eastAsia="Arial" w:cstheme="minorHAnsi"/>
                <w:color w:val="000000" w:themeColor="text1"/>
              </w:rPr>
              <w:t xml:space="preserve"> – CFO &amp; CMO updated quarterly through standalone presentation</w:t>
            </w:r>
          </w:p>
          <w:p w14:paraId="50D48D83" w14:textId="77777777" w:rsidR="00A5485C" w:rsidRPr="00C20EC7" w:rsidRDefault="00A5485C" w:rsidP="004D7DDD">
            <w:pPr>
              <w:pStyle w:val="F2Body"/>
              <w:rPr>
                <w:rFonts w:eastAsia="Arial" w:cstheme="minorHAnsi"/>
                <w:color w:val="000000" w:themeColor="text1"/>
              </w:rPr>
            </w:pPr>
            <w:r w:rsidRPr="00C20EC7">
              <w:rPr>
                <w:rFonts w:eastAsia="Arial" w:cstheme="minorHAnsi"/>
                <w:color w:val="000000" w:themeColor="text1"/>
              </w:rPr>
              <w:t>Liability &amp; Breakage Report</w:t>
            </w:r>
            <w:r>
              <w:rPr>
                <w:rFonts w:eastAsia="Arial" w:cstheme="minorHAnsi"/>
                <w:color w:val="000000" w:themeColor="text1"/>
              </w:rPr>
              <w:t xml:space="preserve"> – CFO &amp; Controller Updated Monthly through the Finance Package</w:t>
            </w:r>
          </w:p>
          <w:p w14:paraId="0545B170" w14:textId="77777777" w:rsidR="00A5485C" w:rsidRDefault="00A5485C" w:rsidP="004D7DDD">
            <w:pPr>
              <w:pStyle w:val="F2Body"/>
            </w:pPr>
            <w:r w:rsidRPr="00C20EC7">
              <w:rPr>
                <w:rFonts w:eastAsia="Arial" w:cstheme="minorHAnsi"/>
                <w:color w:val="000000" w:themeColor="text1"/>
              </w:rPr>
              <w:t>Member Cohort LTV Analysis</w:t>
            </w:r>
            <w:r>
              <w:rPr>
                <w:rFonts w:eastAsia="Arial" w:cstheme="minorHAnsi"/>
                <w:color w:val="000000" w:themeColor="text1"/>
              </w:rPr>
              <w:t xml:space="preserve"> – CFO, CMO, Strategy updated Quarterly to be included in the QBR </w:t>
            </w:r>
          </w:p>
        </w:tc>
      </w:tr>
    </w:tbl>
    <w:p w14:paraId="78D5E19D" w14:textId="77777777" w:rsidR="00A5485C" w:rsidRPr="001072A9" w:rsidRDefault="00A5485C" w:rsidP="00A5485C">
      <w:pPr>
        <w:pStyle w:val="F2Body"/>
      </w:pPr>
    </w:p>
    <w:p w14:paraId="403D29A3" w14:textId="77777777" w:rsidR="00A5485C" w:rsidRDefault="00A5485C" w:rsidP="00A5485C">
      <w:pPr>
        <w:pStyle w:val="F2Body"/>
      </w:pPr>
    </w:p>
    <w:p w14:paraId="4B5BE1CE" w14:textId="77777777" w:rsidR="00601447" w:rsidRPr="00B62598" w:rsidRDefault="00601447" w:rsidP="00601447"/>
    <w:sectPr w:rsidR="00601447" w:rsidRPr="00B62598" w:rsidSect="00A5485C">
      <w:headerReference w:type="default" r:id="rId7"/>
      <w:headerReference w:type="first" r:id="rId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3DB61" w14:textId="77777777" w:rsidR="00A5485C" w:rsidRDefault="00A5485C" w:rsidP="00A75206">
      <w:pPr>
        <w:spacing w:after="0" w:line="240" w:lineRule="auto"/>
      </w:pPr>
      <w:r>
        <w:separator/>
      </w:r>
    </w:p>
  </w:endnote>
  <w:endnote w:type="continuationSeparator" w:id="0">
    <w:p w14:paraId="4E65AD90" w14:textId="77777777" w:rsidR="00A5485C" w:rsidRDefault="00A5485C" w:rsidP="00A75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obe Devanagari">
    <w:altName w:val="Kokila"/>
    <w:panose1 w:val="00000000000000000000"/>
    <w:charset w:val="00"/>
    <w:family w:val="roman"/>
    <w:notTrueType/>
    <w:pitch w:val="variable"/>
    <w:sig w:usb0="00008003" w:usb1="00000000" w:usb2="00000000" w:usb3="00000000" w:csb0="00000001" w:csb1="00000000"/>
  </w:font>
  <w:font w:name="Arial Bold">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85751" w14:textId="77777777" w:rsidR="00A5485C" w:rsidRDefault="00A5485C" w:rsidP="00A75206">
      <w:pPr>
        <w:spacing w:after="0" w:line="240" w:lineRule="auto"/>
      </w:pPr>
      <w:r>
        <w:separator/>
      </w:r>
    </w:p>
  </w:footnote>
  <w:footnote w:type="continuationSeparator" w:id="0">
    <w:p w14:paraId="17960AAC" w14:textId="77777777" w:rsidR="00A5485C" w:rsidRDefault="00A5485C" w:rsidP="00A75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0020" w14:textId="77777777" w:rsidR="00A5485C" w:rsidRDefault="00A5485C" w:rsidP="00A5485C">
    <w:pPr>
      <w:pStyle w:val="Header"/>
      <w:rPr>
        <w:color w:val="2C3C43" w:themeColor="text2"/>
        <w:sz w:val="20"/>
        <w:szCs w:val="20"/>
      </w:rPr>
    </w:pPr>
    <w:r>
      <w:rPr>
        <w:color w:val="2C3C43" w:themeColor="text2"/>
        <w:sz w:val="20"/>
        <w:szCs w:val="20"/>
      </w:rPr>
      <w:tab/>
    </w:r>
  </w:p>
  <w:p w14:paraId="2F62B9C5" w14:textId="77777777" w:rsidR="00A5485C" w:rsidRDefault="00A5485C" w:rsidP="00A5485C">
    <w:pPr>
      <w:pStyle w:val="Header"/>
      <w:rPr>
        <w:color w:val="2C3C43" w:themeColor="text2"/>
        <w:sz w:val="20"/>
        <w:szCs w:val="20"/>
      </w:rPr>
    </w:pPr>
  </w:p>
  <w:p w14:paraId="797D94DA" w14:textId="77777777" w:rsidR="00A5485C" w:rsidRPr="00000E12" w:rsidRDefault="00A5485C" w:rsidP="00A5485C">
    <w:pPr>
      <w:pStyle w:val="Header"/>
    </w:pPr>
    <w:r>
      <w:rPr>
        <w:color w:val="2C3C43" w:themeColor="text2"/>
        <w:sz w:val="20"/>
        <w:szCs w:val="20"/>
      </w:rPr>
      <w:tab/>
    </w:r>
    <w:r>
      <w:rPr>
        <w:color w:val="2C3C43" w:themeColor="text2"/>
        <w:sz w:val="20"/>
        <w:szCs w:val="20"/>
      </w:rPr>
      <w:tab/>
    </w:r>
  </w:p>
  <w:p w14:paraId="61C46AAD" w14:textId="77777777" w:rsidR="00A5485C" w:rsidRDefault="00A5485C" w:rsidP="00A5485C">
    <w:pPr>
      <w:pStyle w:val="Header"/>
      <w:pBdr>
        <w:bottom w:val="single" w:sz="4" w:space="1" w:color="00973A" w:themeColor="accent3"/>
      </w:pBdr>
      <w:rPr>
        <w:color w:val="2C3C43" w:themeColor="text2"/>
      </w:rPr>
    </w:pPr>
  </w:p>
  <w:p w14:paraId="78FA8142" w14:textId="77777777" w:rsidR="00A5485C" w:rsidRDefault="00A548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BE42A" w14:textId="77777777" w:rsidR="00A5485C" w:rsidRDefault="00A5485C" w:rsidP="00A5485C">
    <w:pPr>
      <w:pStyle w:val="Header"/>
      <w:rPr>
        <w:color w:val="2C3C43" w:themeColor="text2"/>
        <w:sz w:val="20"/>
        <w:szCs w:val="20"/>
      </w:rPr>
    </w:pPr>
    <w:r>
      <w:rPr>
        <w:noProof/>
      </w:rPr>
      <w:drawing>
        <wp:anchor distT="0" distB="0" distL="114300" distR="114300" simplePos="0" relativeHeight="251659264" behindDoc="0" locked="0" layoutInCell="1" allowOverlap="1" wp14:anchorId="35165DF4" wp14:editId="361F3880">
          <wp:simplePos x="0" y="0"/>
          <wp:positionH relativeFrom="column">
            <wp:posOffset>1301750</wp:posOffset>
          </wp:positionH>
          <wp:positionV relativeFrom="paragraph">
            <wp:posOffset>119957</wp:posOffset>
          </wp:positionV>
          <wp:extent cx="1222566" cy="338328"/>
          <wp:effectExtent l="0" t="0" r="0" b="5080"/>
          <wp:wrapNone/>
          <wp:docPr id="1258080825" name="Picture 1258080825"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566" cy="338328"/>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6C75EB0" wp14:editId="09887E20">
          <wp:simplePos x="0" y="0"/>
          <wp:positionH relativeFrom="column">
            <wp:posOffset>0</wp:posOffset>
          </wp:positionH>
          <wp:positionV relativeFrom="paragraph">
            <wp:posOffset>0</wp:posOffset>
          </wp:positionV>
          <wp:extent cx="1122045" cy="584200"/>
          <wp:effectExtent l="0" t="0" r="1905" b="6350"/>
          <wp:wrapNone/>
          <wp:docPr id="1387574795" name="Picture 1" descr="FLOORING AND TILE TRENDS OF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ORING AND TILE TRENDS OF 2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22045" cy="58420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2C3C43" w:themeColor="text2"/>
        <w:sz w:val="20"/>
        <w:szCs w:val="20"/>
      </w:rPr>
      <w:tab/>
    </w:r>
    <w:r>
      <w:rPr>
        <w:color w:val="2C3C43" w:themeColor="text2"/>
        <w:sz w:val="20"/>
        <w:szCs w:val="20"/>
      </w:rPr>
      <w:tab/>
    </w:r>
  </w:p>
  <w:p w14:paraId="1F4CFD85" w14:textId="77777777" w:rsidR="00A5485C" w:rsidRDefault="00A5485C" w:rsidP="00A5485C">
    <w:pPr>
      <w:pStyle w:val="Header"/>
      <w:rPr>
        <w:color w:val="2C3C43" w:themeColor="text2"/>
        <w:sz w:val="20"/>
        <w:szCs w:val="20"/>
      </w:rPr>
    </w:pPr>
  </w:p>
  <w:p w14:paraId="67A69E1F" w14:textId="77777777" w:rsidR="00A5485C" w:rsidRPr="00000E12" w:rsidRDefault="00A5485C" w:rsidP="00A5485C">
    <w:pPr>
      <w:pStyle w:val="Header"/>
    </w:pPr>
    <w:r>
      <w:rPr>
        <w:color w:val="2C3C43" w:themeColor="text2"/>
        <w:sz w:val="20"/>
        <w:szCs w:val="20"/>
      </w:rPr>
      <w:tab/>
    </w:r>
    <w:r>
      <w:rPr>
        <w:color w:val="2C3C43" w:themeColor="text2"/>
        <w:sz w:val="20"/>
        <w:szCs w:val="20"/>
      </w:rPr>
      <w:tab/>
      <w:t>Floor &amp; Decor | L.E.K. Consulting LLC</w:t>
    </w:r>
  </w:p>
  <w:p w14:paraId="7E0CFE0C" w14:textId="77777777" w:rsidR="00A5485C" w:rsidRDefault="00A5485C" w:rsidP="00A5485C">
    <w:pPr>
      <w:pStyle w:val="Header"/>
      <w:pBdr>
        <w:bottom w:val="single" w:sz="4" w:space="1" w:color="00973A" w:themeColor="accent3"/>
      </w:pBdr>
      <w:rPr>
        <w:color w:val="2C3C43" w:themeColor="text2"/>
      </w:rPr>
    </w:pPr>
  </w:p>
  <w:p w14:paraId="7D1B3353" w14:textId="77777777" w:rsidR="00A5485C" w:rsidRDefault="00A548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3D6"/>
    <w:multiLevelType w:val="hybridMultilevel"/>
    <w:tmpl w:val="6BF2BA3A"/>
    <w:lvl w:ilvl="0" w:tplc="D73A4A14">
      <w:start w:val="1"/>
      <w:numFmt w:val="bullet"/>
      <w:lvlText w:val="•"/>
      <w:lvlJc w:val="left"/>
      <w:rPr>
        <w:rFonts w:ascii="Arial" w:hAnsi="Arial" w:hint="default"/>
        <w:b w:val="0"/>
        <w:i w:val="0"/>
        <w:color w:val="00973A" w:themeColor="accent3"/>
        <w:spacing w:val="0"/>
        <w:w w:val="100"/>
        <w:kern w:val="0"/>
        <w:position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50F"/>
    <w:multiLevelType w:val="multilevel"/>
    <w:tmpl w:val="3B1C33DE"/>
    <w:styleLink w:val="Style4"/>
    <w:lvl w:ilvl="0">
      <w:start w:val="1"/>
      <w:numFmt w:val="bullet"/>
      <w:lvlText w:val="–"/>
      <w:lvlJc w:val="left"/>
      <w:pPr>
        <w:ind w:left="288" w:firstLine="288"/>
      </w:pPr>
      <w:rPr>
        <w:rFonts w:ascii="Adobe Devanagari" w:hAnsi="Adobe Devanagari" w:hint="default"/>
        <w:color w:val="00B852" w:themeColor="accent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asciiTheme="minorHAnsi" w:hAnsiTheme="minorHAnsi"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11035C7B"/>
    <w:multiLevelType w:val="multilevel"/>
    <w:tmpl w:val="A50AFDF6"/>
    <w:styleLink w:val="Style9"/>
    <w:lvl w:ilvl="0">
      <w:start w:val="1"/>
      <w:numFmt w:val="decimal"/>
      <w:lvlText w:val="%1."/>
      <w:lvlJc w:val="left"/>
      <w:pPr>
        <w:ind w:left="504" w:hanging="504"/>
      </w:pPr>
      <w:rPr>
        <w:rFonts w:hint="default"/>
        <w:b/>
        <w:i w:val="0"/>
        <w:color w:val="auto"/>
        <w:spacing w:val="0"/>
        <w:w w:val="100"/>
        <w:kern w:val="0"/>
        <w:position w:val="0"/>
        <w:sz w:val="28"/>
        <w:szCs w:val="18"/>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2306C0C"/>
    <w:multiLevelType w:val="multilevel"/>
    <w:tmpl w:val="A80A0782"/>
    <w:styleLink w:val="Style12"/>
    <w:lvl w:ilvl="0">
      <w:start w:val="1"/>
      <w:numFmt w:val="decimal"/>
      <w:lvlText w:val="%1."/>
      <w:lvlJc w:val="left"/>
      <w:pPr>
        <w:ind w:left="360" w:hanging="360"/>
      </w:pPr>
      <w:rPr>
        <w:rFonts w:hint="default"/>
        <w:b/>
        <w:i w:val="0"/>
        <w:color w:val="50575C"/>
        <w:spacing w:val="0"/>
        <w:w w:val="100"/>
        <w:kern w:val="0"/>
        <w:position w:val="0"/>
        <w:sz w:val="28"/>
        <w:szCs w:val="18"/>
        <w:u w:val="none" w:color="50575C"/>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C72F06"/>
    <w:multiLevelType w:val="multilevel"/>
    <w:tmpl w:val="F2A8A696"/>
    <w:styleLink w:val="Style11"/>
    <w:lvl w:ilvl="0">
      <w:start w:val="1"/>
      <w:numFmt w:val="decimal"/>
      <w:lvlText w:val="%1."/>
      <w:lvlJc w:val="left"/>
      <w:pPr>
        <w:ind w:left="360" w:hanging="360"/>
      </w:pPr>
      <w:rPr>
        <w:rFonts w:hint="default"/>
        <w:color w:val="50575C"/>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13A23"/>
    <w:multiLevelType w:val="multilevel"/>
    <w:tmpl w:val="7E946B70"/>
    <w:styleLink w:val="Style8"/>
    <w:lvl w:ilvl="0">
      <w:start w:val="1"/>
      <w:numFmt w:val="bullet"/>
      <w:pStyle w:val="F6Bullet2"/>
      <w:lvlText w:val="•"/>
      <w:lvlJc w:val="left"/>
      <w:pPr>
        <w:ind w:left="288" w:hanging="288"/>
      </w:pPr>
      <w:rPr>
        <w:rFonts w:ascii="Arial" w:hAnsi="Arial" w:hint="default"/>
        <w:color w:val="00973A" w:themeColor="accent3"/>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391C94"/>
    <w:multiLevelType w:val="multilevel"/>
    <w:tmpl w:val="C7D0FB74"/>
    <w:numStyleLink w:val="Style10"/>
  </w:abstractNum>
  <w:abstractNum w:abstractNumId="7" w15:restartNumberingAfterBreak="0">
    <w:nsid w:val="2027250E"/>
    <w:multiLevelType w:val="hybridMultilevel"/>
    <w:tmpl w:val="0EE60AE4"/>
    <w:lvl w:ilvl="0" w:tplc="0C66E6A0">
      <w:start w:val="1"/>
      <w:numFmt w:val="bullet"/>
      <w:pStyle w:val="F5Bullet1"/>
      <w:lvlText w:val="&gt;"/>
      <w:lvlJc w:val="left"/>
      <w:rPr>
        <w:rFonts w:ascii="Arial" w:hAnsi="Arial" w:hint="default"/>
        <w:color w:val="00973A"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2237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61767AB"/>
    <w:multiLevelType w:val="multilevel"/>
    <w:tmpl w:val="ECBA2858"/>
    <w:styleLink w:val="Style6"/>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DEC6809"/>
    <w:multiLevelType w:val="multilevel"/>
    <w:tmpl w:val="A80A0782"/>
    <w:numStyleLink w:val="Style12"/>
  </w:abstractNum>
  <w:abstractNum w:abstractNumId="11" w15:restartNumberingAfterBreak="0">
    <w:nsid w:val="30921C08"/>
    <w:multiLevelType w:val="multilevel"/>
    <w:tmpl w:val="F2A8A696"/>
    <w:numStyleLink w:val="Style11"/>
  </w:abstractNum>
  <w:abstractNum w:abstractNumId="12" w15:restartNumberingAfterBreak="0">
    <w:nsid w:val="36580F7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9B64C87"/>
    <w:multiLevelType w:val="multilevel"/>
    <w:tmpl w:val="734C93EC"/>
    <w:numStyleLink w:val="Style2"/>
  </w:abstractNum>
  <w:abstractNum w:abstractNumId="14" w15:restartNumberingAfterBreak="0">
    <w:nsid w:val="3CEF552F"/>
    <w:multiLevelType w:val="multilevel"/>
    <w:tmpl w:val="E9A29610"/>
    <w:styleLink w:val="Style1"/>
    <w:lvl w:ilvl="0">
      <w:start w:val="1"/>
      <w:numFmt w:val="bullet"/>
      <w:lvlText w:val="&gt;"/>
      <w:lvlJc w:val="left"/>
      <w:pPr>
        <w:ind w:left="288" w:hanging="288"/>
      </w:pPr>
      <w:rPr>
        <w:rFonts w:ascii="Arial" w:hAnsi="Arial" w:hint="default"/>
        <w:color w:val="00973A" w:themeColor="accent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D4D71BE"/>
    <w:multiLevelType w:val="multilevel"/>
    <w:tmpl w:val="B09AB4E4"/>
    <w:lvl w:ilvl="0">
      <w:numFmt w:val="bullet"/>
      <w:lvlText w:val="–"/>
      <w:lvlJc w:val="left"/>
      <w:pPr>
        <w:ind w:left="360"/>
      </w:pPr>
      <w:rPr>
        <w:rFonts w:ascii="Adobe Devanagari" w:hAnsi="Adobe Devanagari" w:hint="default"/>
        <w:b w:val="0"/>
        <w:i w:val="0"/>
        <w:color w:val="00B852" w:themeColor="accent2"/>
        <w:spacing w:val="0"/>
        <w:w w:val="100"/>
        <w:kern w:val="0"/>
        <w:position w:val="0"/>
        <w:sz w:val="22"/>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3B544D7"/>
    <w:multiLevelType w:val="multilevel"/>
    <w:tmpl w:val="734C93EC"/>
    <w:styleLink w:val="Style2"/>
    <w:lvl w:ilvl="0">
      <w:start w:val="1"/>
      <w:numFmt w:val="bullet"/>
      <w:suff w:val="nothing"/>
      <w:lvlText w:val="•"/>
      <w:lvlJc w:val="left"/>
      <w:pPr>
        <w:ind w:left="288" w:firstLine="0"/>
      </w:pPr>
      <w:rPr>
        <w:rFonts w:ascii="Arial" w:hAnsi="Arial" w:hint="default"/>
        <w:b w:val="0"/>
        <w:i w:val="0"/>
        <w:color w:val="00973A" w:themeColor="accent3"/>
        <w:spacing w:val="0"/>
        <w:w w:val="100"/>
        <w:kern w:val="0"/>
        <w:position w:val="0"/>
        <w:sz w:val="22"/>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590699A"/>
    <w:multiLevelType w:val="multilevel"/>
    <w:tmpl w:val="6BF2BA3A"/>
    <w:lvl w:ilvl="0">
      <w:start w:val="1"/>
      <w:numFmt w:val="bullet"/>
      <w:lvlText w:val="•"/>
      <w:lvlJc w:val="left"/>
      <w:rPr>
        <w:rFonts w:ascii="Arial" w:hAnsi="Arial" w:hint="default"/>
        <w:b w:val="0"/>
        <w:i w:val="0"/>
        <w:color w:val="00973A" w:themeColor="accent3"/>
        <w:spacing w:val="0"/>
        <w:w w:val="100"/>
        <w:kern w:val="0"/>
        <w:position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B1A712E"/>
    <w:multiLevelType w:val="multilevel"/>
    <w:tmpl w:val="60621E88"/>
    <w:lvl w:ilvl="0">
      <w:start w:val="1"/>
      <w:numFmt w:val="lowerLetter"/>
      <w:pStyle w:val="F8LetterList"/>
      <w:lvlText w:val="(%1)"/>
      <w:lvlJc w:val="left"/>
      <w:pPr>
        <w:tabs>
          <w:tab w:val="num" w:pos="2160"/>
        </w:tabs>
        <w:ind w:left="576" w:hanging="576"/>
      </w:pPr>
      <w:rPr>
        <w:rFonts w:ascii="Arial" w:hAnsi="Arial" w:hint="default"/>
        <w:b w:val="0"/>
        <w:i w:val="0"/>
        <w:sz w:val="2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B747211"/>
    <w:multiLevelType w:val="multilevel"/>
    <w:tmpl w:val="C7D0FB74"/>
    <w:styleLink w:val="Style10"/>
    <w:lvl w:ilvl="0">
      <w:start w:val="1"/>
      <w:numFmt w:val="decimal"/>
      <w:pStyle w:val="HeadingNumbered14ptGREEN"/>
      <w:lvlText w:val="%1."/>
      <w:lvlJc w:val="left"/>
      <w:pPr>
        <w:ind w:left="360" w:hanging="360"/>
      </w:pPr>
      <w:rPr>
        <w:rFonts w:ascii="Arial" w:hAnsi="Arial" w:hint="default"/>
        <w:color w:val="00973A"/>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CA05FA0"/>
    <w:multiLevelType w:val="multilevel"/>
    <w:tmpl w:val="96F26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E75592"/>
    <w:multiLevelType w:val="multilevel"/>
    <w:tmpl w:val="47562774"/>
    <w:styleLink w:val="Style7"/>
    <w:lvl w:ilvl="0">
      <w:start w:val="1"/>
      <w:numFmt w:val="bullet"/>
      <w:pStyle w:val="F7Bullet3"/>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A554404"/>
    <w:multiLevelType w:val="singleLevel"/>
    <w:tmpl w:val="6A84C7E2"/>
    <w:lvl w:ilvl="0">
      <w:start w:val="1"/>
      <w:numFmt w:val="decimal"/>
      <w:pStyle w:val="HeadingNumbered14ptGREY"/>
      <w:lvlText w:val="%1."/>
      <w:lvlJc w:val="left"/>
      <w:pPr>
        <w:ind w:left="360" w:hanging="360"/>
      </w:pPr>
      <w:rPr>
        <w:rFonts w:hint="default"/>
        <w:b/>
        <w:i w:val="0"/>
        <w:color w:val="auto"/>
        <w:spacing w:val="0"/>
        <w:w w:val="100"/>
        <w:kern w:val="0"/>
        <w:position w:val="0"/>
        <w:sz w:val="28"/>
        <w:szCs w:val="18"/>
        <w:u w:color="50575C"/>
      </w:rPr>
    </w:lvl>
  </w:abstractNum>
  <w:abstractNum w:abstractNumId="23" w15:restartNumberingAfterBreak="0">
    <w:nsid w:val="721140BF"/>
    <w:multiLevelType w:val="multilevel"/>
    <w:tmpl w:val="F10038BE"/>
    <w:styleLink w:val="Style3"/>
    <w:lvl w:ilvl="0">
      <w:start w:val="1"/>
      <w:numFmt w:val="bullet"/>
      <w:lvlText w:val="–"/>
      <w:lvlJc w:val="left"/>
      <w:pPr>
        <w:ind w:left="288" w:firstLine="288"/>
      </w:pPr>
      <w:rPr>
        <w:rFonts w:ascii="Adobe Devanagari" w:hAnsi="Adobe Devanagari"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772C32C8"/>
    <w:multiLevelType w:val="multilevel"/>
    <w:tmpl w:val="DE5C1F02"/>
    <w:styleLink w:val="Style5"/>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19761624">
    <w:abstractNumId w:val="7"/>
  </w:num>
  <w:num w:numId="2" w16cid:durableId="1855533005">
    <w:abstractNumId w:val="0"/>
  </w:num>
  <w:num w:numId="3" w16cid:durableId="408187487">
    <w:abstractNumId w:val="15"/>
  </w:num>
  <w:num w:numId="4" w16cid:durableId="1767074898">
    <w:abstractNumId w:val="22"/>
  </w:num>
  <w:num w:numId="5" w16cid:durableId="1200044264">
    <w:abstractNumId w:val="18"/>
  </w:num>
  <w:num w:numId="6" w16cid:durableId="1761949360">
    <w:abstractNumId w:val="7"/>
  </w:num>
  <w:num w:numId="7" w16cid:durableId="1827939239">
    <w:abstractNumId w:val="0"/>
  </w:num>
  <w:num w:numId="8" w16cid:durableId="252205418">
    <w:abstractNumId w:val="15"/>
  </w:num>
  <w:num w:numId="9" w16cid:durableId="1227717382">
    <w:abstractNumId w:val="22"/>
  </w:num>
  <w:num w:numId="10" w16cid:durableId="876507383">
    <w:abstractNumId w:val="22"/>
  </w:num>
  <w:num w:numId="11" w16cid:durableId="1224680778">
    <w:abstractNumId w:val="18"/>
  </w:num>
  <w:num w:numId="12" w16cid:durableId="951549299">
    <w:abstractNumId w:val="14"/>
  </w:num>
  <w:num w:numId="13" w16cid:durableId="364183706">
    <w:abstractNumId w:val="16"/>
  </w:num>
  <w:num w:numId="14" w16cid:durableId="1022709109">
    <w:abstractNumId w:val="1"/>
  </w:num>
  <w:num w:numId="15" w16cid:durableId="1324969570">
    <w:abstractNumId w:val="23"/>
  </w:num>
  <w:num w:numId="16" w16cid:durableId="646129666">
    <w:abstractNumId w:val="8"/>
  </w:num>
  <w:num w:numId="17" w16cid:durableId="179778632">
    <w:abstractNumId w:val="24"/>
  </w:num>
  <w:num w:numId="18" w16cid:durableId="1250119667">
    <w:abstractNumId w:val="9"/>
  </w:num>
  <w:num w:numId="19" w16cid:durableId="1778284911">
    <w:abstractNumId w:val="21"/>
  </w:num>
  <w:num w:numId="20" w16cid:durableId="260770308">
    <w:abstractNumId w:val="0"/>
  </w:num>
  <w:num w:numId="21" w16cid:durableId="1120805214">
    <w:abstractNumId w:val="17"/>
  </w:num>
  <w:num w:numId="22" w16cid:durableId="1232546210">
    <w:abstractNumId w:val="13"/>
  </w:num>
  <w:num w:numId="23" w16cid:durableId="870069324">
    <w:abstractNumId w:val="5"/>
  </w:num>
  <w:num w:numId="24" w16cid:durableId="1707165">
    <w:abstractNumId w:val="12"/>
  </w:num>
  <w:num w:numId="25" w16cid:durableId="2001040194">
    <w:abstractNumId w:val="7"/>
  </w:num>
  <w:num w:numId="26" w16cid:durableId="1707683345">
    <w:abstractNumId w:val="22"/>
    <w:lvlOverride w:ilvl="0">
      <w:startOverride w:val="1"/>
    </w:lvlOverride>
  </w:num>
  <w:num w:numId="27" w16cid:durableId="668217070">
    <w:abstractNumId w:val="22"/>
    <w:lvlOverride w:ilvl="0">
      <w:startOverride w:val="1"/>
    </w:lvlOverride>
  </w:num>
  <w:num w:numId="28" w16cid:durableId="1378048557">
    <w:abstractNumId w:val="22"/>
  </w:num>
  <w:num w:numId="29" w16cid:durableId="2090611365">
    <w:abstractNumId w:val="22"/>
  </w:num>
  <w:num w:numId="30" w16cid:durableId="686173282">
    <w:abstractNumId w:val="2"/>
  </w:num>
  <w:num w:numId="31" w16cid:durableId="2091804185">
    <w:abstractNumId w:val="19"/>
  </w:num>
  <w:num w:numId="32" w16cid:durableId="238638617">
    <w:abstractNumId w:val="6"/>
  </w:num>
  <w:num w:numId="33" w16cid:durableId="154077346">
    <w:abstractNumId w:val="4"/>
  </w:num>
  <w:num w:numId="34" w16cid:durableId="198662026">
    <w:abstractNumId w:val="11"/>
  </w:num>
  <w:num w:numId="35" w16cid:durableId="1712341158">
    <w:abstractNumId w:val="3"/>
  </w:num>
  <w:num w:numId="36" w16cid:durableId="2136875022">
    <w:abstractNumId w:val="10"/>
  </w:num>
  <w:num w:numId="37" w16cid:durableId="19110394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5C"/>
    <w:rsid w:val="000A16CA"/>
    <w:rsid w:val="000E2E43"/>
    <w:rsid w:val="001221D1"/>
    <w:rsid w:val="001A358F"/>
    <w:rsid w:val="001B0932"/>
    <w:rsid w:val="001C7040"/>
    <w:rsid w:val="00222336"/>
    <w:rsid w:val="002553F2"/>
    <w:rsid w:val="00284E01"/>
    <w:rsid w:val="00316162"/>
    <w:rsid w:val="00323894"/>
    <w:rsid w:val="00361B9C"/>
    <w:rsid w:val="00383F0B"/>
    <w:rsid w:val="003B4AA9"/>
    <w:rsid w:val="003F6B52"/>
    <w:rsid w:val="00422023"/>
    <w:rsid w:val="00427955"/>
    <w:rsid w:val="0043182E"/>
    <w:rsid w:val="00493C0D"/>
    <w:rsid w:val="004F35EF"/>
    <w:rsid w:val="00502329"/>
    <w:rsid w:val="005123F2"/>
    <w:rsid w:val="005348AB"/>
    <w:rsid w:val="005444C3"/>
    <w:rsid w:val="00547B65"/>
    <w:rsid w:val="00547D82"/>
    <w:rsid w:val="00561362"/>
    <w:rsid w:val="00582119"/>
    <w:rsid w:val="005C2B1F"/>
    <w:rsid w:val="00601447"/>
    <w:rsid w:val="0062664B"/>
    <w:rsid w:val="00686739"/>
    <w:rsid w:val="006930F3"/>
    <w:rsid w:val="006D420D"/>
    <w:rsid w:val="00701E4D"/>
    <w:rsid w:val="007C43A6"/>
    <w:rsid w:val="007D4499"/>
    <w:rsid w:val="007D5561"/>
    <w:rsid w:val="007E6706"/>
    <w:rsid w:val="00830B22"/>
    <w:rsid w:val="00842169"/>
    <w:rsid w:val="00886DF1"/>
    <w:rsid w:val="009014DA"/>
    <w:rsid w:val="00921C38"/>
    <w:rsid w:val="009720C0"/>
    <w:rsid w:val="009744DD"/>
    <w:rsid w:val="009E11DF"/>
    <w:rsid w:val="00A5485C"/>
    <w:rsid w:val="00A602D9"/>
    <w:rsid w:val="00A75206"/>
    <w:rsid w:val="00A96AAC"/>
    <w:rsid w:val="00B62598"/>
    <w:rsid w:val="00CA7AE2"/>
    <w:rsid w:val="00D10A41"/>
    <w:rsid w:val="00D34B87"/>
    <w:rsid w:val="00D6257A"/>
    <w:rsid w:val="00DD0C70"/>
    <w:rsid w:val="00E16C8C"/>
    <w:rsid w:val="00FB6BCF"/>
    <w:rsid w:val="00FF4455"/>
    <w:rsid w:val="00FF4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5DC728"/>
  <w15:chartTrackingRefBased/>
  <w15:docId w15:val="{E7B6DE9F-F28F-4562-BE11-6D0F265F5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lsdException w:name="heading 3" w:semiHidden="1" w:uiPriority="0" w:unhideWhenUsed="1"/>
    <w:lsdException w:name="heading 4" w:semiHidden="1" w:uiPriority="3" w:unhideWhenUsed="1"/>
    <w:lsdException w:name="heading 5" w:semiHidden="1" w:uiPriority="3" w:unhideWhenUsed="1" w:qFormat="1"/>
    <w:lsdException w:name="heading 6" w:semiHidden="1" w:uiPriority="3"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85C"/>
  </w:style>
  <w:style w:type="paragraph" w:styleId="Heading1">
    <w:name w:val="heading 1"/>
    <w:next w:val="F2Body"/>
    <w:link w:val="Heading1Char"/>
    <w:qFormat/>
    <w:rsid w:val="003F6B52"/>
    <w:pPr>
      <w:spacing w:before="240" w:after="120" w:line="276" w:lineRule="auto"/>
      <w:outlineLvl w:val="0"/>
    </w:pPr>
    <w:rPr>
      <w:rFonts w:ascii="Arial Bold" w:hAnsi="Arial Bold"/>
      <w:b/>
      <w:bCs/>
      <w:color w:val="50575C"/>
      <w:sz w:val="36"/>
      <w:szCs w:val="24"/>
    </w:rPr>
  </w:style>
  <w:style w:type="paragraph" w:styleId="Heading2">
    <w:name w:val="heading 2"/>
    <w:next w:val="F2Body"/>
    <w:link w:val="Heading2Char"/>
    <w:unhideWhenUsed/>
    <w:rsid w:val="00D6257A"/>
    <w:pPr>
      <w:spacing w:before="120" w:after="120" w:line="276" w:lineRule="auto"/>
      <w:outlineLvl w:val="1"/>
    </w:pPr>
    <w:rPr>
      <w:rFonts w:ascii="Arial Bold" w:hAnsi="Arial Bold"/>
      <w:b/>
      <w:bCs/>
      <w:color w:val="50575C"/>
      <w:sz w:val="28"/>
      <w:szCs w:val="28"/>
    </w:rPr>
  </w:style>
  <w:style w:type="paragraph" w:styleId="Heading3">
    <w:name w:val="heading 3"/>
    <w:next w:val="F2Body"/>
    <w:link w:val="Heading3Char"/>
    <w:unhideWhenUsed/>
    <w:rsid w:val="00D6257A"/>
    <w:pPr>
      <w:spacing w:before="120" w:after="40" w:line="276" w:lineRule="auto"/>
      <w:outlineLvl w:val="2"/>
    </w:pPr>
    <w:rPr>
      <w:rFonts w:ascii="Arial Bold" w:hAnsi="Arial Bold"/>
      <w:b/>
      <w:bCs/>
      <w:color w:val="50575C"/>
      <w:sz w:val="24"/>
      <w:szCs w:val="28"/>
    </w:rPr>
  </w:style>
  <w:style w:type="paragraph" w:styleId="Heading4">
    <w:name w:val="heading 4"/>
    <w:next w:val="F2Body"/>
    <w:link w:val="Heading4Char"/>
    <w:uiPriority w:val="3"/>
    <w:unhideWhenUsed/>
    <w:rsid w:val="00D6257A"/>
    <w:pPr>
      <w:spacing w:before="120" w:after="40" w:line="276" w:lineRule="auto"/>
      <w:outlineLvl w:val="3"/>
    </w:pPr>
    <w:rPr>
      <w:rFonts w:ascii="Arial" w:hAnsi="Arial"/>
      <w:b/>
      <w:bCs/>
      <w:color w:val="50575C"/>
    </w:rPr>
  </w:style>
  <w:style w:type="paragraph" w:styleId="Heading5">
    <w:name w:val="heading 5"/>
    <w:next w:val="F2Body"/>
    <w:link w:val="Heading5Char"/>
    <w:uiPriority w:val="3"/>
    <w:unhideWhenUsed/>
    <w:rsid w:val="00D6257A"/>
    <w:pPr>
      <w:spacing w:before="240" w:after="60" w:line="276" w:lineRule="auto"/>
      <w:outlineLvl w:val="4"/>
    </w:pPr>
    <w:rPr>
      <w:rFonts w:ascii="Arial" w:hAnsi="Arial"/>
      <w:b/>
      <w:bCs/>
      <w:i/>
      <w:color w:val="50575C"/>
      <w:szCs w:val="28"/>
    </w:rPr>
  </w:style>
  <w:style w:type="paragraph" w:styleId="Heading6">
    <w:name w:val="heading 6"/>
    <w:next w:val="F2Body"/>
    <w:link w:val="Heading6Char"/>
    <w:uiPriority w:val="3"/>
    <w:unhideWhenUsed/>
    <w:rsid w:val="00D6257A"/>
    <w:pPr>
      <w:outlineLvl w:val="5"/>
    </w:pPr>
    <w:rPr>
      <w:rFonts w:ascii="Arial Bold" w:hAnsi="Arial Bold"/>
      <w:b/>
      <w:bCs/>
      <w:color w:val="00973A" w:themeColor="accent3"/>
      <w:sz w:val="28"/>
    </w:rPr>
  </w:style>
  <w:style w:type="paragraph" w:styleId="Heading7">
    <w:name w:val="heading 7"/>
    <w:next w:val="F2Body"/>
    <w:link w:val="Heading7Char"/>
    <w:uiPriority w:val="9"/>
    <w:semiHidden/>
    <w:unhideWhenUsed/>
    <w:rsid w:val="00D6257A"/>
    <w:pPr>
      <w:keepNext/>
      <w:keepLines/>
      <w:spacing w:before="40" w:after="0"/>
      <w:outlineLvl w:val="6"/>
    </w:pPr>
    <w:rPr>
      <w:rFonts w:asciiTheme="majorHAnsi" w:eastAsiaTheme="majorEastAsia" w:hAnsiTheme="majorHAnsi" w:cstheme="majorBidi"/>
      <w:b/>
      <w:iCs/>
      <w:color w:val="00973A" w:themeColor="accent3"/>
      <w:sz w:val="24"/>
    </w:rPr>
  </w:style>
  <w:style w:type="paragraph" w:styleId="Heading8">
    <w:name w:val="heading 8"/>
    <w:basedOn w:val="Normal"/>
    <w:next w:val="Normal"/>
    <w:link w:val="Heading8Char"/>
    <w:uiPriority w:val="9"/>
    <w:semiHidden/>
    <w:unhideWhenUsed/>
    <w:qFormat/>
    <w:rsid w:val="00A548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8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9">
    <w:name w:val="Style9"/>
    <w:uiPriority w:val="99"/>
    <w:rsid w:val="006D420D"/>
    <w:pPr>
      <w:numPr>
        <w:numId w:val="30"/>
      </w:numPr>
    </w:pPr>
  </w:style>
  <w:style w:type="paragraph" w:customStyle="1" w:styleId="HeadingNumbered14ptGREEN">
    <w:name w:val="Heading Numbered 14pt GREEN"/>
    <w:next w:val="F2Body"/>
    <w:qFormat/>
    <w:rsid w:val="00D6257A"/>
    <w:pPr>
      <w:numPr>
        <w:numId w:val="32"/>
      </w:numPr>
      <w:ind w:left="504" w:hanging="504"/>
    </w:pPr>
    <w:rPr>
      <w:rFonts w:ascii="Arial" w:hAnsi="Arial"/>
      <w:b/>
      <w:bCs/>
      <w:color w:val="00973A"/>
      <w:sz w:val="28"/>
      <w:szCs w:val="24"/>
    </w:rPr>
  </w:style>
  <w:style w:type="numbering" w:customStyle="1" w:styleId="Style10">
    <w:name w:val="Style10"/>
    <w:uiPriority w:val="99"/>
    <w:rsid w:val="006D420D"/>
    <w:pPr>
      <w:numPr>
        <w:numId w:val="31"/>
      </w:numPr>
    </w:pPr>
  </w:style>
  <w:style w:type="paragraph" w:customStyle="1" w:styleId="F6Bullet2">
    <w:name w:val="F6 Bullet 2"/>
    <w:link w:val="F6Bullet2Char"/>
    <w:uiPriority w:val="2"/>
    <w:qFormat/>
    <w:rsid w:val="003F6B52"/>
    <w:pPr>
      <w:numPr>
        <w:numId w:val="23"/>
      </w:numPr>
      <w:spacing w:before="60" w:after="60" w:line="240" w:lineRule="auto"/>
      <w:ind w:left="576"/>
    </w:pPr>
    <w:rPr>
      <w:rFonts w:ascii="Arial" w:hAnsi="Arial"/>
    </w:rPr>
  </w:style>
  <w:style w:type="character" w:customStyle="1" w:styleId="F6Bullet2Char">
    <w:name w:val="F6 Bullet 2 Char"/>
    <w:basedOn w:val="DefaultParagraphFont"/>
    <w:link w:val="F6Bullet2"/>
    <w:uiPriority w:val="2"/>
    <w:rsid w:val="003F6B52"/>
    <w:rPr>
      <w:rFonts w:ascii="Arial" w:hAnsi="Arial"/>
    </w:rPr>
  </w:style>
  <w:style w:type="paragraph" w:customStyle="1" w:styleId="F7Bullet3">
    <w:name w:val="F7 Bullet 3"/>
    <w:link w:val="F7Bullet3Char"/>
    <w:uiPriority w:val="2"/>
    <w:qFormat/>
    <w:rsid w:val="003F6B52"/>
    <w:pPr>
      <w:numPr>
        <w:numId w:val="19"/>
      </w:numPr>
      <w:spacing w:before="60" w:after="60" w:line="240" w:lineRule="auto"/>
      <w:ind w:left="864" w:hanging="288"/>
    </w:pPr>
    <w:rPr>
      <w:rFonts w:ascii="Arial" w:hAnsi="Arial"/>
    </w:rPr>
  </w:style>
  <w:style w:type="character" w:customStyle="1" w:styleId="F7Bullet3Char">
    <w:name w:val="F7 Bullet 3 Char"/>
    <w:basedOn w:val="DefaultParagraphFont"/>
    <w:link w:val="F7Bullet3"/>
    <w:uiPriority w:val="2"/>
    <w:rsid w:val="003F6B52"/>
    <w:rPr>
      <w:rFonts w:ascii="Arial" w:hAnsi="Arial"/>
    </w:rPr>
  </w:style>
  <w:style w:type="character" w:customStyle="1" w:styleId="Heading1Char">
    <w:name w:val="Heading 1 Char"/>
    <w:basedOn w:val="DefaultParagraphFont"/>
    <w:link w:val="Heading1"/>
    <w:rsid w:val="003F6B52"/>
    <w:rPr>
      <w:rFonts w:ascii="Arial Bold" w:hAnsi="Arial Bold"/>
      <w:b/>
      <w:bCs/>
      <w:color w:val="50575C"/>
      <w:sz w:val="36"/>
      <w:szCs w:val="24"/>
    </w:rPr>
  </w:style>
  <w:style w:type="paragraph" w:customStyle="1" w:styleId="F9Quote">
    <w:name w:val="F9 Quote"/>
    <w:next w:val="F2Body"/>
    <w:qFormat/>
    <w:rsid w:val="003F6B52"/>
    <w:pPr>
      <w:spacing w:before="120" w:after="120" w:line="276" w:lineRule="auto"/>
      <w:ind w:left="1440" w:right="1440"/>
    </w:pPr>
    <w:rPr>
      <w:i/>
    </w:rPr>
  </w:style>
  <w:style w:type="paragraph" w:customStyle="1" w:styleId="F8LetterList">
    <w:name w:val="F8 Letter List"/>
    <w:qFormat/>
    <w:rsid w:val="001221D1"/>
    <w:pPr>
      <w:numPr>
        <w:numId w:val="11"/>
      </w:numPr>
      <w:spacing w:before="60" w:after="60" w:line="276" w:lineRule="auto"/>
    </w:pPr>
    <w:rPr>
      <w:rFonts w:eastAsia="Times New Roman" w:cs="Times New Roman"/>
      <w:bCs/>
      <w:lang w:eastAsia="en-GB"/>
    </w:rPr>
  </w:style>
  <w:style w:type="character" w:customStyle="1" w:styleId="Heading7Char">
    <w:name w:val="Heading 7 Char"/>
    <w:basedOn w:val="DefaultParagraphFont"/>
    <w:link w:val="Heading7"/>
    <w:uiPriority w:val="9"/>
    <w:semiHidden/>
    <w:rsid w:val="00D6257A"/>
    <w:rPr>
      <w:rFonts w:asciiTheme="majorHAnsi" w:eastAsiaTheme="majorEastAsia" w:hAnsiTheme="majorHAnsi" w:cstheme="majorBidi"/>
      <w:b/>
      <w:iCs/>
      <w:color w:val="00973A" w:themeColor="accent3"/>
      <w:sz w:val="24"/>
    </w:rPr>
  </w:style>
  <w:style w:type="character" w:customStyle="1" w:styleId="Heading2Char">
    <w:name w:val="Heading 2 Char"/>
    <w:basedOn w:val="DefaultParagraphFont"/>
    <w:link w:val="Heading2"/>
    <w:rsid w:val="00D6257A"/>
    <w:rPr>
      <w:rFonts w:ascii="Arial Bold" w:hAnsi="Arial Bold"/>
      <w:b/>
      <w:bCs/>
      <w:color w:val="50575C"/>
      <w:sz w:val="28"/>
      <w:szCs w:val="28"/>
    </w:rPr>
  </w:style>
  <w:style w:type="character" w:customStyle="1" w:styleId="Heading3Char">
    <w:name w:val="Heading 3 Char"/>
    <w:basedOn w:val="DefaultParagraphFont"/>
    <w:link w:val="Heading3"/>
    <w:rsid w:val="00D6257A"/>
    <w:rPr>
      <w:rFonts w:ascii="Arial Bold" w:hAnsi="Arial Bold"/>
      <w:b/>
      <w:bCs/>
      <w:color w:val="50575C"/>
      <w:sz w:val="24"/>
      <w:szCs w:val="28"/>
    </w:rPr>
  </w:style>
  <w:style w:type="character" w:customStyle="1" w:styleId="Heading4Char">
    <w:name w:val="Heading 4 Char"/>
    <w:basedOn w:val="DefaultParagraphFont"/>
    <w:link w:val="Heading4"/>
    <w:uiPriority w:val="3"/>
    <w:rsid w:val="00D6257A"/>
    <w:rPr>
      <w:rFonts w:ascii="Arial" w:hAnsi="Arial"/>
      <w:b/>
      <w:bCs/>
      <w:color w:val="50575C"/>
    </w:rPr>
  </w:style>
  <w:style w:type="character" w:customStyle="1" w:styleId="Heading5Char">
    <w:name w:val="Heading 5 Char"/>
    <w:basedOn w:val="DefaultParagraphFont"/>
    <w:link w:val="Heading5"/>
    <w:uiPriority w:val="3"/>
    <w:rsid w:val="00D6257A"/>
    <w:rPr>
      <w:rFonts w:ascii="Arial" w:hAnsi="Arial"/>
      <w:b/>
      <w:bCs/>
      <w:i/>
      <w:color w:val="50575C"/>
      <w:szCs w:val="28"/>
    </w:rPr>
  </w:style>
  <w:style w:type="character" w:customStyle="1" w:styleId="Heading6Char">
    <w:name w:val="Heading 6 Char"/>
    <w:basedOn w:val="DefaultParagraphFont"/>
    <w:link w:val="Heading6"/>
    <w:uiPriority w:val="3"/>
    <w:rsid w:val="00D6257A"/>
    <w:rPr>
      <w:rFonts w:ascii="Arial Bold" w:hAnsi="Arial Bold"/>
      <w:b/>
      <w:bCs/>
      <w:color w:val="00973A" w:themeColor="accent3"/>
      <w:sz w:val="28"/>
    </w:rPr>
  </w:style>
  <w:style w:type="paragraph" w:customStyle="1" w:styleId="F2Body">
    <w:name w:val="F2 Body"/>
    <w:qFormat/>
    <w:rsid w:val="00493C0D"/>
    <w:pPr>
      <w:spacing w:after="120" w:line="276" w:lineRule="auto"/>
    </w:pPr>
  </w:style>
  <w:style w:type="numbering" w:customStyle="1" w:styleId="Style1">
    <w:name w:val="Style1"/>
    <w:uiPriority w:val="99"/>
    <w:rsid w:val="00547D82"/>
    <w:pPr>
      <w:numPr>
        <w:numId w:val="12"/>
      </w:numPr>
    </w:pPr>
  </w:style>
  <w:style w:type="numbering" w:customStyle="1" w:styleId="Style2">
    <w:name w:val="Style2"/>
    <w:uiPriority w:val="99"/>
    <w:rsid w:val="00547D82"/>
    <w:pPr>
      <w:numPr>
        <w:numId w:val="13"/>
      </w:numPr>
    </w:pPr>
  </w:style>
  <w:style w:type="numbering" w:customStyle="1" w:styleId="Style4">
    <w:name w:val="Style4"/>
    <w:uiPriority w:val="99"/>
    <w:rsid w:val="00547D82"/>
    <w:pPr>
      <w:numPr>
        <w:numId w:val="14"/>
      </w:numPr>
    </w:pPr>
  </w:style>
  <w:style w:type="table" w:styleId="TableGrid">
    <w:name w:val="Table Grid"/>
    <w:basedOn w:val="TableNormal"/>
    <w:uiPriority w:val="39"/>
    <w:rsid w:val="00547D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
    <w:name w:val="Style3"/>
    <w:uiPriority w:val="99"/>
    <w:rsid w:val="00547D82"/>
    <w:pPr>
      <w:numPr>
        <w:numId w:val="15"/>
      </w:numPr>
    </w:pPr>
  </w:style>
  <w:style w:type="numbering" w:customStyle="1" w:styleId="Style5">
    <w:name w:val="Style5"/>
    <w:uiPriority w:val="99"/>
    <w:rsid w:val="00547D82"/>
    <w:pPr>
      <w:numPr>
        <w:numId w:val="17"/>
      </w:numPr>
    </w:pPr>
  </w:style>
  <w:style w:type="numbering" w:customStyle="1" w:styleId="Style6">
    <w:name w:val="Style6"/>
    <w:uiPriority w:val="99"/>
    <w:rsid w:val="00547D82"/>
    <w:pPr>
      <w:numPr>
        <w:numId w:val="18"/>
      </w:numPr>
    </w:pPr>
  </w:style>
  <w:style w:type="numbering" w:customStyle="1" w:styleId="Style7">
    <w:name w:val="Style7"/>
    <w:uiPriority w:val="99"/>
    <w:rsid w:val="00547D82"/>
    <w:pPr>
      <w:numPr>
        <w:numId w:val="19"/>
      </w:numPr>
    </w:pPr>
  </w:style>
  <w:style w:type="numbering" w:customStyle="1" w:styleId="Style8">
    <w:name w:val="Style8"/>
    <w:uiPriority w:val="99"/>
    <w:rsid w:val="00222336"/>
    <w:pPr>
      <w:numPr>
        <w:numId w:val="23"/>
      </w:numPr>
    </w:pPr>
  </w:style>
  <w:style w:type="paragraph" w:customStyle="1" w:styleId="F5Bullet1">
    <w:name w:val="F5 Bullet 1"/>
    <w:link w:val="F5Bullet1Char"/>
    <w:uiPriority w:val="2"/>
    <w:qFormat/>
    <w:rsid w:val="003F6B52"/>
    <w:pPr>
      <w:numPr>
        <w:numId w:val="25"/>
      </w:numPr>
      <w:spacing w:before="60" w:after="60" w:line="240" w:lineRule="auto"/>
      <w:ind w:left="288" w:hanging="288"/>
    </w:pPr>
    <w:rPr>
      <w:rFonts w:ascii="Arial" w:hAnsi="Arial"/>
    </w:rPr>
  </w:style>
  <w:style w:type="character" w:customStyle="1" w:styleId="F5Bullet1Char">
    <w:name w:val="F5 Bullet 1 Char"/>
    <w:basedOn w:val="DefaultParagraphFont"/>
    <w:link w:val="F5Bullet1"/>
    <w:uiPriority w:val="2"/>
    <w:rsid w:val="003F6B52"/>
    <w:rPr>
      <w:rFonts w:ascii="Arial" w:hAnsi="Arial"/>
    </w:rPr>
  </w:style>
  <w:style w:type="numbering" w:customStyle="1" w:styleId="Style11">
    <w:name w:val="Style11"/>
    <w:uiPriority w:val="99"/>
    <w:rsid w:val="00601447"/>
    <w:pPr>
      <w:numPr>
        <w:numId w:val="33"/>
      </w:numPr>
    </w:pPr>
  </w:style>
  <w:style w:type="paragraph" w:customStyle="1" w:styleId="Heading12ptGREY">
    <w:name w:val="Heading 12pt GREY"/>
    <w:next w:val="F2Body"/>
    <w:qFormat/>
    <w:rsid w:val="00D6257A"/>
    <w:pPr>
      <w:spacing w:after="120" w:line="276" w:lineRule="auto"/>
    </w:pPr>
    <w:rPr>
      <w:b/>
      <w:color w:val="50575C"/>
      <w:sz w:val="24"/>
    </w:rPr>
  </w:style>
  <w:style w:type="paragraph" w:customStyle="1" w:styleId="HeadingNumbered14ptGREY">
    <w:name w:val="Heading Numbered 14pt GREY"/>
    <w:next w:val="F2Body"/>
    <w:qFormat/>
    <w:rsid w:val="00601447"/>
    <w:pPr>
      <w:numPr>
        <w:numId w:val="29"/>
      </w:numPr>
      <w:spacing w:before="120" w:after="120" w:line="276" w:lineRule="auto"/>
      <w:outlineLvl w:val="0"/>
    </w:pPr>
    <w:rPr>
      <w:rFonts w:ascii="Arial" w:hAnsi="Arial"/>
      <w:b/>
      <w:bCs/>
      <w:color w:val="50575C"/>
      <w:sz w:val="28"/>
      <w:szCs w:val="24"/>
    </w:rPr>
  </w:style>
  <w:style w:type="paragraph" w:customStyle="1" w:styleId="F3Heading18ptGREY">
    <w:name w:val="F3 Heading 18pt GREY"/>
    <w:next w:val="F2Body"/>
    <w:qFormat/>
    <w:rsid w:val="003F6B52"/>
    <w:pPr>
      <w:spacing w:after="120" w:line="276" w:lineRule="auto"/>
    </w:pPr>
    <w:rPr>
      <w:b/>
      <w:bCs/>
      <w:color w:val="50575C"/>
      <w:sz w:val="36"/>
      <w:szCs w:val="24"/>
    </w:rPr>
  </w:style>
  <w:style w:type="paragraph" w:customStyle="1" w:styleId="F4Heading18ptGREEN">
    <w:name w:val="F4 Heading 18pt GREEN"/>
    <w:qFormat/>
    <w:rsid w:val="005348AB"/>
    <w:pPr>
      <w:spacing w:after="120" w:line="276" w:lineRule="auto"/>
    </w:pPr>
    <w:rPr>
      <w:b/>
      <w:bCs/>
      <w:color w:val="00973A"/>
      <w:sz w:val="36"/>
      <w:szCs w:val="24"/>
    </w:rPr>
  </w:style>
  <w:style w:type="paragraph" w:customStyle="1" w:styleId="Heading14ptGREY">
    <w:name w:val="Heading 14pt GREY"/>
    <w:qFormat/>
    <w:rsid w:val="00D6257A"/>
    <w:pPr>
      <w:spacing w:after="120" w:line="276" w:lineRule="auto"/>
    </w:pPr>
    <w:rPr>
      <w:rFonts w:ascii="Arial Bold" w:hAnsi="Arial Bold"/>
      <w:b/>
      <w:bCs/>
      <w:color w:val="50575C"/>
      <w:sz w:val="28"/>
      <w:szCs w:val="28"/>
    </w:rPr>
  </w:style>
  <w:style w:type="numbering" w:customStyle="1" w:styleId="Style12">
    <w:name w:val="Style12"/>
    <w:uiPriority w:val="99"/>
    <w:rsid w:val="00601447"/>
    <w:pPr>
      <w:numPr>
        <w:numId w:val="35"/>
      </w:numPr>
    </w:pPr>
  </w:style>
  <w:style w:type="paragraph" w:customStyle="1" w:styleId="Heading11ptGREY">
    <w:name w:val="Heading 11pt GREY"/>
    <w:next w:val="F2Body"/>
    <w:qFormat/>
    <w:rsid w:val="00D6257A"/>
    <w:rPr>
      <w:b/>
      <w:color w:val="50575C"/>
    </w:rPr>
  </w:style>
  <w:style w:type="character" w:customStyle="1" w:styleId="Heading8Char">
    <w:name w:val="Heading 8 Char"/>
    <w:basedOn w:val="DefaultParagraphFont"/>
    <w:link w:val="Heading8"/>
    <w:uiPriority w:val="9"/>
    <w:semiHidden/>
    <w:rsid w:val="00A54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85C"/>
    <w:rPr>
      <w:rFonts w:eastAsiaTheme="majorEastAsia" w:cstheme="majorBidi"/>
      <w:color w:val="272727" w:themeColor="text1" w:themeTint="D8"/>
    </w:rPr>
  </w:style>
  <w:style w:type="paragraph" w:styleId="Title">
    <w:name w:val="Title"/>
    <w:basedOn w:val="Normal"/>
    <w:next w:val="Normal"/>
    <w:link w:val="TitleChar"/>
    <w:uiPriority w:val="10"/>
    <w:rsid w:val="00A548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A548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A5485C"/>
    <w:pPr>
      <w:spacing w:before="160"/>
      <w:jc w:val="center"/>
    </w:pPr>
    <w:rPr>
      <w:i/>
      <w:iCs/>
      <w:color w:val="404040" w:themeColor="text1" w:themeTint="BF"/>
    </w:rPr>
  </w:style>
  <w:style w:type="character" w:customStyle="1" w:styleId="QuoteChar">
    <w:name w:val="Quote Char"/>
    <w:basedOn w:val="DefaultParagraphFont"/>
    <w:link w:val="Quote"/>
    <w:uiPriority w:val="29"/>
    <w:rsid w:val="00A5485C"/>
    <w:rPr>
      <w:i/>
      <w:iCs/>
      <w:color w:val="404040" w:themeColor="text1" w:themeTint="BF"/>
    </w:rPr>
  </w:style>
  <w:style w:type="paragraph" w:styleId="ListParagraph">
    <w:name w:val="List Paragraph"/>
    <w:basedOn w:val="Normal"/>
    <w:uiPriority w:val="34"/>
    <w:rsid w:val="00A5485C"/>
    <w:pPr>
      <w:ind w:left="720"/>
      <w:contextualSpacing/>
    </w:pPr>
  </w:style>
  <w:style w:type="character" w:styleId="IntenseEmphasis">
    <w:name w:val="Intense Emphasis"/>
    <w:basedOn w:val="DefaultParagraphFont"/>
    <w:uiPriority w:val="21"/>
    <w:rsid w:val="00A5485C"/>
    <w:rPr>
      <w:i/>
      <w:iCs/>
      <w:color w:val="7D9F00" w:themeColor="accent1" w:themeShade="BF"/>
    </w:rPr>
  </w:style>
  <w:style w:type="paragraph" w:styleId="IntenseQuote">
    <w:name w:val="Intense Quote"/>
    <w:basedOn w:val="Normal"/>
    <w:next w:val="Normal"/>
    <w:link w:val="IntenseQuoteChar"/>
    <w:uiPriority w:val="30"/>
    <w:rsid w:val="00A5485C"/>
    <w:pPr>
      <w:pBdr>
        <w:top w:val="single" w:sz="4" w:space="10" w:color="7D9F00" w:themeColor="accent1" w:themeShade="BF"/>
        <w:bottom w:val="single" w:sz="4" w:space="10" w:color="7D9F00" w:themeColor="accent1" w:themeShade="BF"/>
      </w:pBdr>
      <w:spacing w:before="360" w:after="360"/>
      <w:ind w:left="864" w:right="864"/>
      <w:jc w:val="center"/>
    </w:pPr>
    <w:rPr>
      <w:i/>
      <w:iCs/>
      <w:color w:val="7D9F00" w:themeColor="accent1" w:themeShade="BF"/>
    </w:rPr>
  </w:style>
  <w:style w:type="character" w:customStyle="1" w:styleId="IntenseQuoteChar">
    <w:name w:val="Intense Quote Char"/>
    <w:basedOn w:val="DefaultParagraphFont"/>
    <w:link w:val="IntenseQuote"/>
    <w:uiPriority w:val="30"/>
    <w:rsid w:val="00A5485C"/>
    <w:rPr>
      <w:i/>
      <w:iCs/>
      <w:color w:val="7D9F00" w:themeColor="accent1" w:themeShade="BF"/>
    </w:rPr>
  </w:style>
  <w:style w:type="character" w:styleId="IntenseReference">
    <w:name w:val="Intense Reference"/>
    <w:basedOn w:val="DefaultParagraphFont"/>
    <w:uiPriority w:val="32"/>
    <w:rsid w:val="00A5485C"/>
    <w:rPr>
      <w:b/>
      <w:bCs/>
      <w:smallCaps/>
      <w:color w:val="7D9F00" w:themeColor="accent1" w:themeShade="BF"/>
      <w:spacing w:val="5"/>
    </w:rPr>
  </w:style>
  <w:style w:type="paragraph" w:styleId="Header">
    <w:name w:val="header"/>
    <w:basedOn w:val="Normal"/>
    <w:link w:val="HeaderChar"/>
    <w:uiPriority w:val="99"/>
    <w:unhideWhenUsed/>
    <w:qFormat/>
    <w:rsid w:val="00A548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485C"/>
  </w:style>
  <w:style w:type="paragraph" w:styleId="Footer">
    <w:name w:val="footer"/>
    <w:basedOn w:val="Normal"/>
    <w:link w:val="FooterChar"/>
    <w:unhideWhenUsed/>
    <w:qFormat/>
    <w:rsid w:val="00A5485C"/>
    <w:pPr>
      <w:tabs>
        <w:tab w:val="center" w:pos="4680"/>
        <w:tab w:val="right" w:pos="9360"/>
      </w:tabs>
      <w:spacing w:after="0" w:line="240" w:lineRule="auto"/>
    </w:pPr>
  </w:style>
  <w:style w:type="character" w:customStyle="1" w:styleId="FooterChar">
    <w:name w:val="Footer Char"/>
    <w:basedOn w:val="DefaultParagraphFont"/>
    <w:link w:val="Footer"/>
    <w:rsid w:val="00A54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Facet">
  <a:themeElements>
    <a:clrScheme name="Custom 1">
      <a:dk1>
        <a:sysClr val="windowText" lastClr="000000"/>
      </a:dk1>
      <a:lt1>
        <a:sysClr val="window" lastClr="FFFFFF"/>
      </a:lt1>
      <a:dk2>
        <a:srgbClr val="2C3C43"/>
      </a:dk2>
      <a:lt2>
        <a:srgbClr val="EBEBEB"/>
      </a:lt2>
      <a:accent1>
        <a:srgbClr val="A8D500"/>
      </a:accent1>
      <a:accent2>
        <a:srgbClr val="00B852"/>
      </a:accent2>
      <a:accent3>
        <a:srgbClr val="00973A"/>
      </a:accent3>
      <a:accent4>
        <a:srgbClr val="076B3B"/>
      </a:accent4>
      <a:accent5>
        <a:srgbClr val="FFC836"/>
      </a:accent5>
      <a:accent6>
        <a:srgbClr val="FF9800"/>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D67A5E7F86C334FADA9316784E28C17" ma:contentTypeVersion="11" ma:contentTypeDescription="Create a new document." ma:contentTypeScope="" ma:versionID="081afd3559a0fe028cc8db46365c1fa8">
  <xsd:schema xmlns:xsd="http://www.w3.org/2001/XMLSchema" xmlns:xs="http://www.w3.org/2001/XMLSchema" xmlns:p="http://schemas.microsoft.com/office/2006/metadata/properties" xmlns:ns2="c7afb767-11e3-41cc-9547-269cc179acd8" xmlns:ns3="a650fc66-2689-4c4c-97e2-f5b69cb47620" targetNamespace="http://schemas.microsoft.com/office/2006/metadata/properties" ma:root="true" ma:fieldsID="3da273b0bfa51ee3f7e02a2d2414eb5d" ns2:_="" ns3:_="">
    <xsd:import namespace="c7afb767-11e3-41cc-9547-269cc179acd8"/>
    <xsd:import namespace="a650fc66-2689-4c4c-97e2-f5b69cb476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afb767-11e3-41cc-9547-269cc179a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97a652fe-5a30-4033-b5c0-d5f73c3dcce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650fc66-2689-4c4c-97e2-f5b69cb4762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9c8b2d5-e0cd-4d30-ad7e-722dcd8e2318}" ma:internalName="TaxCatchAll" ma:showField="CatchAllData" ma:web="a650fc66-2689-4c4c-97e2-f5b69cb476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650fc66-2689-4c4c-97e2-f5b69cb47620" xsi:nil="true"/>
    <lcf76f155ced4ddcb4097134ff3c332f xmlns="c7afb767-11e3-41cc-9547-269cc179ac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1417D7-AF52-4605-8275-4E17464A9C69}"/>
</file>

<file path=customXml/itemProps2.xml><?xml version="1.0" encoding="utf-8"?>
<ds:datastoreItem xmlns:ds="http://schemas.openxmlformats.org/officeDocument/2006/customXml" ds:itemID="{A0EBE7AD-2DAD-4B39-9511-8E2429B76DC4}"/>
</file>

<file path=customXml/itemProps3.xml><?xml version="1.0" encoding="utf-8"?>
<ds:datastoreItem xmlns:ds="http://schemas.openxmlformats.org/officeDocument/2006/customXml" ds:itemID="{3D40A3C3-EB7D-4DB0-9349-9BDD2AC1768A}"/>
</file>

<file path=docProps/app.xml><?xml version="1.0" encoding="utf-8"?>
<Properties xmlns="http://schemas.openxmlformats.org/officeDocument/2006/extended-properties" xmlns:vt="http://schemas.openxmlformats.org/officeDocument/2006/docPropsVTypes">
  <Template>Normal.dotm</Template>
  <TotalTime>3</TotalTime>
  <Pages>5</Pages>
  <Words>1382</Words>
  <Characters>8091</Characters>
  <Application>Microsoft Office Word</Application>
  <DocSecurity>0</DocSecurity>
  <Lines>245</Lines>
  <Paragraphs>85</Paragraphs>
  <ScaleCrop>false</ScaleCrop>
  <Company>L.E.K. Consulting</Company>
  <LinksUpToDate>false</LinksUpToDate>
  <CharactersWithSpaces>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Greene</dc:creator>
  <cp:keywords/>
  <dc:description/>
  <cp:lastModifiedBy>Will Greene</cp:lastModifiedBy>
  <cp:revision>1</cp:revision>
  <dcterms:created xsi:type="dcterms:W3CDTF">2026-04-14T20:23:00Z</dcterms:created>
  <dcterms:modified xsi:type="dcterms:W3CDTF">2026-04-14T20:27:00Z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d47060-f1cd-4bbe-8b4c-5fb444b8f676_Enabled">
    <vt:lpwstr>true</vt:lpwstr>
  </property>
  <property fmtid="{D5CDD505-2E9C-101B-9397-08002B2CF9AE}" pid="3" name="MSIP_Label_53d47060-f1cd-4bbe-8b4c-5fb444b8f676_SetDate">
    <vt:lpwstr>2026-04-14T20:27:39Z</vt:lpwstr>
  </property>
  <property fmtid="{D5CDD505-2E9C-101B-9397-08002B2CF9AE}" pid="4" name="MSIP_Label_53d47060-f1cd-4bbe-8b4c-5fb444b8f676_Method">
    <vt:lpwstr>Standard</vt:lpwstr>
  </property>
  <property fmtid="{D5CDD505-2E9C-101B-9397-08002B2CF9AE}" pid="5" name="MSIP_Label_53d47060-f1cd-4bbe-8b4c-5fb444b8f676_Name">
    <vt:lpwstr>L.E.K. Client Confidential</vt:lpwstr>
  </property>
  <property fmtid="{D5CDD505-2E9C-101B-9397-08002B2CF9AE}" pid="6" name="MSIP_Label_53d47060-f1cd-4bbe-8b4c-5fb444b8f676_SiteId">
    <vt:lpwstr>80408883-8646-4762-acfa-44e5da52b8dd</vt:lpwstr>
  </property>
  <property fmtid="{D5CDD505-2E9C-101B-9397-08002B2CF9AE}" pid="7" name="MSIP_Label_53d47060-f1cd-4bbe-8b4c-5fb444b8f676_ActionId">
    <vt:lpwstr>1fda9454-804b-4c07-9b34-cfd638d8b347</vt:lpwstr>
  </property>
  <property fmtid="{D5CDD505-2E9C-101B-9397-08002B2CF9AE}" pid="8" name="MSIP_Label_53d47060-f1cd-4bbe-8b4c-5fb444b8f676_ContentBits">
    <vt:lpwstr>0</vt:lpwstr>
  </property>
  <property fmtid="{D5CDD505-2E9C-101B-9397-08002B2CF9AE}" pid="9" name="MSIP_Label_53d47060-f1cd-4bbe-8b4c-5fb444b8f676_Tag">
    <vt:lpwstr>10, 3, 0, 1</vt:lpwstr>
  </property>
  <property fmtid="{D5CDD505-2E9C-101B-9397-08002B2CF9AE}" pid="10" name="ContentTypeId">
    <vt:lpwstr>0x0101000D67A5E7F86C334FADA9316784E28C17</vt:lpwstr>
  </property>
</Properties>
</file>