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E15F" w14:textId="4A9F643D" w:rsidR="00D92CCD" w:rsidRPr="00D92CCD" w:rsidRDefault="00D92CCD" w:rsidP="00D92CCD">
      <w:pPr>
        <w:jc w:val="center"/>
        <w:rPr>
          <w:b/>
          <w:bCs/>
          <w:sz w:val="28"/>
          <w:szCs w:val="28"/>
        </w:rPr>
      </w:pPr>
      <w:r w:rsidRPr="00D92CCD">
        <w:rPr>
          <w:b/>
          <w:bCs/>
          <w:sz w:val="28"/>
          <w:szCs w:val="28"/>
        </w:rPr>
        <w:t>Experiment: 6</w:t>
      </w:r>
    </w:p>
    <w:p w14:paraId="03686E20" w14:textId="43C2AC6D" w:rsidR="00D92CCD" w:rsidRDefault="00D92CCD" w:rsidP="00D92CCD">
      <w:pPr>
        <w:jc w:val="center"/>
        <w:rPr>
          <w:b/>
          <w:bCs/>
          <w:sz w:val="28"/>
          <w:szCs w:val="28"/>
        </w:rPr>
      </w:pPr>
      <w:r w:rsidRPr="00D92CCD">
        <w:rPr>
          <w:b/>
          <w:bCs/>
          <w:sz w:val="28"/>
          <w:szCs w:val="28"/>
        </w:rPr>
        <w:t>5G NR Frame Structure Analysis with Different Subcarrier Spacing</w:t>
      </w:r>
    </w:p>
    <w:p w14:paraId="17AEA50B" w14:textId="2DFEEC7C" w:rsid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Objective – 1: Analyze Different Subcarrier Spacing Values</w:t>
      </w:r>
    </w:p>
    <w:p w14:paraId="62EA2790" w14:textId="5432AB8E" w:rsidR="00D92CCD" w:rsidRPr="00D92CCD" w:rsidRDefault="00D92CCD" w:rsidP="00D92CCD">
      <w:pPr>
        <w:rPr>
          <w:b/>
          <w:bCs/>
          <w:sz w:val="28"/>
          <w:szCs w:val="28"/>
        </w:rPr>
      </w:pPr>
      <w:r w:rsidRPr="00D92CCD">
        <w:rPr>
          <w:b/>
          <w:bCs/>
          <w:sz w:val="28"/>
          <w:szCs w:val="28"/>
        </w:rPr>
        <w:t>Code:</w:t>
      </w:r>
    </w:p>
    <w:p w14:paraId="04B8120A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clc;</w:t>
      </w:r>
    </w:p>
    <w:p w14:paraId="2498C2A8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clear;</w:t>
      </w:r>
    </w:p>
    <w:p w14:paraId="599D4FC4" w14:textId="7CBEA4DB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close all;</w:t>
      </w:r>
    </w:p>
    <w:p w14:paraId="0309FC28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scs = [15 30 60 120 240]; % Subcarrier Spacing (kHz)</w:t>
      </w:r>
    </w:p>
    <w:p w14:paraId="311B37DD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mu = 0:4; % Numerology Index</w:t>
      </w:r>
    </w:p>
    <w:p w14:paraId="7C3AEF01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bar(scs)</w:t>
      </w:r>
    </w:p>
    <w:p w14:paraId="7BEFE269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grid on</w:t>
      </w:r>
    </w:p>
    <w:p w14:paraId="3CCDC976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set(gca,'XTick',1:5)</w:t>
      </w:r>
    </w:p>
    <w:p w14:paraId="3DB67C53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set(gca,'XTickLabel',mu)</w:t>
      </w:r>
    </w:p>
    <w:p w14:paraId="1CCC486F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xlabel('Numerology Index (\mu)')</w:t>
      </w:r>
    </w:p>
    <w:p w14:paraId="64037A5A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ylabel('Subcarrier Spacing (kHz)')</w:t>
      </w:r>
    </w:p>
    <w:p w14:paraId="21143FE6" w14:textId="7479B917" w:rsid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title('5G NR Subcarrier Spacing for Different Numerologies')</w:t>
      </w:r>
    </w:p>
    <w:p w14:paraId="3D8297F0" w14:textId="5A0F25D8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drawing>
          <wp:inline distT="0" distB="0" distL="0" distR="0" wp14:anchorId="66CF65D5" wp14:editId="10E3B53E">
            <wp:extent cx="5731510" cy="2903855"/>
            <wp:effectExtent l="0" t="0" r="2540" b="0"/>
            <wp:docPr id="1422982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AB08" w14:textId="0657C6D4" w:rsidR="00D92CCD" w:rsidRDefault="00D92CCD" w:rsidP="00D92CCD">
      <w:pPr>
        <w:rPr>
          <w:b/>
          <w:bCs/>
          <w:sz w:val="28"/>
          <w:szCs w:val="28"/>
        </w:rPr>
      </w:pPr>
      <w:r w:rsidRPr="00D92CCD">
        <w:rPr>
          <w:b/>
          <w:bCs/>
          <w:sz w:val="28"/>
          <w:szCs w:val="28"/>
        </w:rPr>
        <w:lastRenderedPageBreak/>
        <w:t>Objective – 2 Compare Slot Duration</w:t>
      </w:r>
    </w:p>
    <w:p w14:paraId="15E224F1" w14:textId="1D44FDC0" w:rsidR="00D92CCD" w:rsidRDefault="00D92CCD" w:rsidP="00D92C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A5E0AD7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clear;</w:t>
      </w:r>
    </w:p>
    <w:p w14:paraId="64D2C267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close all;</w:t>
      </w:r>
    </w:p>
    <w:p w14:paraId="0478E3A1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scs = [15 30 60 120 240]; % Subcarrier Spacing (kHz)</w:t>
      </w:r>
    </w:p>
    <w:p w14:paraId="2CC154C8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slot = [1 0.5 0.25 0.125 0.0625]; % Slot Duration (ms)</w:t>
      </w:r>
    </w:p>
    <w:p w14:paraId="0FDE4677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plot(scs, slot, 'o-', 'LineWidth', 2)</w:t>
      </w:r>
    </w:p>
    <w:p w14:paraId="5D41F37C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grid on</w:t>
      </w:r>
    </w:p>
    <w:p w14:paraId="4626B4FD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xlabel('Subcarrier Spacing (kHz)')</w:t>
      </w:r>
    </w:p>
    <w:p w14:paraId="55FA18B0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ylabel('Slot Duration (ms)')</w:t>
      </w:r>
    </w:p>
    <w:p w14:paraId="522F0D47" w14:textId="7691FC6A" w:rsid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title('5G NR Slot Duration for Different Subcarrier Spacing')</w:t>
      </w:r>
    </w:p>
    <w:p w14:paraId="358838CE" w14:textId="5D49074A" w:rsid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drawing>
          <wp:inline distT="0" distB="0" distL="0" distR="0" wp14:anchorId="7BE329FB" wp14:editId="32E65E93">
            <wp:extent cx="5731510" cy="2909570"/>
            <wp:effectExtent l="0" t="0" r="2540" b="5080"/>
            <wp:docPr id="124797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79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8BAE" w14:textId="77777777" w:rsidR="00D92CCD" w:rsidRDefault="00D92C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A7D2A6" w14:textId="377C715D" w:rsidR="00D92CCD" w:rsidRDefault="00D92CCD" w:rsidP="00D92CCD">
      <w:pPr>
        <w:rPr>
          <w:b/>
          <w:bCs/>
          <w:sz w:val="28"/>
          <w:szCs w:val="28"/>
        </w:rPr>
      </w:pPr>
      <w:r w:rsidRPr="00D92CCD">
        <w:rPr>
          <w:b/>
          <w:bCs/>
          <w:sz w:val="28"/>
          <w:szCs w:val="28"/>
        </w:rPr>
        <w:lastRenderedPageBreak/>
        <w:t>Objective – 3 Study the Number of OFDM Symbols</w:t>
      </w:r>
    </w:p>
    <w:p w14:paraId="2D72C2D1" w14:textId="3FD78636" w:rsidR="00D92CCD" w:rsidRDefault="00D92CCD" w:rsidP="00D92C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1F0BCBF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clc;</w:t>
      </w:r>
    </w:p>
    <w:p w14:paraId="2B85C2C1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clear;</w:t>
      </w:r>
    </w:p>
    <w:p w14:paraId="458D3803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close all;</w:t>
      </w:r>
    </w:p>
    <w:p w14:paraId="55AA9305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scs = [15 30 60 120 240]; % Subcarrier Spacing (kHz)</w:t>
      </w:r>
    </w:p>
    <w:p w14:paraId="0BD70F0C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symbols = [14 14 14 14 14]; % OFDM Symbols per Slot</w:t>
      </w:r>
    </w:p>
    <w:p w14:paraId="5468E5DF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figure</w:t>
      </w:r>
    </w:p>
    <w:p w14:paraId="574783C9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bar(scs, symbols)</w:t>
      </w:r>
    </w:p>
    <w:p w14:paraId="6D97A5CF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grid on</w:t>
      </w:r>
    </w:p>
    <w:p w14:paraId="6DC0F6B3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xlabel('Subcarrier Spacing (kHz)')</w:t>
      </w:r>
    </w:p>
    <w:p w14:paraId="1EC51EA6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ylabel('Number of OFDM Symbols')</w:t>
      </w:r>
    </w:p>
    <w:p w14:paraId="0B359642" w14:textId="77777777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title('OFDM Symbols per Slot for Different Subcarrier Spacing')</w:t>
      </w:r>
    </w:p>
    <w:p w14:paraId="47CE0458" w14:textId="21D20E30" w:rsid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t>ylim([0 16])</w:t>
      </w:r>
    </w:p>
    <w:p w14:paraId="3532C376" w14:textId="3061D1D2" w:rsidR="00D92CCD" w:rsidRPr="00D92CCD" w:rsidRDefault="00D92CCD" w:rsidP="00D92CCD">
      <w:pPr>
        <w:rPr>
          <w:sz w:val="28"/>
          <w:szCs w:val="28"/>
        </w:rPr>
      </w:pPr>
      <w:r w:rsidRPr="00D92CCD">
        <w:rPr>
          <w:sz w:val="28"/>
          <w:szCs w:val="28"/>
        </w:rPr>
        <w:drawing>
          <wp:inline distT="0" distB="0" distL="0" distR="0" wp14:anchorId="33BB2940" wp14:editId="78DB51F2">
            <wp:extent cx="5731510" cy="2915285"/>
            <wp:effectExtent l="0" t="0" r="2540" b="0"/>
            <wp:docPr id="8065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6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CCD" w:rsidRPr="00D92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CD"/>
    <w:rsid w:val="004D7400"/>
    <w:rsid w:val="00D9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501B"/>
  <w15:chartTrackingRefBased/>
  <w15:docId w15:val="{182E6388-A650-4FDA-A55C-0DEF8D98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8EF4E-0148-4BC9-A1AE-01652B36B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palle yashwanth</cp:lastModifiedBy>
  <cp:revision>1</cp:revision>
  <dcterms:created xsi:type="dcterms:W3CDTF">2026-07-31T08:00:00Z</dcterms:created>
  <dcterms:modified xsi:type="dcterms:W3CDTF">2026-07-31T08:08:00Z</dcterms:modified>
</cp:coreProperties>
</file>