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5BB0" w14:textId="77777777" w:rsidR="00241E98" w:rsidRPr="00241E98" w:rsidRDefault="00241E98" w:rsidP="00241E98">
      <w:pPr>
        <w:rPr>
          <w:b/>
          <w:bCs/>
        </w:rPr>
      </w:pPr>
      <w:r w:rsidRPr="00241E98">
        <w:rPr>
          <w:b/>
          <w:bCs/>
        </w:rPr>
        <w:t>Maison unifamiliale en Flandre : Surélévation contemporaine et cadrage paysager</w:t>
      </w:r>
    </w:p>
    <w:p w14:paraId="6379343F" w14:textId="77777777" w:rsidR="00241E98" w:rsidRPr="00241E98" w:rsidRDefault="00241E98" w:rsidP="00241E98">
      <w:r w:rsidRPr="00241E98">
        <w:t>Située en bordure d'un environnement dégagé typique de la campagne flamande, cette rénovation s'articule autour d'une volonté forte : maximiser la perméabilité visuelle entre les espaces de vie intérieurs et le paysage agricole adjacent. Plutôt que de procéder à une démolition, le parti pris architectural repose sur le maintien et le prolongement de la structure existante par une surélévation ciblée. Cette extension volumétrique à l'étage abrite la suite parentale, pensée comme un volume d'observation privilégié orienté vers l'horizon. L'expression des façades s'appuie sur une matérialité contrastée — l'application d'un enduit extérieur clair associé à des menuiseries sombres — qui redessine la silhouette du bâtiment avec une modernité assumée tout en assurant son intégration dans le site.</w:t>
      </w:r>
    </w:p>
    <w:p w14:paraId="3BD62F67" w14:textId="77777777" w:rsidR="00241E98" w:rsidRPr="00241E98" w:rsidRDefault="00241E98" w:rsidP="00241E98">
      <w:r w:rsidRPr="00241E98">
        <w:t>L'aménagement intérieur et l'organisation des percements ont été dictés par une logique de cadrage architectural : chaque baie vitrée est proportionnée pour intégrer la nature environnante aux espaces du quotidien. À l'avant, le séjour profite de larges ouvertures et se prolonge sur une terrasse en surplomb, qualifiant le seuil d'entrée tout en offrant une mise à distance par rapport à l'espace public. À l'arrière, les espaces fonctionnels (cuisine et bureau) établissent une connexion directe de plain-pied avec le jardin, garantissant un apport lumineux optimal pour le travail à domicile. L'ensemble de l'intervention démontre une restructuration fluide qui efface la limite entre l'intérieur et l'extérieur au profit de l'usage et de la lumière naturelle.</w:t>
      </w:r>
    </w:p>
    <w:p w14:paraId="6542F8CD" w14:textId="77777777" w:rsidR="002B4718" w:rsidRDefault="002B4718"/>
    <w:sectPr w:rsidR="002B4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98"/>
    <w:rsid w:val="00171F55"/>
    <w:rsid w:val="00241E98"/>
    <w:rsid w:val="002B4718"/>
    <w:rsid w:val="004A0073"/>
    <w:rsid w:val="00E7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66C2"/>
  <w15:chartTrackingRefBased/>
  <w15:docId w15:val="{75E76E41-1839-4236-99E7-C72D6F00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E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1E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E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1E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1E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1E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E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1E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E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E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1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MediaMonster</dc:creator>
  <cp:keywords/>
  <dc:description/>
  <cp:lastModifiedBy>MediaMonster</cp:lastModifiedBy>
  <cp:revision>1</cp:revision>
  <dcterms:created xsi:type="dcterms:W3CDTF">2026-04-27T10:07:00Z</dcterms:created>
  <dcterms:modified xsi:type="dcterms:W3CDTF">2026-04-27T10:07:00Z</dcterms:modified>
</cp:coreProperties>
</file>