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78C73" w14:textId="5F924C9D" w:rsidR="00336C32" w:rsidRPr="004A0B15" w:rsidRDefault="0020179B" w:rsidP="0020179B">
      <w:pPr>
        <w:pStyle w:val="papertitle"/>
        <w:rPr>
          <w:rFonts w:eastAsia="MS Mincho"/>
          <w:sz w:val="52"/>
          <w:lang w:val="en-IN"/>
        </w:rPr>
      </w:pPr>
      <w:r w:rsidRPr="004A0B15">
        <w:rPr>
          <w:rFonts w:eastAsia="MS Mincho"/>
          <w:lang w:val="en-IN"/>
        </w:rPr>
        <w:t xml:space="preserve"> </w:t>
      </w:r>
      <w:r w:rsidR="009B059D">
        <w:rPr>
          <w:rFonts w:eastAsia="MS Mincho"/>
          <w:lang w:val="en-IN"/>
        </w:rPr>
        <w:t>Hepatocellular Carcinoma</w:t>
      </w:r>
      <w:r w:rsidR="004A582E">
        <w:rPr>
          <w:rFonts w:eastAsia="MS Mincho"/>
          <w:lang w:val="en-IN"/>
        </w:rPr>
        <w:t xml:space="preserve"> Survival Prediction</w:t>
      </w:r>
      <w:r w:rsidR="00CE30A1" w:rsidRPr="00CE30A1">
        <w:rPr>
          <w:rFonts w:eastAsia="MS Mincho"/>
          <w:lang w:val="en-IN"/>
        </w:rPr>
        <w:t xml:space="preserve"> Using Deep-Neural Network</w:t>
      </w:r>
    </w:p>
    <w:p w14:paraId="69741462" w14:textId="77777777" w:rsidR="00336C32" w:rsidRDefault="00336C32" w:rsidP="00336C32">
      <w:pPr>
        <w:rPr>
          <w:rFonts w:eastAsia="MS Mincho"/>
        </w:rPr>
      </w:pPr>
    </w:p>
    <w:p w14:paraId="253ED024" w14:textId="77777777" w:rsidR="00336C32" w:rsidRDefault="00336C32" w:rsidP="00336C32">
      <w:pPr>
        <w:pStyle w:val="Author"/>
        <w:rPr>
          <w:rFonts w:eastAsia="MS Mincho"/>
        </w:rPr>
        <w:sectPr w:rsidR="00336C32" w:rsidSect="006C4648">
          <w:pgSz w:w="11909" w:h="16834" w:code="9"/>
          <w:pgMar w:top="1080" w:right="734" w:bottom="2434" w:left="734" w:header="720" w:footer="720" w:gutter="0"/>
          <w:cols w:space="720"/>
          <w:docGrid w:linePitch="360"/>
        </w:sectPr>
      </w:pPr>
    </w:p>
    <w:p w14:paraId="117A563F" w14:textId="77777777" w:rsidR="00CE30A1" w:rsidRDefault="00CE30A1" w:rsidP="00CE30A1">
      <w:pPr>
        <w:pStyle w:val="Author"/>
        <w:rPr>
          <w:rFonts w:eastAsia="MS Mincho"/>
        </w:rPr>
      </w:pPr>
      <w:r>
        <w:rPr>
          <w:rFonts w:eastAsia="MS Mincho"/>
        </w:rPr>
        <w:t>Authors Name/s per 1st Affiliation (</w:t>
      </w:r>
      <w:r>
        <w:rPr>
          <w:rFonts w:eastAsia="MS Mincho"/>
          <w:i/>
        </w:rPr>
        <w:t>Author</w:t>
      </w:r>
      <w:r>
        <w:rPr>
          <w:rFonts w:eastAsia="MS Mincho"/>
        </w:rPr>
        <w:t>)</w:t>
      </w:r>
    </w:p>
    <w:p w14:paraId="1D4B71A6" w14:textId="77777777" w:rsidR="00CE30A1" w:rsidRDefault="6817868B" w:rsidP="6817868B">
      <w:pPr>
        <w:pStyle w:val="Affiliation"/>
        <w:rPr>
          <w:rFonts w:eastAsia="MS Mincho"/>
        </w:rPr>
      </w:pPr>
      <w:r w:rsidRPr="6817868B">
        <w:rPr>
          <w:rFonts w:eastAsia="MS Mincho"/>
        </w:rPr>
        <w:t xml:space="preserve">line 1 (of </w:t>
      </w:r>
      <w:r w:rsidRPr="6817868B">
        <w:rPr>
          <w:rFonts w:eastAsia="MS Mincho"/>
          <w:i/>
          <w:iCs/>
        </w:rPr>
        <w:t>Affiliation</w:t>
      </w:r>
      <w:r w:rsidRPr="6817868B">
        <w:rPr>
          <w:rFonts w:eastAsia="MS Mincho"/>
        </w:rPr>
        <w:t>): dept. name of organization</w:t>
      </w:r>
    </w:p>
    <w:p w14:paraId="7253C112" w14:textId="77777777" w:rsidR="00CE30A1" w:rsidRDefault="6817868B" w:rsidP="6817868B">
      <w:pPr>
        <w:pStyle w:val="Affiliation"/>
        <w:rPr>
          <w:rFonts w:eastAsia="MS Mincho"/>
        </w:rPr>
      </w:pPr>
      <w:r w:rsidRPr="6817868B">
        <w:rPr>
          <w:rFonts w:eastAsia="MS Mincho"/>
        </w:rPr>
        <w:t>line 2-name of organization, acronyms acceptable</w:t>
      </w:r>
    </w:p>
    <w:p w14:paraId="1222D297" w14:textId="77777777" w:rsidR="00CE30A1" w:rsidRDefault="6817868B" w:rsidP="6817868B">
      <w:pPr>
        <w:pStyle w:val="Affiliation"/>
        <w:rPr>
          <w:rFonts w:eastAsia="MS Mincho"/>
        </w:rPr>
      </w:pPr>
      <w:r w:rsidRPr="6817868B">
        <w:rPr>
          <w:rFonts w:eastAsia="MS Mincho"/>
        </w:rPr>
        <w:t>line 3-City, Country</w:t>
      </w:r>
    </w:p>
    <w:p w14:paraId="5CF5B8DB" w14:textId="77777777" w:rsidR="00CE30A1" w:rsidRDefault="6817868B" w:rsidP="6817868B">
      <w:pPr>
        <w:pStyle w:val="Affiliation"/>
        <w:rPr>
          <w:rFonts w:eastAsia="MS Mincho"/>
        </w:rPr>
      </w:pPr>
      <w:r w:rsidRPr="6817868B">
        <w:rPr>
          <w:rFonts w:eastAsia="MS Mincho"/>
        </w:rPr>
        <w:t>line 4-e-mail address if desired</w:t>
      </w:r>
    </w:p>
    <w:p w14:paraId="59C186C5" w14:textId="77777777" w:rsidR="00CE30A1" w:rsidRDefault="00CE30A1" w:rsidP="00CE30A1">
      <w:pPr>
        <w:pStyle w:val="Author"/>
        <w:rPr>
          <w:rFonts w:eastAsia="MS Mincho"/>
        </w:rPr>
      </w:pPr>
      <w:r>
        <w:rPr>
          <w:rFonts w:eastAsia="MS Mincho"/>
        </w:rPr>
        <w:t>Authors Name/s per 2nd Affiliation (</w:t>
      </w:r>
      <w:r>
        <w:rPr>
          <w:rFonts w:eastAsia="MS Mincho"/>
          <w:i/>
        </w:rPr>
        <w:t>Author</w:t>
      </w:r>
      <w:r>
        <w:rPr>
          <w:rFonts w:eastAsia="MS Mincho"/>
        </w:rPr>
        <w:t>)</w:t>
      </w:r>
    </w:p>
    <w:p w14:paraId="705C0BE7" w14:textId="77777777" w:rsidR="00CE30A1" w:rsidRDefault="6817868B" w:rsidP="6817868B">
      <w:pPr>
        <w:pStyle w:val="Affiliation"/>
        <w:rPr>
          <w:rFonts w:eastAsia="MS Mincho"/>
        </w:rPr>
      </w:pPr>
      <w:r w:rsidRPr="6817868B">
        <w:rPr>
          <w:rFonts w:eastAsia="MS Mincho"/>
        </w:rPr>
        <w:t xml:space="preserve">line 1 (of </w:t>
      </w:r>
      <w:r w:rsidRPr="6817868B">
        <w:rPr>
          <w:rFonts w:eastAsia="MS Mincho"/>
          <w:i/>
          <w:iCs/>
        </w:rPr>
        <w:t>Affiliation</w:t>
      </w:r>
      <w:r w:rsidRPr="6817868B">
        <w:rPr>
          <w:rFonts w:eastAsia="MS Mincho"/>
        </w:rPr>
        <w:t>): dept. name of organization</w:t>
      </w:r>
    </w:p>
    <w:p w14:paraId="1641A30B" w14:textId="77777777" w:rsidR="00CE30A1" w:rsidRDefault="6817868B" w:rsidP="6817868B">
      <w:pPr>
        <w:pStyle w:val="Affiliation"/>
        <w:rPr>
          <w:rFonts w:eastAsia="MS Mincho"/>
        </w:rPr>
      </w:pPr>
      <w:r w:rsidRPr="6817868B">
        <w:rPr>
          <w:rFonts w:eastAsia="MS Mincho"/>
        </w:rPr>
        <w:t>line 2-name of organization, acronyms acceptable</w:t>
      </w:r>
    </w:p>
    <w:p w14:paraId="6F1895DD" w14:textId="77777777" w:rsidR="00CE30A1" w:rsidRDefault="6817868B" w:rsidP="6817868B">
      <w:pPr>
        <w:pStyle w:val="Affiliation"/>
        <w:rPr>
          <w:rFonts w:eastAsia="MS Mincho"/>
        </w:rPr>
      </w:pPr>
      <w:r w:rsidRPr="6817868B">
        <w:rPr>
          <w:rFonts w:eastAsia="MS Mincho"/>
        </w:rPr>
        <w:t>line 3-City, Country</w:t>
      </w:r>
    </w:p>
    <w:p w14:paraId="1D3A3A52" w14:textId="77777777" w:rsidR="00CE30A1" w:rsidRDefault="6817868B" w:rsidP="6817868B">
      <w:pPr>
        <w:pStyle w:val="Affiliation"/>
        <w:rPr>
          <w:rFonts w:eastAsia="MS Mincho"/>
        </w:rPr>
      </w:pPr>
      <w:r w:rsidRPr="6817868B">
        <w:rPr>
          <w:rFonts w:eastAsia="MS Mincho"/>
        </w:rPr>
        <w:t>line 4-e-mail address if desired</w:t>
      </w:r>
    </w:p>
    <w:p w14:paraId="5DDC1927" w14:textId="77777777" w:rsidR="00CE30A1" w:rsidRDefault="00CE30A1" w:rsidP="00CE30A1">
      <w:pPr>
        <w:rPr>
          <w:rFonts w:eastAsia="MS Mincho"/>
        </w:rPr>
        <w:sectPr w:rsidR="00CE30A1" w:rsidSect="00CE30A1">
          <w:type w:val="continuous"/>
          <w:pgSz w:w="11909" w:h="16834"/>
          <w:pgMar w:top="1080" w:right="734" w:bottom="2434" w:left="734" w:header="720" w:footer="720" w:gutter="0"/>
          <w:cols w:num="2" w:space="720" w:equalWidth="0">
            <w:col w:w="4860" w:space="720"/>
            <w:col w:w="4860"/>
          </w:cols>
        </w:sectPr>
      </w:pPr>
    </w:p>
    <w:p w14:paraId="5E13A7EF" w14:textId="77777777" w:rsidR="00B04DA8" w:rsidRDefault="00B04DA8" w:rsidP="00B04DA8">
      <w:pPr>
        <w:pStyle w:val="Affiliation"/>
        <w:rPr>
          <w:rFonts w:eastAsia="MS Mincho"/>
        </w:rPr>
      </w:pPr>
    </w:p>
    <w:p w14:paraId="07C28108" w14:textId="77777777" w:rsidR="00B04DA8" w:rsidRDefault="00B04DA8" w:rsidP="0037647D">
      <w:pPr>
        <w:pStyle w:val="Author"/>
        <w:jc w:val="left"/>
        <w:rPr>
          <w:rFonts w:eastAsia="MS Mincho"/>
          <w:noProof w:val="0"/>
          <w:sz w:val="20"/>
          <w:szCs w:val="20"/>
        </w:rPr>
      </w:pPr>
    </w:p>
    <w:p w14:paraId="4BDCC27C" w14:textId="77777777" w:rsidR="00F0538A" w:rsidRDefault="00F0538A" w:rsidP="0037647D">
      <w:pPr>
        <w:pStyle w:val="Author"/>
        <w:jc w:val="left"/>
        <w:rPr>
          <w:rStyle w:val="Hyperlink"/>
          <w:rFonts w:eastAsia="MS Mincho"/>
          <w:noProof w:val="0"/>
          <w:sz w:val="20"/>
          <w:szCs w:val="20"/>
        </w:rPr>
      </w:pPr>
    </w:p>
    <w:p w14:paraId="6F1DD9D3" w14:textId="77777777" w:rsidR="00336C32" w:rsidRDefault="00336C32" w:rsidP="0037647D">
      <w:pPr>
        <w:pStyle w:val="Affiliation"/>
        <w:rPr>
          <w:rFonts w:eastAsia="MS Mincho"/>
        </w:rPr>
        <w:sectPr w:rsidR="00336C32" w:rsidSect="006C4648">
          <w:type w:val="continuous"/>
          <w:pgSz w:w="11909" w:h="16834" w:code="9"/>
          <w:pgMar w:top="1080" w:right="734" w:bottom="2434" w:left="734" w:header="720" w:footer="720" w:gutter="0"/>
          <w:cols w:num="2" w:space="720" w:equalWidth="0">
            <w:col w:w="4860" w:space="720"/>
            <w:col w:w="4860"/>
          </w:cols>
          <w:docGrid w:linePitch="360"/>
        </w:sectPr>
      </w:pPr>
    </w:p>
    <w:p w14:paraId="673A5821" w14:textId="4A5454CC" w:rsidR="0079526F" w:rsidRPr="00187B23" w:rsidRDefault="6817868B" w:rsidP="6817868B">
      <w:pPr>
        <w:pStyle w:val="Abstract"/>
        <w:rPr>
          <w:sz w:val="20"/>
          <w:szCs w:val="20"/>
        </w:rPr>
      </w:pPr>
      <w:r w:rsidRPr="6817868B">
        <w:rPr>
          <w:rFonts w:eastAsia="MS Mincho"/>
          <w:i/>
          <w:iCs/>
          <w:sz w:val="20"/>
          <w:szCs w:val="20"/>
        </w:rPr>
        <w:t>Abstract</w:t>
      </w:r>
      <w:r w:rsidRPr="6817868B">
        <w:rPr>
          <w:rFonts w:eastAsia="MS Mincho"/>
          <w:sz w:val="20"/>
          <w:szCs w:val="20"/>
        </w:rPr>
        <w:t xml:space="preserve">— </w:t>
      </w:r>
      <w:r w:rsidRPr="6817868B">
        <w:rPr>
          <w:b w:val="0"/>
          <w:bCs w:val="0"/>
          <w:sz w:val="20"/>
          <w:szCs w:val="20"/>
        </w:rPr>
        <w:t>Hepatocellular carcinoma, fifth most common type of liver cancer in adults. In patients with hepatocellular carcinoma, prediction of survival is very difficult. Through this prospective experiment, the authors have proposed a new improved classification approach using DNN (Deep Neural Network) for predicting survival of patients with hepatocellular carcinoma. The dataset was obtained at a University Hospital in Portugal and contains several demographic, risk factors, laboratory and overall survival features of 165 real patients diagnosed with HCC. Authors have selected fifteen risk factors out of forty-nine risk factors which are significantly responsible for HCC in this proposed method. The outcome of this experiment has proved to be of significant increase in accuracy of the prediction of survival over the conventional methods like multivariable cox model or unsupervised classification.</w:t>
      </w:r>
    </w:p>
    <w:p w14:paraId="4453DA28" w14:textId="2AD87D0D" w:rsidR="00A35C1B" w:rsidRPr="00187B23" w:rsidRDefault="6817868B" w:rsidP="6817868B">
      <w:pPr>
        <w:pStyle w:val="Abstract"/>
        <w:rPr>
          <w:rFonts w:eastAsia="MS Mincho"/>
          <w:sz w:val="20"/>
          <w:szCs w:val="20"/>
        </w:rPr>
      </w:pPr>
      <w:r w:rsidRPr="6817868B">
        <w:rPr>
          <w:rFonts w:eastAsia="MS Mincho"/>
          <w:sz w:val="20"/>
          <w:szCs w:val="20"/>
        </w:rPr>
        <w:t xml:space="preserve">Keywords— </w:t>
      </w:r>
      <w:r w:rsidRPr="6817868B">
        <w:rPr>
          <w:rFonts w:eastAsia="MS Mincho"/>
          <w:b w:val="0"/>
          <w:bCs w:val="0"/>
          <w:sz w:val="20"/>
          <w:szCs w:val="20"/>
        </w:rPr>
        <w:t xml:space="preserve">Hepatocellular carcinoma, Classification, DNN, </w:t>
      </w:r>
      <w:r w:rsidRPr="6817868B">
        <w:rPr>
          <w:b w:val="0"/>
          <w:bCs w:val="0"/>
          <w:sz w:val="20"/>
          <w:szCs w:val="20"/>
        </w:rPr>
        <w:t>risk factors, survival, prediction</w:t>
      </w:r>
      <w:r w:rsidRPr="6817868B">
        <w:rPr>
          <w:rFonts w:eastAsia="MS Mincho"/>
          <w:b w:val="0"/>
          <w:bCs w:val="0"/>
          <w:sz w:val="20"/>
          <w:szCs w:val="20"/>
        </w:rPr>
        <w:t>.</w:t>
      </w:r>
    </w:p>
    <w:p w14:paraId="5FE50726" w14:textId="77777777" w:rsidR="00FD702F" w:rsidRPr="00325975" w:rsidRDefault="00BA1A16" w:rsidP="0037647D">
      <w:pPr>
        <w:pStyle w:val="Heading1"/>
        <w:rPr>
          <w:b/>
        </w:rPr>
      </w:pPr>
      <w:r w:rsidRPr="00325975">
        <w:rPr>
          <w:b/>
        </w:rPr>
        <w:t xml:space="preserve"> Introduction </w:t>
      </w:r>
    </w:p>
    <w:p w14:paraId="4BB43B53" w14:textId="3AAB4A0A" w:rsidR="00B65F26" w:rsidRDefault="6817868B" w:rsidP="6817868B">
      <w:pPr>
        <w:pStyle w:val="BodyText"/>
        <w:spacing w:line="240" w:lineRule="auto"/>
        <w:rPr>
          <w:lang w:val="en-IN"/>
        </w:rPr>
      </w:pPr>
      <w:r w:rsidRPr="6817868B">
        <w:rPr>
          <w:lang w:val="en-IN"/>
        </w:rPr>
        <w:t>Hepatocellular carcinoma (HCC) is the most common type of primary liver cancer in adults and it is the most common cause of death in people with cirrhosis, accounting for an estimated 500,000 deaths annually. HCC occurs due to</w:t>
      </w:r>
      <w:r>
        <w:t xml:space="preserve"> </w:t>
      </w:r>
      <w:r w:rsidRPr="6817868B">
        <w:rPr>
          <w:lang w:val="en-IN"/>
        </w:rPr>
        <w:t>liver inflammation and is most closely linked to chronic viral hepatitis infection (hepatitis B or C) or exposure to toxins such as alcohol or aflatoxin. The majority of HCC is prevalent in Southeast Asia and sub-Sahara Africa, the incidence of HCC has doubled in the United States over the past 25 years, and incidence and mortality rates are likely to double over the next 10–20 years.</w:t>
      </w:r>
    </w:p>
    <w:p w14:paraId="584432DB" w14:textId="77777777" w:rsidR="00B65F26" w:rsidRDefault="00B65F26" w:rsidP="00B65F26">
      <w:pPr>
        <w:pStyle w:val="BodyText"/>
        <w:spacing w:line="240" w:lineRule="auto"/>
        <w:rPr>
          <w:lang w:val="en-IN"/>
        </w:rPr>
      </w:pPr>
    </w:p>
    <w:p w14:paraId="663DF6C3" w14:textId="77777777" w:rsidR="004A582E" w:rsidRDefault="004A582E" w:rsidP="000475CC">
      <w:pPr>
        <w:pStyle w:val="BodyText"/>
        <w:spacing w:line="240" w:lineRule="auto"/>
        <w:rPr>
          <w:lang w:val="en-IN"/>
        </w:rPr>
      </w:pPr>
    </w:p>
    <w:p w14:paraId="36F5E9C2" w14:textId="2EA950E9" w:rsidR="005A4194" w:rsidRPr="00325975" w:rsidRDefault="00640E1F" w:rsidP="00325975">
      <w:pPr>
        <w:pStyle w:val="Heading1"/>
        <w:rPr>
          <w:b/>
          <w:lang w:val="en-IN"/>
        </w:rPr>
      </w:pPr>
      <w:r>
        <w:rPr>
          <w:b/>
          <w:lang w:val="en-IN"/>
        </w:rPr>
        <w:t>RELATED WORKS</w:t>
      </w:r>
    </w:p>
    <w:p w14:paraId="4D455B1D" w14:textId="77777777" w:rsidR="00702BEC" w:rsidRDefault="6817868B" w:rsidP="6817868B">
      <w:pPr>
        <w:pStyle w:val="BodyText"/>
        <w:spacing w:line="240" w:lineRule="auto"/>
        <w:rPr>
          <w:lang w:val="en-IN"/>
        </w:rPr>
      </w:pPr>
      <w:r w:rsidRPr="6817868B">
        <w:rPr>
          <w:lang w:val="en-IN"/>
        </w:rPr>
        <w:t xml:space="preserve"> In 1999, Josep M. Llovet along with Concepció Brú and Jordi Bruix [ ] proposed a method of classification using a new staging system, the Barcelona Clinic Liver Cancer (BCLC) </w:t>
      </w:r>
      <w:r w:rsidRPr="6817868B">
        <w:rPr>
          <w:lang w:val="en-IN"/>
        </w:rPr>
        <w:t>staging classification, that comprises four stages that select the best candidates for the best therapies currently available.</w:t>
      </w:r>
    </w:p>
    <w:p w14:paraId="7DB1EB5C" w14:textId="2D9F246E" w:rsidR="00702BEC" w:rsidRDefault="6817868B" w:rsidP="6817868B">
      <w:pPr>
        <w:pStyle w:val="BodyText"/>
        <w:spacing w:line="240" w:lineRule="auto"/>
        <w:rPr>
          <w:lang w:val="en-IN"/>
        </w:rPr>
      </w:pPr>
      <w:r w:rsidRPr="6817868B">
        <w:rPr>
          <w:lang w:val="en-IN"/>
        </w:rPr>
        <w:t xml:space="preserve"> In the same year, 1999 in July, Sylvie Chevret, Jean-Claude Trinchet [ ] proposed another method for prediction of HCC using a new prognostic classification, which selected Five prognostic factors, at the 0.0001 level. Seven hundred and sixty-one patients who presented with hepatocellular carcinoma from 24 Western medical centers were enrolled over a 30-month period. Patients were randomly assigned to either a training sample (n=506, with 418 deaths) from which a classification system was established, or a test sample (n=255, with 200 deaths) for validating its prognostic significance. </w:t>
      </w:r>
    </w:p>
    <w:p w14:paraId="1B57566B" w14:textId="088F54B9" w:rsidR="00325975" w:rsidRPr="00325975" w:rsidRDefault="6817868B" w:rsidP="6817868B">
      <w:pPr>
        <w:pStyle w:val="BodyText"/>
        <w:spacing w:line="240" w:lineRule="auto"/>
        <w:rPr>
          <w:lang w:val="en-IN"/>
        </w:rPr>
      </w:pPr>
      <w:r w:rsidRPr="6817868B">
        <w:rPr>
          <w:lang w:val="en-IN"/>
        </w:rPr>
        <w:t>In the year of 2004, Ju-Seog Lee and his co-researchers [ ] published their work on classification and prediction of survival of HCC using gene expression profiling. The researchers analyzed global gene expression patterns of 91 human hepatocellular carcinomas (HCCs) to define the molecular characteristics of the tumours and to test the prognostic value of the expression profiles.</w:t>
      </w:r>
    </w:p>
    <w:p w14:paraId="10E1C179" w14:textId="7D9F1440" w:rsidR="00325975" w:rsidRDefault="00325975" w:rsidP="00CE30A1">
      <w:pPr>
        <w:pStyle w:val="BodyText"/>
        <w:spacing w:line="240" w:lineRule="auto"/>
        <w:ind w:firstLine="0"/>
        <w:rPr>
          <w:lang w:val="en-IN"/>
        </w:rPr>
      </w:pPr>
    </w:p>
    <w:p w14:paraId="3E4BE4FA" w14:textId="2321534A" w:rsidR="007C398B" w:rsidRDefault="00702BEC" w:rsidP="00D73A39">
      <w:pPr>
        <w:pStyle w:val="Heading1"/>
        <w:rPr>
          <w:b/>
          <w:lang w:val="en-IN"/>
        </w:rPr>
      </w:pPr>
      <w:r>
        <w:rPr>
          <w:b/>
          <w:lang w:val="en-IN"/>
        </w:rPr>
        <w:t>DATASET DESCRIPTION</w:t>
      </w:r>
    </w:p>
    <w:p w14:paraId="29C30C80" w14:textId="3A47B46C" w:rsidR="00DA71FE" w:rsidRPr="00187B23" w:rsidRDefault="6817868B" w:rsidP="6817868B">
      <w:pPr>
        <w:pStyle w:val="NoSpacing"/>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The dataset has been obtained from UCI Machine Learning repository, which has the data of 165 real patients diagnosed with HCC. The dataset contains 49 features selected according to the EASL-EORTC (European Association for the Study of the Liver - European Organisation for Research and Treatment of Cancer) Clinical Practice Guidelines, which are the current state-of-the-art on the management of HCC.</w:t>
      </w:r>
    </w:p>
    <w:p w14:paraId="4606C150" w14:textId="128AC1BC" w:rsidR="00DA71FE" w:rsidRDefault="6817868B" w:rsidP="6817868B">
      <w:pPr>
        <w:pStyle w:val="NoSpacing"/>
        <w:jc w:val="both"/>
        <w:rPr>
          <w:rFonts w:ascii="Times New Roman" w:hAnsi="Times New Roman" w:cs="Times New Roman"/>
          <w:sz w:val="20"/>
          <w:szCs w:val="20"/>
        </w:rPr>
      </w:pPr>
      <w:r w:rsidRPr="6817868B">
        <w:rPr>
          <w:rFonts w:ascii="Times New Roman" w:hAnsi="Times New Roman" w:cs="Times New Roman"/>
          <w:sz w:val="20"/>
          <w:szCs w:val="20"/>
          <w:lang w:val="en-IN"/>
        </w:rPr>
        <w:t>This is a heterogeneous dataset, with 23 quantitative variables, and 26 qualitative variables. Overall, missing data represents 10.22% of the whole dataset and only eight patients have complete information in all fields (4.85%). The target variables are the survival at 1 year and it was encoded as a binary variable: 0 (dies) and 1 (lives).</w:t>
      </w:r>
      <w:r w:rsidRPr="6817868B">
        <w:rPr>
          <w:rFonts w:ascii="Times New Roman" w:hAnsi="Times New Roman" w:cs="Times New Roman"/>
          <w:sz w:val="20"/>
          <w:szCs w:val="20"/>
        </w:rPr>
        <w:t xml:space="preserve"> A detailed description of the HCC dataset is presented in </w:t>
      </w:r>
      <w:r w:rsidRPr="6817868B">
        <w:rPr>
          <w:rFonts w:ascii="Times New Roman" w:hAnsi="Times New Roman" w:cs="Times New Roman"/>
          <w:color w:val="007FAD"/>
          <w:sz w:val="20"/>
          <w:szCs w:val="20"/>
        </w:rPr>
        <w:t>Table 1</w:t>
      </w:r>
      <w:r w:rsidRPr="6817868B">
        <w:rPr>
          <w:rFonts w:ascii="Times New Roman" w:hAnsi="Times New Roman" w:cs="Times New Roman"/>
          <w:sz w:val="20"/>
          <w:szCs w:val="20"/>
        </w:rPr>
        <w:t>, which shows each feature’s type/scale, range, statistics (mean/mode) and missing rate percentage.</w:t>
      </w:r>
    </w:p>
    <w:tbl>
      <w:tblPr>
        <w:tblStyle w:val="TableGrid0"/>
        <w:tblpPr w:vertAnchor="text" w:horzAnchor="margin"/>
        <w:tblOverlap w:val="never"/>
        <w:tblW w:w="10402" w:type="dxa"/>
        <w:tblInd w:w="0" w:type="dxa"/>
        <w:tblCellMar>
          <w:right w:w="1" w:type="dxa"/>
        </w:tblCellMar>
        <w:tblLook w:val="04A0" w:firstRow="1" w:lastRow="0" w:firstColumn="1" w:lastColumn="0" w:noHBand="0" w:noVBand="1"/>
      </w:tblPr>
      <w:tblGrid>
        <w:gridCol w:w="10402"/>
      </w:tblGrid>
      <w:tr w:rsidR="00854C48" w14:paraId="30D0C842" w14:textId="77777777" w:rsidTr="765F4CCC">
        <w:trPr>
          <w:trHeight w:val="470"/>
        </w:trPr>
        <w:tc>
          <w:tcPr>
            <w:tcW w:w="10400" w:type="dxa"/>
            <w:hideMark/>
          </w:tcPr>
          <w:p w14:paraId="424423F4" w14:textId="022E934F" w:rsidR="00854C48" w:rsidRPr="00854C48" w:rsidRDefault="6817868B" w:rsidP="6817868B">
            <w:pPr>
              <w:spacing w:after="7" w:line="256" w:lineRule="auto"/>
              <w:ind w:left="1"/>
              <w:rPr>
                <w:sz w:val="28"/>
                <w:szCs w:val="28"/>
              </w:rPr>
            </w:pPr>
            <w:r w:rsidRPr="6817868B">
              <w:rPr>
                <w:rFonts w:ascii="Calibri" w:eastAsia="Calibri" w:hAnsi="Calibri" w:cs="Calibri"/>
                <w:sz w:val="16"/>
                <w:szCs w:val="16"/>
              </w:rPr>
              <w:lastRenderedPageBreak/>
              <w:t>Table 1</w:t>
            </w:r>
          </w:p>
          <w:p w14:paraId="4B24114B" w14:textId="7F405E7E" w:rsidR="00854C48" w:rsidRPr="00854C48" w:rsidRDefault="6817868B" w:rsidP="6817868B">
            <w:pPr>
              <w:spacing w:line="256" w:lineRule="auto"/>
              <w:rPr>
                <w:sz w:val="28"/>
                <w:szCs w:val="28"/>
              </w:rPr>
            </w:pPr>
            <w:r w:rsidRPr="6817868B">
              <w:rPr>
                <w:sz w:val="16"/>
                <w:szCs w:val="16"/>
              </w:rPr>
              <w:t>Characterization of CHUC’s hepatocellular carcinoma data. The dataset contains N =</w:t>
            </w:r>
            <w:r w:rsidRPr="6817868B">
              <w:rPr>
                <w:rFonts w:ascii="Calibri" w:eastAsia="Calibri" w:hAnsi="Calibri" w:cs="Calibri"/>
                <w:sz w:val="16"/>
                <w:szCs w:val="16"/>
              </w:rPr>
              <w:t xml:space="preserve"> </w:t>
            </w:r>
            <w:r w:rsidRPr="6817868B">
              <w:rPr>
                <w:sz w:val="16"/>
                <w:szCs w:val="16"/>
              </w:rPr>
              <w:t>165 records of n =</w:t>
            </w:r>
            <w:r w:rsidRPr="6817868B">
              <w:rPr>
                <w:rFonts w:ascii="Calibri" w:eastAsia="Calibri" w:hAnsi="Calibri" w:cs="Calibri"/>
                <w:sz w:val="16"/>
                <w:szCs w:val="16"/>
              </w:rPr>
              <w:t xml:space="preserve"> </w:t>
            </w:r>
            <w:r w:rsidRPr="6817868B">
              <w:rPr>
                <w:sz w:val="16"/>
                <w:szCs w:val="16"/>
              </w:rPr>
              <w:t>49 clinical variables, considered important to the clinicians’ decision process.</w:t>
            </w:r>
          </w:p>
          <w:tbl>
            <w:tblPr>
              <w:tblStyle w:val="TableGrid0"/>
              <w:tblW w:w="10401" w:type="dxa"/>
              <w:tblInd w:w="0" w:type="dxa"/>
              <w:tblCellMar>
                <w:top w:w="22" w:type="dxa"/>
                <w:right w:w="115" w:type="dxa"/>
              </w:tblCellMar>
              <w:tblLook w:val="04A0" w:firstRow="1" w:lastRow="0" w:firstColumn="1" w:lastColumn="0" w:noHBand="0" w:noVBand="1"/>
            </w:tblPr>
            <w:tblGrid>
              <w:gridCol w:w="2673"/>
              <w:gridCol w:w="2620"/>
              <w:gridCol w:w="1973"/>
              <w:gridCol w:w="2010"/>
              <w:gridCol w:w="1125"/>
            </w:tblGrid>
            <w:tr w:rsidR="00854C48" w:rsidRPr="00854C48" w14:paraId="6CF31BE4" w14:textId="77777777" w:rsidTr="765F4CCC">
              <w:trPr>
                <w:trHeight w:val="247"/>
              </w:trPr>
              <w:tc>
                <w:tcPr>
                  <w:tcW w:w="2672" w:type="dxa"/>
                  <w:tcBorders>
                    <w:top w:val="single" w:sz="4" w:space="0" w:color="000000" w:themeColor="text1"/>
                    <w:left w:val="nil"/>
                    <w:bottom w:val="single" w:sz="4" w:space="0" w:color="000000" w:themeColor="text1"/>
                    <w:right w:val="nil"/>
                  </w:tcBorders>
                  <w:hideMark/>
                </w:tcPr>
                <w:p w14:paraId="41B8594A" w14:textId="77777777" w:rsidR="00854C48" w:rsidRPr="00854C48" w:rsidRDefault="6817868B" w:rsidP="00673158">
                  <w:pPr>
                    <w:framePr w:wrap="around" w:vAnchor="text" w:hAnchor="margin"/>
                    <w:spacing w:line="256" w:lineRule="auto"/>
                    <w:ind w:left="170"/>
                    <w:suppressOverlap/>
                    <w:rPr>
                      <w:sz w:val="28"/>
                      <w:szCs w:val="28"/>
                    </w:rPr>
                  </w:pPr>
                  <w:r w:rsidRPr="6817868B">
                    <w:rPr>
                      <w:sz w:val="16"/>
                      <w:szCs w:val="16"/>
                    </w:rPr>
                    <w:t>Prognostic factors</w:t>
                  </w:r>
                </w:p>
              </w:tc>
              <w:tc>
                <w:tcPr>
                  <w:tcW w:w="2620" w:type="dxa"/>
                  <w:tcBorders>
                    <w:top w:val="single" w:sz="4" w:space="0" w:color="000000" w:themeColor="text1"/>
                    <w:left w:val="nil"/>
                    <w:bottom w:val="single" w:sz="4" w:space="0" w:color="000000" w:themeColor="text1"/>
                    <w:right w:val="nil"/>
                  </w:tcBorders>
                  <w:hideMark/>
                </w:tcPr>
                <w:p w14:paraId="58464D1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Type/scale</w:t>
                  </w:r>
                </w:p>
              </w:tc>
              <w:tc>
                <w:tcPr>
                  <w:tcW w:w="1973" w:type="dxa"/>
                  <w:tcBorders>
                    <w:top w:val="single" w:sz="4" w:space="0" w:color="000000" w:themeColor="text1"/>
                    <w:left w:val="nil"/>
                    <w:bottom w:val="single" w:sz="4" w:space="0" w:color="000000" w:themeColor="text1"/>
                    <w:right w:val="nil"/>
                  </w:tcBorders>
                  <w:hideMark/>
                </w:tcPr>
                <w:p w14:paraId="1C074F3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Range</w:t>
                  </w:r>
                </w:p>
              </w:tc>
              <w:tc>
                <w:tcPr>
                  <w:tcW w:w="2010" w:type="dxa"/>
                  <w:tcBorders>
                    <w:top w:val="single" w:sz="4" w:space="0" w:color="000000" w:themeColor="text1"/>
                    <w:left w:val="nil"/>
                    <w:bottom w:val="single" w:sz="4" w:space="0" w:color="000000" w:themeColor="text1"/>
                    <w:right w:val="nil"/>
                  </w:tcBorders>
                  <w:hideMark/>
                </w:tcPr>
                <w:p w14:paraId="5F76696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Mean or mode</w:t>
                  </w:r>
                </w:p>
              </w:tc>
              <w:tc>
                <w:tcPr>
                  <w:tcW w:w="1125" w:type="dxa"/>
                  <w:tcBorders>
                    <w:top w:val="single" w:sz="4" w:space="0" w:color="000000" w:themeColor="text1"/>
                    <w:left w:val="nil"/>
                    <w:bottom w:val="single" w:sz="4" w:space="0" w:color="000000" w:themeColor="text1"/>
                    <w:right w:val="nil"/>
                  </w:tcBorders>
                  <w:hideMark/>
                </w:tcPr>
                <w:p w14:paraId="5CB6D41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Missingness (%)</w:t>
                  </w:r>
                </w:p>
              </w:tc>
            </w:tr>
            <w:tr w:rsidR="00854C48" w:rsidRPr="00854C48" w14:paraId="6C249CD1" w14:textId="77777777" w:rsidTr="765F4CCC">
              <w:trPr>
                <w:trHeight w:val="229"/>
              </w:trPr>
              <w:tc>
                <w:tcPr>
                  <w:tcW w:w="2672" w:type="dxa"/>
                  <w:tcBorders>
                    <w:top w:val="single" w:sz="4" w:space="0" w:color="000000" w:themeColor="text1"/>
                    <w:left w:val="nil"/>
                    <w:bottom w:val="nil"/>
                    <w:right w:val="nil"/>
                  </w:tcBorders>
                  <w:hideMark/>
                </w:tcPr>
                <w:p w14:paraId="4581FA1B"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Gender</w:t>
                  </w:r>
                </w:p>
              </w:tc>
              <w:tc>
                <w:tcPr>
                  <w:tcW w:w="2620" w:type="dxa"/>
                  <w:tcBorders>
                    <w:top w:val="single" w:sz="4" w:space="0" w:color="000000" w:themeColor="text1"/>
                    <w:left w:val="nil"/>
                    <w:bottom w:val="nil"/>
                    <w:right w:val="nil"/>
                  </w:tcBorders>
                  <w:hideMark/>
                </w:tcPr>
                <w:p w14:paraId="2664B67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w:t>
                  </w:r>
                  <w:bookmarkStart w:id="0" w:name="OLE_LINK2"/>
                  <w:r w:rsidRPr="6817868B">
                    <w:rPr>
                      <w:sz w:val="16"/>
                      <w:szCs w:val="16"/>
                    </w:rPr>
                    <w:t>dichotomous</w:t>
                  </w:r>
                  <w:bookmarkEnd w:id="0"/>
                </w:p>
              </w:tc>
              <w:tc>
                <w:tcPr>
                  <w:tcW w:w="1973" w:type="dxa"/>
                  <w:tcBorders>
                    <w:top w:val="single" w:sz="4" w:space="0" w:color="000000" w:themeColor="text1"/>
                    <w:left w:val="nil"/>
                    <w:bottom w:val="nil"/>
                    <w:right w:val="nil"/>
                  </w:tcBorders>
                  <w:hideMark/>
                </w:tcPr>
                <w:p w14:paraId="00B82F0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tcBorders>
                    <w:top w:val="single" w:sz="4" w:space="0" w:color="000000" w:themeColor="text1"/>
                    <w:left w:val="nil"/>
                    <w:bottom w:val="nil"/>
                    <w:right w:val="nil"/>
                  </w:tcBorders>
                  <w:hideMark/>
                </w:tcPr>
                <w:p w14:paraId="34F1ADF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tcBorders>
                    <w:top w:val="single" w:sz="4" w:space="0" w:color="000000" w:themeColor="text1"/>
                    <w:left w:val="nil"/>
                    <w:bottom w:val="nil"/>
                    <w:right w:val="nil"/>
                  </w:tcBorders>
                  <w:hideMark/>
                </w:tcPr>
                <w:p w14:paraId="36AB7E9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r>
            <w:tr w:rsidR="00854C48" w:rsidRPr="00854C48" w14:paraId="7605A7B9" w14:textId="77777777" w:rsidTr="765F4CCC">
              <w:trPr>
                <w:trHeight w:val="171"/>
              </w:trPr>
              <w:tc>
                <w:tcPr>
                  <w:tcW w:w="2672" w:type="dxa"/>
                  <w:hideMark/>
                </w:tcPr>
                <w:p w14:paraId="53A0EF5E"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Symptoms</w:t>
                  </w:r>
                </w:p>
              </w:tc>
              <w:tc>
                <w:tcPr>
                  <w:tcW w:w="2620" w:type="dxa"/>
                  <w:hideMark/>
                </w:tcPr>
                <w:p w14:paraId="600BC34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3E4FB51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12E2161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0675F35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10.91</w:t>
                  </w:r>
                </w:p>
              </w:tc>
            </w:tr>
            <w:tr w:rsidR="00854C48" w:rsidRPr="00854C48" w14:paraId="1360524E" w14:textId="77777777" w:rsidTr="765F4CCC">
              <w:trPr>
                <w:trHeight w:val="171"/>
              </w:trPr>
              <w:tc>
                <w:tcPr>
                  <w:tcW w:w="2672" w:type="dxa"/>
                  <w:hideMark/>
                </w:tcPr>
                <w:p w14:paraId="520050DA"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Alcohol</w:t>
                  </w:r>
                </w:p>
              </w:tc>
              <w:tc>
                <w:tcPr>
                  <w:tcW w:w="2620" w:type="dxa"/>
                  <w:hideMark/>
                </w:tcPr>
                <w:p w14:paraId="712AA3B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0BD7B29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6CEB48A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194F544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r>
            <w:tr w:rsidR="00854C48" w:rsidRPr="00854C48" w14:paraId="4C69B7D7" w14:textId="77777777" w:rsidTr="765F4CCC">
              <w:trPr>
                <w:trHeight w:val="171"/>
              </w:trPr>
              <w:tc>
                <w:tcPr>
                  <w:tcW w:w="2672" w:type="dxa"/>
                  <w:hideMark/>
                </w:tcPr>
                <w:p w14:paraId="71422425" w14:textId="208D93D6"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Hepatitis B Surface Antigen</w:t>
                  </w:r>
                </w:p>
              </w:tc>
              <w:tc>
                <w:tcPr>
                  <w:tcW w:w="2620" w:type="dxa"/>
                  <w:hideMark/>
                </w:tcPr>
                <w:p w14:paraId="117186E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4B51B95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1941166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710448C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10.3</w:t>
                  </w:r>
                </w:p>
              </w:tc>
            </w:tr>
            <w:tr w:rsidR="00854C48" w:rsidRPr="00854C48" w14:paraId="4836FAC6" w14:textId="77777777" w:rsidTr="765F4CCC">
              <w:trPr>
                <w:trHeight w:val="171"/>
              </w:trPr>
              <w:tc>
                <w:tcPr>
                  <w:tcW w:w="2672" w:type="dxa"/>
                  <w:hideMark/>
                </w:tcPr>
                <w:p w14:paraId="0EBE8528" w14:textId="4ECF158F"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Hepatitis B e Antigen</w:t>
                  </w:r>
                </w:p>
              </w:tc>
              <w:tc>
                <w:tcPr>
                  <w:tcW w:w="2620" w:type="dxa"/>
                  <w:hideMark/>
                </w:tcPr>
                <w:p w14:paraId="3E06FF0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2D72DC4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2A78773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6A833FE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23.64</w:t>
                  </w:r>
                </w:p>
              </w:tc>
            </w:tr>
            <w:tr w:rsidR="00854C48" w:rsidRPr="00854C48" w14:paraId="282B87D6" w14:textId="77777777" w:rsidTr="765F4CCC">
              <w:trPr>
                <w:trHeight w:val="171"/>
              </w:trPr>
              <w:tc>
                <w:tcPr>
                  <w:tcW w:w="2672" w:type="dxa"/>
                  <w:hideMark/>
                </w:tcPr>
                <w:p w14:paraId="003F5BD2" w14:textId="7F48DAA0"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Hepatitis B Core Antibody</w:t>
                  </w:r>
                </w:p>
              </w:tc>
              <w:tc>
                <w:tcPr>
                  <w:tcW w:w="2620" w:type="dxa"/>
                  <w:hideMark/>
                </w:tcPr>
                <w:p w14:paraId="19B22B4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63323DA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1973D3C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0B8FD6A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14.55</w:t>
                  </w:r>
                </w:p>
              </w:tc>
            </w:tr>
            <w:tr w:rsidR="00854C48" w:rsidRPr="00854C48" w14:paraId="54B983EB" w14:textId="77777777" w:rsidTr="765F4CCC">
              <w:trPr>
                <w:trHeight w:val="172"/>
              </w:trPr>
              <w:tc>
                <w:tcPr>
                  <w:tcW w:w="2672" w:type="dxa"/>
                  <w:hideMark/>
                </w:tcPr>
                <w:p w14:paraId="2906E02E" w14:textId="7772EA54"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Hepatitis C Virus Antibody</w:t>
                  </w:r>
                </w:p>
              </w:tc>
              <w:tc>
                <w:tcPr>
                  <w:tcW w:w="2620" w:type="dxa"/>
                  <w:hideMark/>
                </w:tcPr>
                <w:p w14:paraId="07D30A7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46457B8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72A1C7E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437E060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5.45</w:t>
                  </w:r>
                </w:p>
              </w:tc>
            </w:tr>
            <w:tr w:rsidR="00854C48" w:rsidRPr="00854C48" w14:paraId="607DCC39" w14:textId="77777777" w:rsidTr="765F4CCC">
              <w:trPr>
                <w:trHeight w:val="172"/>
              </w:trPr>
              <w:tc>
                <w:tcPr>
                  <w:tcW w:w="2672" w:type="dxa"/>
                  <w:hideMark/>
                </w:tcPr>
                <w:p w14:paraId="6C06BE9C"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Cirrhosis</w:t>
                  </w:r>
                </w:p>
              </w:tc>
              <w:tc>
                <w:tcPr>
                  <w:tcW w:w="2620" w:type="dxa"/>
                  <w:hideMark/>
                </w:tcPr>
                <w:p w14:paraId="59CB6A9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6BC62AA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2C5F412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5D53520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r>
            <w:tr w:rsidR="00854C48" w:rsidRPr="00854C48" w14:paraId="32E39555" w14:textId="77777777" w:rsidTr="765F4CCC">
              <w:trPr>
                <w:trHeight w:val="171"/>
              </w:trPr>
              <w:tc>
                <w:tcPr>
                  <w:tcW w:w="2672" w:type="dxa"/>
                  <w:hideMark/>
                </w:tcPr>
                <w:p w14:paraId="55109B12"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Endemic countries</w:t>
                  </w:r>
                </w:p>
              </w:tc>
              <w:tc>
                <w:tcPr>
                  <w:tcW w:w="2620" w:type="dxa"/>
                  <w:hideMark/>
                </w:tcPr>
                <w:p w14:paraId="7919DEB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7083441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76D8063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5872459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23.64</w:t>
                  </w:r>
                </w:p>
              </w:tc>
            </w:tr>
            <w:tr w:rsidR="00854C48" w:rsidRPr="00854C48" w14:paraId="6E9B5C4F" w14:textId="77777777" w:rsidTr="765F4CCC">
              <w:trPr>
                <w:trHeight w:val="171"/>
              </w:trPr>
              <w:tc>
                <w:tcPr>
                  <w:tcW w:w="2672" w:type="dxa"/>
                  <w:hideMark/>
                </w:tcPr>
                <w:p w14:paraId="5FE4A68F"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Smoking</w:t>
                  </w:r>
                </w:p>
              </w:tc>
              <w:tc>
                <w:tcPr>
                  <w:tcW w:w="2620" w:type="dxa"/>
                  <w:hideMark/>
                </w:tcPr>
                <w:p w14:paraId="61D69D2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0156EB6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7E90D3C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1518AC6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24.85</w:t>
                  </w:r>
                </w:p>
              </w:tc>
            </w:tr>
            <w:tr w:rsidR="00854C48" w:rsidRPr="00854C48" w14:paraId="1D2AD1D1" w14:textId="77777777" w:rsidTr="765F4CCC">
              <w:trPr>
                <w:trHeight w:val="171"/>
              </w:trPr>
              <w:tc>
                <w:tcPr>
                  <w:tcW w:w="2672" w:type="dxa"/>
                  <w:hideMark/>
                </w:tcPr>
                <w:p w14:paraId="593141ED"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Diabetes</w:t>
                  </w:r>
                </w:p>
              </w:tc>
              <w:tc>
                <w:tcPr>
                  <w:tcW w:w="2620" w:type="dxa"/>
                  <w:hideMark/>
                </w:tcPr>
                <w:p w14:paraId="51BB0B6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0FB1FE6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3A79C34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6C448EE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53D3316C" w14:textId="77777777" w:rsidTr="765F4CCC">
              <w:trPr>
                <w:trHeight w:val="171"/>
              </w:trPr>
              <w:tc>
                <w:tcPr>
                  <w:tcW w:w="2672" w:type="dxa"/>
                  <w:hideMark/>
                </w:tcPr>
                <w:p w14:paraId="0EC004B0"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Obesity</w:t>
                  </w:r>
                </w:p>
              </w:tc>
              <w:tc>
                <w:tcPr>
                  <w:tcW w:w="2620" w:type="dxa"/>
                  <w:hideMark/>
                </w:tcPr>
                <w:p w14:paraId="77808B8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1975D81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58EEE12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5F40CBB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6.06</w:t>
                  </w:r>
                </w:p>
              </w:tc>
            </w:tr>
            <w:tr w:rsidR="00854C48" w:rsidRPr="00854C48" w14:paraId="12397874" w14:textId="77777777" w:rsidTr="765F4CCC">
              <w:trPr>
                <w:trHeight w:val="171"/>
              </w:trPr>
              <w:tc>
                <w:tcPr>
                  <w:tcW w:w="2672" w:type="dxa"/>
                  <w:hideMark/>
                </w:tcPr>
                <w:p w14:paraId="681BDA31"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Hemochromatosis</w:t>
                  </w:r>
                </w:p>
              </w:tc>
              <w:tc>
                <w:tcPr>
                  <w:tcW w:w="2620" w:type="dxa"/>
                  <w:hideMark/>
                </w:tcPr>
                <w:p w14:paraId="0F8E817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690968C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29057D2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529DFE8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13.94</w:t>
                  </w:r>
                </w:p>
              </w:tc>
            </w:tr>
            <w:tr w:rsidR="00854C48" w:rsidRPr="00854C48" w14:paraId="3DD3358C" w14:textId="77777777" w:rsidTr="765F4CCC">
              <w:trPr>
                <w:trHeight w:val="172"/>
              </w:trPr>
              <w:tc>
                <w:tcPr>
                  <w:tcW w:w="2672" w:type="dxa"/>
                  <w:hideMark/>
                </w:tcPr>
                <w:p w14:paraId="41CEA899" w14:textId="7142E424"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Arterial Hypertension</w:t>
                  </w:r>
                </w:p>
              </w:tc>
              <w:tc>
                <w:tcPr>
                  <w:tcW w:w="2620" w:type="dxa"/>
                  <w:hideMark/>
                </w:tcPr>
                <w:p w14:paraId="3026C0B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59BCCD4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3B1B121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189240F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4C41BD14" w14:textId="77777777" w:rsidTr="765F4CCC">
              <w:trPr>
                <w:trHeight w:val="172"/>
              </w:trPr>
              <w:tc>
                <w:tcPr>
                  <w:tcW w:w="2672" w:type="dxa"/>
                  <w:hideMark/>
                </w:tcPr>
                <w:p w14:paraId="6ABA1253" w14:textId="3827B879"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Chronic Renal Insufficiency</w:t>
                  </w:r>
                </w:p>
              </w:tc>
              <w:tc>
                <w:tcPr>
                  <w:tcW w:w="2620" w:type="dxa"/>
                  <w:hideMark/>
                </w:tcPr>
                <w:p w14:paraId="7F5DEB8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5121205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7EE266F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4E952F3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1.21</w:t>
                  </w:r>
                </w:p>
              </w:tc>
            </w:tr>
            <w:tr w:rsidR="00854C48" w:rsidRPr="00854C48" w14:paraId="264E0441" w14:textId="77777777" w:rsidTr="765F4CCC">
              <w:trPr>
                <w:trHeight w:val="171"/>
              </w:trPr>
              <w:tc>
                <w:tcPr>
                  <w:tcW w:w="2672" w:type="dxa"/>
                  <w:hideMark/>
                </w:tcPr>
                <w:p w14:paraId="10FF8F85" w14:textId="3A2B007C"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Human Immunodeficiency Virus</w:t>
                  </w:r>
                </w:p>
              </w:tc>
              <w:tc>
                <w:tcPr>
                  <w:tcW w:w="2620" w:type="dxa"/>
                  <w:hideMark/>
                </w:tcPr>
                <w:p w14:paraId="3731A05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05E0AD8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176CF26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499CFAC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8.48</w:t>
                  </w:r>
                </w:p>
              </w:tc>
            </w:tr>
            <w:tr w:rsidR="00854C48" w:rsidRPr="00854C48" w14:paraId="772E61F9" w14:textId="77777777" w:rsidTr="765F4CCC">
              <w:trPr>
                <w:trHeight w:val="171"/>
              </w:trPr>
              <w:tc>
                <w:tcPr>
                  <w:tcW w:w="2672" w:type="dxa"/>
                  <w:hideMark/>
                </w:tcPr>
                <w:p w14:paraId="1A060888" w14:textId="2EDE49BB"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Nonalcoholic Steatohepatitis</w:t>
                  </w:r>
                </w:p>
              </w:tc>
              <w:tc>
                <w:tcPr>
                  <w:tcW w:w="2620" w:type="dxa"/>
                  <w:hideMark/>
                </w:tcPr>
                <w:p w14:paraId="748217D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3DDA0D3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7139DD1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53E444C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13.33</w:t>
                  </w:r>
                </w:p>
              </w:tc>
            </w:tr>
            <w:tr w:rsidR="00854C48" w:rsidRPr="00854C48" w14:paraId="1188AE63" w14:textId="77777777" w:rsidTr="765F4CCC">
              <w:trPr>
                <w:trHeight w:val="171"/>
              </w:trPr>
              <w:tc>
                <w:tcPr>
                  <w:tcW w:w="2672" w:type="dxa"/>
                  <w:hideMark/>
                </w:tcPr>
                <w:p w14:paraId="497180B2"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Esophageal varices</w:t>
                  </w:r>
                </w:p>
              </w:tc>
              <w:tc>
                <w:tcPr>
                  <w:tcW w:w="2620" w:type="dxa"/>
                  <w:hideMark/>
                </w:tcPr>
                <w:p w14:paraId="2263149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4E19BC3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4C56A89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338F0A3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31.52</w:t>
                  </w:r>
                </w:p>
              </w:tc>
            </w:tr>
            <w:tr w:rsidR="00854C48" w:rsidRPr="00854C48" w14:paraId="53BAC5E7" w14:textId="77777777" w:rsidTr="765F4CCC">
              <w:trPr>
                <w:trHeight w:val="171"/>
              </w:trPr>
              <w:tc>
                <w:tcPr>
                  <w:tcW w:w="2672" w:type="dxa"/>
                  <w:hideMark/>
                </w:tcPr>
                <w:p w14:paraId="4396D8D7"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Splenomegaly</w:t>
                  </w:r>
                </w:p>
              </w:tc>
              <w:tc>
                <w:tcPr>
                  <w:tcW w:w="2620" w:type="dxa"/>
                  <w:hideMark/>
                </w:tcPr>
                <w:p w14:paraId="0D0997E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4414828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61E0758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7B0A430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9.09</w:t>
                  </w:r>
                </w:p>
              </w:tc>
            </w:tr>
            <w:tr w:rsidR="00854C48" w:rsidRPr="00854C48" w14:paraId="6CE28324" w14:textId="77777777" w:rsidTr="765F4CCC">
              <w:trPr>
                <w:trHeight w:val="171"/>
              </w:trPr>
              <w:tc>
                <w:tcPr>
                  <w:tcW w:w="2672" w:type="dxa"/>
                  <w:hideMark/>
                </w:tcPr>
                <w:p w14:paraId="3F46FEB8"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Portal hypertension</w:t>
                  </w:r>
                </w:p>
              </w:tc>
              <w:tc>
                <w:tcPr>
                  <w:tcW w:w="2620" w:type="dxa"/>
                  <w:hideMark/>
                </w:tcPr>
                <w:p w14:paraId="21A69D7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0FF439D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275BFC3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0EE7C7A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6.67</w:t>
                  </w:r>
                </w:p>
              </w:tc>
            </w:tr>
            <w:tr w:rsidR="00854C48" w:rsidRPr="00854C48" w14:paraId="4767041E" w14:textId="77777777" w:rsidTr="765F4CCC">
              <w:trPr>
                <w:trHeight w:val="171"/>
              </w:trPr>
              <w:tc>
                <w:tcPr>
                  <w:tcW w:w="2672" w:type="dxa"/>
                  <w:hideMark/>
                </w:tcPr>
                <w:p w14:paraId="48CDEE7E"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Portal vein thrombosis</w:t>
                  </w:r>
                </w:p>
              </w:tc>
              <w:tc>
                <w:tcPr>
                  <w:tcW w:w="2620" w:type="dxa"/>
                  <w:hideMark/>
                </w:tcPr>
                <w:p w14:paraId="1F433FB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71EF8D6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0E102D9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1DB1C1D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3C47B54F" w14:textId="77777777" w:rsidTr="765F4CCC">
              <w:trPr>
                <w:trHeight w:val="172"/>
              </w:trPr>
              <w:tc>
                <w:tcPr>
                  <w:tcW w:w="2672" w:type="dxa"/>
                  <w:hideMark/>
                </w:tcPr>
                <w:p w14:paraId="5615BBA7"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Liver metastasis</w:t>
                  </w:r>
                </w:p>
              </w:tc>
              <w:tc>
                <w:tcPr>
                  <w:tcW w:w="2620" w:type="dxa"/>
                  <w:hideMark/>
                </w:tcPr>
                <w:p w14:paraId="1ACCDDD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4066873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385D751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7460AFD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2.42</w:t>
                  </w:r>
                </w:p>
              </w:tc>
            </w:tr>
            <w:tr w:rsidR="00854C48" w:rsidRPr="00854C48" w14:paraId="252F2509" w14:textId="77777777" w:rsidTr="765F4CCC">
              <w:trPr>
                <w:trHeight w:val="172"/>
              </w:trPr>
              <w:tc>
                <w:tcPr>
                  <w:tcW w:w="2672" w:type="dxa"/>
                  <w:hideMark/>
                </w:tcPr>
                <w:p w14:paraId="260373A3"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Radiological hallmark</w:t>
                  </w:r>
                </w:p>
              </w:tc>
              <w:tc>
                <w:tcPr>
                  <w:tcW w:w="2620" w:type="dxa"/>
                  <w:hideMark/>
                </w:tcPr>
                <w:p w14:paraId="6D78092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Qualitative/dichotomous</w:t>
                  </w:r>
                </w:p>
              </w:tc>
              <w:tc>
                <w:tcPr>
                  <w:tcW w:w="1973" w:type="dxa"/>
                  <w:hideMark/>
                </w:tcPr>
                <w:p w14:paraId="3105292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w:t>
                  </w:r>
                </w:p>
              </w:tc>
              <w:tc>
                <w:tcPr>
                  <w:tcW w:w="2010" w:type="dxa"/>
                  <w:hideMark/>
                </w:tcPr>
                <w:p w14:paraId="2E09090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2BACF49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1.21</w:t>
                  </w:r>
                </w:p>
              </w:tc>
            </w:tr>
            <w:tr w:rsidR="00854C48" w:rsidRPr="00854C48" w14:paraId="36DBA521" w14:textId="77777777" w:rsidTr="765F4CCC">
              <w:trPr>
                <w:trHeight w:val="171"/>
              </w:trPr>
              <w:tc>
                <w:tcPr>
                  <w:tcW w:w="2672" w:type="dxa"/>
                  <w:hideMark/>
                </w:tcPr>
                <w:p w14:paraId="1CAC9341"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Age at diagnosis</w:t>
                  </w:r>
                </w:p>
              </w:tc>
              <w:tc>
                <w:tcPr>
                  <w:tcW w:w="2620" w:type="dxa"/>
                  <w:hideMark/>
                </w:tcPr>
                <w:p w14:paraId="2399D4F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5F8B017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20–93</w:t>
                  </w:r>
                </w:p>
              </w:tc>
              <w:tc>
                <w:tcPr>
                  <w:tcW w:w="2010" w:type="dxa"/>
                  <w:hideMark/>
                </w:tcPr>
                <w:p w14:paraId="72C3D28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64.69</w:t>
                  </w:r>
                </w:p>
              </w:tc>
              <w:tc>
                <w:tcPr>
                  <w:tcW w:w="1125" w:type="dxa"/>
                  <w:hideMark/>
                </w:tcPr>
                <w:p w14:paraId="5D70438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r>
            <w:tr w:rsidR="00854C48" w:rsidRPr="00854C48" w14:paraId="453FA752" w14:textId="77777777" w:rsidTr="765F4CCC">
              <w:trPr>
                <w:trHeight w:val="171"/>
              </w:trPr>
              <w:tc>
                <w:tcPr>
                  <w:tcW w:w="2672" w:type="dxa"/>
                  <w:hideMark/>
                </w:tcPr>
                <w:p w14:paraId="235AABF8"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Grams/day</w:t>
                  </w:r>
                </w:p>
              </w:tc>
              <w:tc>
                <w:tcPr>
                  <w:tcW w:w="2620" w:type="dxa"/>
                  <w:hideMark/>
                </w:tcPr>
                <w:p w14:paraId="68841FC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2FC441E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0–500</w:t>
                  </w:r>
                </w:p>
              </w:tc>
              <w:tc>
                <w:tcPr>
                  <w:tcW w:w="2010" w:type="dxa"/>
                  <w:hideMark/>
                </w:tcPr>
                <w:p w14:paraId="17220E1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71.01</w:t>
                  </w:r>
                </w:p>
              </w:tc>
              <w:tc>
                <w:tcPr>
                  <w:tcW w:w="1125" w:type="dxa"/>
                  <w:hideMark/>
                </w:tcPr>
                <w:p w14:paraId="108479C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29.09</w:t>
                  </w:r>
                </w:p>
              </w:tc>
            </w:tr>
            <w:tr w:rsidR="00854C48" w:rsidRPr="00854C48" w14:paraId="5079E19B" w14:textId="77777777" w:rsidTr="765F4CCC">
              <w:trPr>
                <w:trHeight w:val="171"/>
              </w:trPr>
              <w:tc>
                <w:tcPr>
                  <w:tcW w:w="2672" w:type="dxa"/>
                  <w:hideMark/>
                </w:tcPr>
                <w:p w14:paraId="3602D632"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Packs/year</w:t>
                  </w:r>
                </w:p>
              </w:tc>
              <w:tc>
                <w:tcPr>
                  <w:tcW w:w="2620" w:type="dxa"/>
                  <w:hideMark/>
                </w:tcPr>
                <w:p w14:paraId="25E01B1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217C6D3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0–510</w:t>
                  </w:r>
                </w:p>
              </w:tc>
              <w:tc>
                <w:tcPr>
                  <w:tcW w:w="2010" w:type="dxa"/>
                  <w:hideMark/>
                </w:tcPr>
                <w:p w14:paraId="3D77B13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20.46</w:t>
                  </w:r>
                </w:p>
              </w:tc>
              <w:tc>
                <w:tcPr>
                  <w:tcW w:w="1125" w:type="dxa"/>
                  <w:hideMark/>
                </w:tcPr>
                <w:p w14:paraId="33D6BF6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32.12</w:t>
                  </w:r>
                </w:p>
              </w:tc>
            </w:tr>
            <w:tr w:rsidR="00854C48" w:rsidRPr="00854C48" w14:paraId="4EF738DE" w14:textId="77777777" w:rsidTr="765F4CCC">
              <w:trPr>
                <w:trHeight w:val="171"/>
              </w:trPr>
              <w:tc>
                <w:tcPr>
                  <w:tcW w:w="2672" w:type="dxa"/>
                  <w:hideMark/>
                </w:tcPr>
                <w:p w14:paraId="6ED0D591"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Performance status</w:t>
                  </w:r>
                </w:p>
              </w:tc>
              <w:tc>
                <w:tcPr>
                  <w:tcW w:w="2620" w:type="dxa"/>
                  <w:hideMark/>
                </w:tcPr>
                <w:p w14:paraId="5C9E08D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Qualitative/ordinal</w:t>
                  </w:r>
                </w:p>
              </w:tc>
              <w:tc>
                <w:tcPr>
                  <w:tcW w:w="1973" w:type="dxa"/>
                  <w:hideMark/>
                </w:tcPr>
                <w:p w14:paraId="35C6395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0, 1, 2, 3, 4</w:t>
                  </w:r>
                </w:p>
              </w:tc>
              <w:tc>
                <w:tcPr>
                  <w:tcW w:w="2010" w:type="dxa"/>
                  <w:hideMark/>
                </w:tcPr>
                <w:p w14:paraId="10925D2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c>
                <w:tcPr>
                  <w:tcW w:w="1125" w:type="dxa"/>
                  <w:hideMark/>
                </w:tcPr>
                <w:p w14:paraId="5A0D656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w:t>
                  </w:r>
                </w:p>
              </w:tc>
            </w:tr>
            <w:tr w:rsidR="00854C48" w:rsidRPr="00854C48" w14:paraId="1174CA0A" w14:textId="77777777" w:rsidTr="765F4CCC">
              <w:trPr>
                <w:trHeight w:val="171"/>
              </w:trPr>
              <w:tc>
                <w:tcPr>
                  <w:tcW w:w="2672" w:type="dxa"/>
                  <w:hideMark/>
                </w:tcPr>
                <w:p w14:paraId="7D4D756F" w14:textId="20F5D339"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Encephalopathy</w:t>
                  </w:r>
                </w:p>
              </w:tc>
              <w:tc>
                <w:tcPr>
                  <w:tcW w:w="2620" w:type="dxa"/>
                  <w:hideMark/>
                </w:tcPr>
                <w:p w14:paraId="1F9F2CE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Qualitative/ordinal</w:t>
                  </w:r>
                </w:p>
              </w:tc>
              <w:tc>
                <w:tcPr>
                  <w:tcW w:w="1973" w:type="dxa"/>
                  <w:hideMark/>
                </w:tcPr>
                <w:p w14:paraId="388A138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1, 2, 3</w:t>
                  </w:r>
                </w:p>
              </w:tc>
              <w:tc>
                <w:tcPr>
                  <w:tcW w:w="2010" w:type="dxa"/>
                  <w:hideMark/>
                </w:tcPr>
                <w:p w14:paraId="241CD13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00928E9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0.61</w:t>
                  </w:r>
                </w:p>
              </w:tc>
            </w:tr>
            <w:tr w:rsidR="00854C48" w:rsidRPr="00854C48" w14:paraId="58A77303" w14:textId="77777777" w:rsidTr="765F4CCC">
              <w:trPr>
                <w:trHeight w:val="171"/>
              </w:trPr>
              <w:tc>
                <w:tcPr>
                  <w:tcW w:w="2672" w:type="dxa"/>
                  <w:hideMark/>
                </w:tcPr>
                <w:p w14:paraId="4877A84B" w14:textId="180F0378"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Ascites degree</w:t>
                  </w:r>
                </w:p>
              </w:tc>
              <w:tc>
                <w:tcPr>
                  <w:tcW w:w="2620" w:type="dxa"/>
                  <w:hideMark/>
                </w:tcPr>
                <w:p w14:paraId="31800F3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Qualitative/ordinal</w:t>
                  </w:r>
                </w:p>
              </w:tc>
              <w:tc>
                <w:tcPr>
                  <w:tcW w:w="1973" w:type="dxa"/>
                  <w:hideMark/>
                </w:tcPr>
                <w:p w14:paraId="18D56BF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1, 2, 3</w:t>
                  </w:r>
                </w:p>
              </w:tc>
              <w:tc>
                <w:tcPr>
                  <w:tcW w:w="2010" w:type="dxa"/>
                  <w:hideMark/>
                </w:tcPr>
                <w:p w14:paraId="4E9C475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w:t>
                  </w:r>
                </w:p>
              </w:tc>
              <w:tc>
                <w:tcPr>
                  <w:tcW w:w="1125" w:type="dxa"/>
                  <w:hideMark/>
                </w:tcPr>
                <w:p w14:paraId="5C698F3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1.21</w:t>
                  </w:r>
                </w:p>
              </w:tc>
            </w:tr>
            <w:tr w:rsidR="00854C48" w:rsidRPr="00854C48" w14:paraId="1E74E89C" w14:textId="77777777" w:rsidTr="765F4CCC">
              <w:trPr>
                <w:trHeight w:val="172"/>
              </w:trPr>
              <w:tc>
                <w:tcPr>
                  <w:tcW w:w="2672" w:type="dxa"/>
                  <w:hideMark/>
                </w:tcPr>
                <w:p w14:paraId="2AF431FA" w14:textId="0A72771A"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International Normalised Ratio</w:t>
                  </w:r>
                </w:p>
              </w:tc>
              <w:tc>
                <w:tcPr>
                  <w:tcW w:w="2620" w:type="dxa"/>
                  <w:hideMark/>
                </w:tcPr>
                <w:p w14:paraId="752E0F4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030CC6E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0.84–4.82</w:t>
                  </w:r>
                </w:p>
              </w:tc>
              <w:tc>
                <w:tcPr>
                  <w:tcW w:w="2010" w:type="dxa"/>
                  <w:hideMark/>
                </w:tcPr>
                <w:p w14:paraId="1C3730B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1.42</w:t>
                  </w:r>
                </w:p>
              </w:tc>
              <w:tc>
                <w:tcPr>
                  <w:tcW w:w="1125" w:type="dxa"/>
                  <w:hideMark/>
                </w:tcPr>
                <w:p w14:paraId="0C5470B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2.42</w:t>
                  </w:r>
                </w:p>
              </w:tc>
            </w:tr>
            <w:tr w:rsidR="00854C48" w:rsidRPr="00854C48" w14:paraId="02265A11" w14:textId="77777777" w:rsidTr="765F4CCC">
              <w:trPr>
                <w:trHeight w:val="172"/>
              </w:trPr>
              <w:tc>
                <w:tcPr>
                  <w:tcW w:w="2672" w:type="dxa"/>
                  <w:hideMark/>
                </w:tcPr>
                <w:p w14:paraId="060C7122" w14:textId="741CF804"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Alpha-Fetoprotein (ng/mL)</w:t>
                  </w:r>
                </w:p>
              </w:tc>
              <w:tc>
                <w:tcPr>
                  <w:tcW w:w="2620" w:type="dxa"/>
                  <w:hideMark/>
                </w:tcPr>
                <w:p w14:paraId="265CCB4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50EEC61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1.2–1,810,346</w:t>
                  </w:r>
                </w:p>
              </w:tc>
              <w:tc>
                <w:tcPr>
                  <w:tcW w:w="2010" w:type="dxa"/>
                  <w:hideMark/>
                </w:tcPr>
                <w:p w14:paraId="7332711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19299.95</w:t>
                  </w:r>
                </w:p>
              </w:tc>
              <w:tc>
                <w:tcPr>
                  <w:tcW w:w="1125" w:type="dxa"/>
                  <w:hideMark/>
                </w:tcPr>
                <w:p w14:paraId="712A630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4.85</w:t>
                  </w:r>
                </w:p>
              </w:tc>
            </w:tr>
            <w:tr w:rsidR="00854C48" w:rsidRPr="00854C48" w14:paraId="051AB8FE" w14:textId="77777777" w:rsidTr="765F4CCC">
              <w:trPr>
                <w:trHeight w:val="171"/>
              </w:trPr>
              <w:tc>
                <w:tcPr>
                  <w:tcW w:w="2672" w:type="dxa"/>
                  <w:hideMark/>
                </w:tcPr>
                <w:p w14:paraId="1459F327" w14:textId="4A145E8C"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Hemoglobin</w:t>
                  </w:r>
                  <w:r w:rsidR="00673158">
                    <w:rPr>
                      <w:sz w:val="16"/>
                      <w:szCs w:val="16"/>
                    </w:rPr>
                    <w:t xml:space="preserve"> </w:t>
                  </w:r>
                  <w:r w:rsidRPr="765F4CCC">
                    <w:rPr>
                      <w:sz w:val="16"/>
                      <w:szCs w:val="16"/>
                    </w:rPr>
                    <w:t>(g/dL)</w:t>
                  </w:r>
                </w:p>
              </w:tc>
              <w:tc>
                <w:tcPr>
                  <w:tcW w:w="2620" w:type="dxa"/>
                  <w:hideMark/>
                </w:tcPr>
                <w:p w14:paraId="59D1E2C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63F4F0C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5–18.7</w:t>
                  </w:r>
                </w:p>
              </w:tc>
              <w:tc>
                <w:tcPr>
                  <w:tcW w:w="2010" w:type="dxa"/>
                  <w:hideMark/>
                </w:tcPr>
                <w:p w14:paraId="46C7283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12.88</w:t>
                  </w:r>
                </w:p>
              </w:tc>
              <w:tc>
                <w:tcPr>
                  <w:tcW w:w="1125" w:type="dxa"/>
                  <w:hideMark/>
                </w:tcPr>
                <w:p w14:paraId="615E98D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539F95FC" w14:textId="77777777" w:rsidTr="765F4CCC">
              <w:trPr>
                <w:trHeight w:val="171"/>
              </w:trPr>
              <w:tc>
                <w:tcPr>
                  <w:tcW w:w="2672" w:type="dxa"/>
                  <w:hideMark/>
                </w:tcPr>
                <w:p w14:paraId="6D379AEC" w14:textId="41A6F4F5"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Mean Corpuscular Volume (fl)</w:t>
                  </w:r>
                </w:p>
              </w:tc>
              <w:tc>
                <w:tcPr>
                  <w:tcW w:w="2620" w:type="dxa"/>
                  <w:hideMark/>
                </w:tcPr>
                <w:p w14:paraId="093F47D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5BB409E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69.5–119.6</w:t>
                  </w:r>
                </w:p>
              </w:tc>
              <w:tc>
                <w:tcPr>
                  <w:tcW w:w="2010" w:type="dxa"/>
                  <w:hideMark/>
                </w:tcPr>
                <w:p w14:paraId="24ECB3F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95.12</w:t>
                  </w:r>
                </w:p>
              </w:tc>
              <w:tc>
                <w:tcPr>
                  <w:tcW w:w="1125" w:type="dxa"/>
                  <w:hideMark/>
                </w:tcPr>
                <w:p w14:paraId="27C1DF4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612E2416" w14:textId="77777777" w:rsidTr="765F4CCC">
              <w:trPr>
                <w:trHeight w:val="171"/>
              </w:trPr>
              <w:tc>
                <w:tcPr>
                  <w:tcW w:w="2672" w:type="dxa"/>
                  <w:hideMark/>
                </w:tcPr>
                <w:p w14:paraId="2C49D3AB" w14:textId="0A7C0318"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Leukocytes</w:t>
                  </w:r>
                  <w:r w:rsidR="00673158">
                    <w:rPr>
                      <w:sz w:val="16"/>
                      <w:szCs w:val="16"/>
                    </w:rPr>
                    <w:t xml:space="preserve"> </w:t>
                  </w:r>
                  <w:r w:rsidRPr="765F4CCC">
                    <w:rPr>
                      <w:sz w:val="16"/>
                      <w:szCs w:val="16"/>
                    </w:rPr>
                    <w:t>(G/L)</w:t>
                  </w:r>
                </w:p>
              </w:tc>
              <w:tc>
                <w:tcPr>
                  <w:tcW w:w="2620" w:type="dxa"/>
                  <w:hideMark/>
                </w:tcPr>
                <w:p w14:paraId="274A08E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5E44988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2.2–13,000</w:t>
                  </w:r>
                </w:p>
              </w:tc>
              <w:tc>
                <w:tcPr>
                  <w:tcW w:w="2010" w:type="dxa"/>
                  <w:hideMark/>
                </w:tcPr>
                <w:p w14:paraId="089D452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1473.96</w:t>
                  </w:r>
                </w:p>
              </w:tc>
              <w:tc>
                <w:tcPr>
                  <w:tcW w:w="1125" w:type="dxa"/>
                  <w:hideMark/>
                </w:tcPr>
                <w:p w14:paraId="14717F5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1C01B6C4" w14:textId="77777777" w:rsidTr="765F4CCC">
              <w:trPr>
                <w:trHeight w:val="171"/>
              </w:trPr>
              <w:tc>
                <w:tcPr>
                  <w:tcW w:w="2672" w:type="dxa"/>
                  <w:hideMark/>
                </w:tcPr>
                <w:p w14:paraId="422B3BC8" w14:textId="528F683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Platelets</w:t>
                  </w:r>
                  <w:r w:rsidR="00673158">
                    <w:rPr>
                      <w:sz w:val="16"/>
                      <w:szCs w:val="16"/>
                    </w:rPr>
                    <w:t xml:space="preserve"> </w:t>
                  </w:r>
                  <w:r w:rsidRPr="765F4CCC">
                    <w:rPr>
                      <w:sz w:val="16"/>
                      <w:szCs w:val="16"/>
                    </w:rPr>
                    <w:t>(G/L)</w:t>
                  </w:r>
                </w:p>
              </w:tc>
              <w:tc>
                <w:tcPr>
                  <w:tcW w:w="2620" w:type="dxa"/>
                  <w:hideMark/>
                </w:tcPr>
                <w:p w14:paraId="0FA12EB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3588F74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1.71–459,000</w:t>
                  </w:r>
                </w:p>
              </w:tc>
              <w:tc>
                <w:tcPr>
                  <w:tcW w:w="2010" w:type="dxa"/>
                  <w:hideMark/>
                </w:tcPr>
                <w:p w14:paraId="6282EA0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113206.44</w:t>
                  </w:r>
                </w:p>
              </w:tc>
              <w:tc>
                <w:tcPr>
                  <w:tcW w:w="1125" w:type="dxa"/>
                  <w:hideMark/>
                </w:tcPr>
                <w:p w14:paraId="5359182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14027063" w14:textId="77777777" w:rsidTr="765F4CCC">
              <w:trPr>
                <w:trHeight w:val="171"/>
              </w:trPr>
              <w:tc>
                <w:tcPr>
                  <w:tcW w:w="2672" w:type="dxa"/>
                  <w:hideMark/>
                </w:tcPr>
                <w:p w14:paraId="08CD4211" w14:textId="29B3052D"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Albumin</w:t>
                  </w:r>
                  <w:r w:rsidR="00A723A5">
                    <w:rPr>
                      <w:sz w:val="16"/>
                      <w:szCs w:val="16"/>
                    </w:rPr>
                    <w:t xml:space="preserve"> </w:t>
                  </w:r>
                  <w:r w:rsidRPr="765F4CCC">
                    <w:rPr>
                      <w:sz w:val="16"/>
                      <w:szCs w:val="16"/>
                    </w:rPr>
                    <w:t>(mg/dL)</w:t>
                  </w:r>
                </w:p>
              </w:tc>
              <w:tc>
                <w:tcPr>
                  <w:tcW w:w="2620" w:type="dxa"/>
                  <w:hideMark/>
                </w:tcPr>
                <w:p w14:paraId="456C36E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6382321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1.9–4.9</w:t>
                  </w:r>
                </w:p>
              </w:tc>
              <w:tc>
                <w:tcPr>
                  <w:tcW w:w="2010" w:type="dxa"/>
                  <w:hideMark/>
                </w:tcPr>
                <w:p w14:paraId="14C9CE0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3.45</w:t>
                  </w:r>
                </w:p>
              </w:tc>
              <w:tc>
                <w:tcPr>
                  <w:tcW w:w="1125" w:type="dxa"/>
                  <w:hideMark/>
                </w:tcPr>
                <w:p w14:paraId="1CF23C5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3.64</w:t>
                  </w:r>
                </w:p>
              </w:tc>
            </w:tr>
            <w:tr w:rsidR="00854C48" w:rsidRPr="00854C48" w14:paraId="027C981C" w14:textId="77777777" w:rsidTr="765F4CCC">
              <w:trPr>
                <w:trHeight w:val="172"/>
              </w:trPr>
              <w:tc>
                <w:tcPr>
                  <w:tcW w:w="2672" w:type="dxa"/>
                  <w:hideMark/>
                </w:tcPr>
                <w:p w14:paraId="3C9E4D13" w14:textId="53DA6238"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Total Bilirubin</w:t>
                  </w:r>
                  <w:r w:rsidR="00A723A5">
                    <w:rPr>
                      <w:sz w:val="16"/>
                      <w:szCs w:val="16"/>
                    </w:rPr>
                    <w:t xml:space="preserve"> </w:t>
                  </w:r>
                  <w:r w:rsidRPr="765F4CCC">
                    <w:rPr>
                      <w:sz w:val="16"/>
                      <w:szCs w:val="16"/>
                    </w:rPr>
                    <w:t>(mg/dL)</w:t>
                  </w:r>
                </w:p>
              </w:tc>
              <w:tc>
                <w:tcPr>
                  <w:tcW w:w="2620" w:type="dxa"/>
                  <w:hideMark/>
                </w:tcPr>
                <w:p w14:paraId="1FFF93D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2AD772F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0.3–40.5</w:t>
                  </w:r>
                </w:p>
              </w:tc>
              <w:tc>
                <w:tcPr>
                  <w:tcW w:w="2010" w:type="dxa"/>
                  <w:hideMark/>
                </w:tcPr>
                <w:p w14:paraId="2661B7E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3.09</w:t>
                  </w:r>
                </w:p>
              </w:tc>
              <w:tc>
                <w:tcPr>
                  <w:tcW w:w="1125" w:type="dxa"/>
                  <w:hideMark/>
                </w:tcPr>
                <w:p w14:paraId="0DDA15A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3.03</w:t>
                  </w:r>
                </w:p>
              </w:tc>
            </w:tr>
            <w:tr w:rsidR="00854C48" w:rsidRPr="00854C48" w14:paraId="2DE718EB" w14:textId="77777777" w:rsidTr="765F4CCC">
              <w:trPr>
                <w:trHeight w:val="172"/>
              </w:trPr>
              <w:tc>
                <w:tcPr>
                  <w:tcW w:w="2672" w:type="dxa"/>
                  <w:hideMark/>
                </w:tcPr>
                <w:p w14:paraId="00E41CC1" w14:textId="502D6EBB"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Alanine transaminase (U/L)</w:t>
                  </w:r>
                </w:p>
              </w:tc>
              <w:tc>
                <w:tcPr>
                  <w:tcW w:w="2620" w:type="dxa"/>
                  <w:hideMark/>
                </w:tcPr>
                <w:p w14:paraId="4A2FBC8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2460828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11–420</w:t>
                  </w:r>
                </w:p>
              </w:tc>
              <w:tc>
                <w:tcPr>
                  <w:tcW w:w="2010" w:type="dxa"/>
                  <w:hideMark/>
                </w:tcPr>
                <w:p w14:paraId="257BFC3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67.09</w:t>
                  </w:r>
                </w:p>
              </w:tc>
              <w:tc>
                <w:tcPr>
                  <w:tcW w:w="1125" w:type="dxa"/>
                  <w:hideMark/>
                </w:tcPr>
                <w:p w14:paraId="2088746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2.42</w:t>
                  </w:r>
                </w:p>
              </w:tc>
            </w:tr>
            <w:tr w:rsidR="00854C48" w:rsidRPr="00854C48" w14:paraId="3616F58E" w14:textId="77777777" w:rsidTr="765F4CCC">
              <w:trPr>
                <w:trHeight w:val="171"/>
              </w:trPr>
              <w:tc>
                <w:tcPr>
                  <w:tcW w:w="2672" w:type="dxa"/>
                  <w:hideMark/>
                </w:tcPr>
                <w:p w14:paraId="15B3C65E" w14:textId="575892BE"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Aspartate transaminase (U/L)</w:t>
                  </w:r>
                </w:p>
              </w:tc>
              <w:tc>
                <w:tcPr>
                  <w:tcW w:w="2620" w:type="dxa"/>
                  <w:hideMark/>
                </w:tcPr>
                <w:p w14:paraId="2CCDB33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6A60AE6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17–553</w:t>
                  </w:r>
                </w:p>
              </w:tc>
              <w:tc>
                <w:tcPr>
                  <w:tcW w:w="2010" w:type="dxa"/>
                  <w:hideMark/>
                </w:tcPr>
                <w:p w14:paraId="1A1071F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69.38</w:t>
                  </w:r>
                </w:p>
              </w:tc>
              <w:tc>
                <w:tcPr>
                  <w:tcW w:w="1125" w:type="dxa"/>
                  <w:hideMark/>
                </w:tcPr>
                <w:p w14:paraId="03F055C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607AF819" w14:textId="77777777" w:rsidTr="765F4CCC">
              <w:trPr>
                <w:trHeight w:val="171"/>
              </w:trPr>
              <w:tc>
                <w:tcPr>
                  <w:tcW w:w="2672" w:type="dxa"/>
                  <w:hideMark/>
                </w:tcPr>
                <w:p w14:paraId="29D708A7" w14:textId="4BD81EB0"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Gamma glutamyl transferase (U/L)</w:t>
                  </w:r>
                </w:p>
              </w:tc>
              <w:tc>
                <w:tcPr>
                  <w:tcW w:w="2620" w:type="dxa"/>
                  <w:hideMark/>
                </w:tcPr>
                <w:p w14:paraId="3973ADC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25DDC31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23–1575</w:t>
                  </w:r>
                </w:p>
              </w:tc>
              <w:tc>
                <w:tcPr>
                  <w:tcW w:w="2010" w:type="dxa"/>
                  <w:hideMark/>
                </w:tcPr>
                <w:p w14:paraId="479149F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268.03</w:t>
                  </w:r>
                </w:p>
              </w:tc>
              <w:tc>
                <w:tcPr>
                  <w:tcW w:w="1125" w:type="dxa"/>
                  <w:hideMark/>
                </w:tcPr>
                <w:p w14:paraId="2BCFDDC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134F38DC" w14:textId="77777777" w:rsidTr="765F4CCC">
              <w:trPr>
                <w:trHeight w:val="171"/>
              </w:trPr>
              <w:tc>
                <w:tcPr>
                  <w:tcW w:w="2672" w:type="dxa"/>
                  <w:hideMark/>
                </w:tcPr>
                <w:p w14:paraId="688CBFC1" w14:textId="62639FC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Alkaline phosphatase (U/L)</w:t>
                  </w:r>
                </w:p>
              </w:tc>
              <w:tc>
                <w:tcPr>
                  <w:tcW w:w="2620" w:type="dxa"/>
                  <w:hideMark/>
                </w:tcPr>
                <w:p w14:paraId="7AA545C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3173988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1.28–980</w:t>
                  </w:r>
                </w:p>
              </w:tc>
              <w:tc>
                <w:tcPr>
                  <w:tcW w:w="2010" w:type="dxa"/>
                  <w:hideMark/>
                </w:tcPr>
                <w:p w14:paraId="3AAF186F"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212.21</w:t>
                  </w:r>
                </w:p>
              </w:tc>
              <w:tc>
                <w:tcPr>
                  <w:tcW w:w="1125" w:type="dxa"/>
                  <w:hideMark/>
                </w:tcPr>
                <w:p w14:paraId="6A49264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1.82</w:t>
                  </w:r>
                </w:p>
              </w:tc>
            </w:tr>
            <w:tr w:rsidR="00854C48" w:rsidRPr="00854C48" w14:paraId="39B67414" w14:textId="77777777" w:rsidTr="765F4CCC">
              <w:trPr>
                <w:trHeight w:val="171"/>
              </w:trPr>
              <w:tc>
                <w:tcPr>
                  <w:tcW w:w="2672" w:type="dxa"/>
                  <w:hideMark/>
                </w:tcPr>
                <w:p w14:paraId="6144FE13" w14:textId="4D0050AC"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Total Proteins (g/dL)</w:t>
                  </w:r>
                </w:p>
              </w:tc>
              <w:tc>
                <w:tcPr>
                  <w:tcW w:w="2620" w:type="dxa"/>
                  <w:hideMark/>
                </w:tcPr>
                <w:p w14:paraId="2ED41AE9"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1A1927B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3.9–102</w:t>
                  </w:r>
                </w:p>
              </w:tc>
              <w:tc>
                <w:tcPr>
                  <w:tcW w:w="2010" w:type="dxa"/>
                  <w:hideMark/>
                </w:tcPr>
                <w:p w14:paraId="5215BE32"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8.96</w:t>
                  </w:r>
                </w:p>
              </w:tc>
              <w:tc>
                <w:tcPr>
                  <w:tcW w:w="1125" w:type="dxa"/>
                  <w:hideMark/>
                </w:tcPr>
                <w:p w14:paraId="272E63C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6.67</w:t>
                  </w:r>
                </w:p>
              </w:tc>
            </w:tr>
            <w:tr w:rsidR="00854C48" w:rsidRPr="00854C48" w14:paraId="1CF73592" w14:textId="77777777" w:rsidTr="765F4CCC">
              <w:trPr>
                <w:trHeight w:val="171"/>
              </w:trPr>
              <w:tc>
                <w:tcPr>
                  <w:tcW w:w="2672" w:type="dxa"/>
                  <w:hideMark/>
                </w:tcPr>
                <w:p w14:paraId="278FF23E" w14:textId="7FC1FA33"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Creatinine(mg/dL)</w:t>
                  </w:r>
                </w:p>
              </w:tc>
              <w:tc>
                <w:tcPr>
                  <w:tcW w:w="2620" w:type="dxa"/>
                  <w:hideMark/>
                </w:tcPr>
                <w:p w14:paraId="584CF93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1C023BEE"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0.2–7.6</w:t>
                  </w:r>
                </w:p>
              </w:tc>
              <w:tc>
                <w:tcPr>
                  <w:tcW w:w="2010" w:type="dxa"/>
                  <w:hideMark/>
                </w:tcPr>
                <w:p w14:paraId="1CC1D7BB"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1.13</w:t>
                  </w:r>
                </w:p>
              </w:tc>
              <w:tc>
                <w:tcPr>
                  <w:tcW w:w="1125" w:type="dxa"/>
                  <w:hideMark/>
                </w:tcPr>
                <w:p w14:paraId="537DD23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4.24</w:t>
                  </w:r>
                </w:p>
              </w:tc>
            </w:tr>
            <w:tr w:rsidR="00854C48" w:rsidRPr="00854C48" w14:paraId="0C886A41" w14:textId="77777777" w:rsidTr="765F4CCC">
              <w:trPr>
                <w:trHeight w:val="171"/>
              </w:trPr>
              <w:tc>
                <w:tcPr>
                  <w:tcW w:w="2672" w:type="dxa"/>
                  <w:hideMark/>
                </w:tcPr>
                <w:p w14:paraId="52CED97C" w14:textId="77777777"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Number of nodules</w:t>
                  </w:r>
                </w:p>
              </w:tc>
              <w:tc>
                <w:tcPr>
                  <w:tcW w:w="2620" w:type="dxa"/>
                  <w:hideMark/>
                </w:tcPr>
                <w:p w14:paraId="647A53C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43EC91B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0–5</w:t>
                  </w:r>
                </w:p>
              </w:tc>
              <w:tc>
                <w:tcPr>
                  <w:tcW w:w="2010" w:type="dxa"/>
                  <w:hideMark/>
                </w:tcPr>
                <w:p w14:paraId="659F21E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2.74</w:t>
                  </w:r>
                </w:p>
              </w:tc>
              <w:tc>
                <w:tcPr>
                  <w:tcW w:w="1125" w:type="dxa"/>
                  <w:hideMark/>
                </w:tcPr>
                <w:p w14:paraId="24E5520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1.21</w:t>
                  </w:r>
                </w:p>
              </w:tc>
            </w:tr>
            <w:tr w:rsidR="00854C48" w:rsidRPr="00854C48" w14:paraId="2B87513F" w14:textId="77777777" w:rsidTr="765F4CCC">
              <w:trPr>
                <w:trHeight w:val="172"/>
              </w:trPr>
              <w:tc>
                <w:tcPr>
                  <w:tcW w:w="2672" w:type="dxa"/>
                  <w:hideMark/>
                </w:tcPr>
                <w:p w14:paraId="6860EA52" w14:textId="21A4A393"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Major dimension of nodule (cm)</w:t>
                  </w:r>
                </w:p>
              </w:tc>
              <w:tc>
                <w:tcPr>
                  <w:tcW w:w="2620" w:type="dxa"/>
                  <w:hideMark/>
                </w:tcPr>
                <w:p w14:paraId="690A3A2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4865FFB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1.5–22</w:t>
                  </w:r>
                </w:p>
              </w:tc>
              <w:tc>
                <w:tcPr>
                  <w:tcW w:w="2010" w:type="dxa"/>
                  <w:hideMark/>
                </w:tcPr>
                <w:p w14:paraId="0C104B5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6.85</w:t>
                  </w:r>
                </w:p>
              </w:tc>
              <w:tc>
                <w:tcPr>
                  <w:tcW w:w="1125" w:type="dxa"/>
                  <w:hideMark/>
                </w:tcPr>
                <w:p w14:paraId="6826974D"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12.12</w:t>
                  </w:r>
                </w:p>
              </w:tc>
            </w:tr>
            <w:tr w:rsidR="00854C48" w:rsidRPr="00854C48" w14:paraId="5F2719D3" w14:textId="77777777" w:rsidTr="765F4CCC">
              <w:trPr>
                <w:trHeight w:val="172"/>
              </w:trPr>
              <w:tc>
                <w:tcPr>
                  <w:tcW w:w="2672" w:type="dxa"/>
                  <w:hideMark/>
                </w:tcPr>
                <w:p w14:paraId="0144A36D" w14:textId="46CA7181" w:rsidR="00854C48" w:rsidRPr="00FA07A4" w:rsidRDefault="765F4CCC" w:rsidP="00673158">
                  <w:pPr>
                    <w:framePr w:wrap="around" w:vAnchor="text" w:hAnchor="margin"/>
                    <w:spacing w:line="256" w:lineRule="auto"/>
                    <w:ind w:left="170"/>
                    <w:suppressOverlap/>
                    <w:rPr>
                      <w:sz w:val="16"/>
                      <w:szCs w:val="16"/>
                    </w:rPr>
                  </w:pPr>
                  <w:r w:rsidRPr="765F4CCC">
                    <w:rPr>
                      <w:sz w:val="16"/>
                      <w:szCs w:val="16"/>
                    </w:rPr>
                    <w:t>Direct Bilirubin (mg/dL)</w:t>
                  </w:r>
                </w:p>
              </w:tc>
              <w:tc>
                <w:tcPr>
                  <w:tcW w:w="2620" w:type="dxa"/>
                  <w:hideMark/>
                </w:tcPr>
                <w:p w14:paraId="413E2F4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09A9078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0.1–29.3</w:t>
                  </w:r>
                </w:p>
              </w:tc>
              <w:tc>
                <w:tcPr>
                  <w:tcW w:w="2010" w:type="dxa"/>
                  <w:hideMark/>
                </w:tcPr>
                <w:p w14:paraId="349346C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1.93</w:t>
                  </w:r>
                </w:p>
              </w:tc>
              <w:tc>
                <w:tcPr>
                  <w:tcW w:w="1125" w:type="dxa"/>
                  <w:hideMark/>
                </w:tcPr>
                <w:p w14:paraId="110DF2C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26.67</w:t>
                  </w:r>
                </w:p>
              </w:tc>
            </w:tr>
            <w:tr w:rsidR="00854C48" w:rsidRPr="00854C48" w14:paraId="1F75B1BB" w14:textId="77777777" w:rsidTr="765F4CCC">
              <w:trPr>
                <w:trHeight w:val="171"/>
              </w:trPr>
              <w:tc>
                <w:tcPr>
                  <w:tcW w:w="2672" w:type="dxa"/>
                  <w:hideMark/>
                </w:tcPr>
                <w:p w14:paraId="7A169E92" w14:textId="45484825"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Iron</w:t>
                  </w:r>
                  <w:r w:rsidR="00744B87">
                    <w:rPr>
                      <w:sz w:val="16"/>
                      <w:szCs w:val="16"/>
                    </w:rPr>
                    <w:t xml:space="preserve"> </w:t>
                  </w:r>
                  <w:r w:rsidRPr="765F4CCC">
                    <w:rPr>
                      <w:sz w:val="16"/>
                      <w:szCs w:val="16"/>
                    </w:rPr>
                    <w:t>(mcg/dL)</w:t>
                  </w:r>
                </w:p>
              </w:tc>
              <w:tc>
                <w:tcPr>
                  <w:tcW w:w="2620" w:type="dxa"/>
                  <w:hideMark/>
                </w:tcPr>
                <w:p w14:paraId="50CE4EF5"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15B7FA07"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0–224</w:t>
                  </w:r>
                </w:p>
              </w:tc>
              <w:tc>
                <w:tcPr>
                  <w:tcW w:w="2010" w:type="dxa"/>
                  <w:hideMark/>
                </w:tcPr>
                <w:p w14:paraId="4DFF9D08"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85.6</w:t>
                  </w:r>
                </w:p>
              </w:tc>
              <w:tc>
                <w:tcPr>
                  <w:tcW w:w="1125" w:type="dxa"/>
                  <w:hideMark/>
                </w:tcPr>
                <w:p w14:paraId="6238287A"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47.88</w:t>
                  </w:r>
                </w:p>
              </w:tc>
            </w:tr>
            <w:tr w:rsidR="00854C48" w:rsidRPr="00854C48" w14:paraId="1A45D449" w14:textId="77777777" w:rsidTr="765F4CCC">
              <w:trPr>
                <w:trHeight w:val="171"/>
              </w:trPr>
              <w:tc>
                <w:tcPr>
                  <w:tcW w:w="2672" w:type="dxa"/>
                  <w:hideMark/>
                </w:tcPr>
                <w:p w14:paraId="01300B82" w14:textId="01047F93"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Oxygen Saturation</w:t>
                  </w:r>
                  <w:r w:rsidR="00744B87">
                    <w:rPr>
                      <w:sz w:val="16"/>
                      <w:szCs w:val="16"/>
                    </w:rPr>
                    <w:t xml:space="preserve"> </w:t>
                  </w:r>
                  <w:r w:rsidRPr="765F4CCC">
                    <w:rPr>
                      <w:sz w:val="16"/>
                      <w:szCs w:val="16"/>
                    </w:rPr>
                    <w:t>(%)</w:t>
                  </w:r>
                </w:p>
              </w:tc>
              <w:tc>
                <w:tcPr>
                  <w:tcW w:w="2620" w:type="dxa"/>
                  <w:hideMark/>
                </w:tcPr>
                <w:p w14:paraId="2B363306"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hideMark/>
                </w:tcPr>
                <w:p w14:paraId="59503AE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0–126</w:t>
                  </w:r>
                </w:p>
              </w:tc>
              <w:tc>
                <w:tcPr>
                  <w:tcW w:w="2010" w:type="dxa"/>
                  <w:hideMark/>
                </w:tcPr>
                <w:p w14:paraId="75EFBCF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37.03</w:t>
                  </w:r>
                </w:p>
              </w:tc>
              <w:tc>
                <w:tcPr>
                  <w:tcW w:w="1125" w:type="dxa"/>
                  <w:hideMark/>
                </w:tcPr>
                <w:p w14:paraId="09303AA0"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48.48</w:t>
                  </w:r>
                </w:p>
              </w:tc>
            </w:tr>
            <w:tr w:rsidR="00854C48" w:rsidRPr="00854C48" w14:paraId="5DB10910" w14:textId="77777777" w:rsidTr="765F4CCC">
              <w:trPr>
                <w:trHeight w:val="234"/>
              </w:trPr>
              <w:tc>
                <w:tcPr>
                  <w:tcW w:w="2672" w:type="dxa"/>
                  <w:tcBorders>
                    <w:top w:val="nil"/>
                    <w:left w:val="nil"/>
                    <w:bottom w:val="single" w:sz="4" w:space="0" w:color="000000" w:themeColor="text1"/>
                    <w:right w:val="nil"/>
                  </w:tcBorders>
                  <w:hideMark/>
                </w:tcPr>
                <w:p w14:paraId="03EDA4ED" w14:textId="249ECC7F" w:rsidR="00854C48" w:rsidRPr="00854C48" w:rsidRDefault="765F4CCC" w:rsidP="00673158">
                  <w:pPr>
                    <w:framePr w:wrap="around" w:vAnchor="text" w:hAnchor="margin"/>
                    <w:spacing w:line="256" w:lineRule="auto"/>
                    <w:ind w:left="170"/>
                    <w:suppressOverlap/>
                    <w:rPr>
                      <w:sz w:val="16"/>
                      <w:szCs w:val="16"/>
                    </w:rPr>
                  </w:pPr>
                  <w:r w:rsidRPr="765F4CCC">
                    <w:rPr>
                      <w:sz w:val="16"/>
                      <w:szCs w:val="16"/>
                    </w:rPr>
                    <w:t>Ferritin</w:t>
                  </w:r>
                  <w:r w:rsidR="00744B87">
                    <w:rPr>
                      <w:sz w:val="16"/>
                      <w:szCs w:val="16"/>
                    </w:rPr>
                    <w:t xml:space="preserve"> </w:t>
                  </w:r>
                  <w:r w:rsidRPr="765F4CCC">
                    <w:rPr>
                      <w:sz w:val="16"/>
                      <w:szCs w:val="16"/>
                    </w:rPr>
                    <w:t>(ng/mL)</w:t>
                  </w:r>
                </w:p>
              </w:tc>
              <w:tc>
                <w:tcPr>
                  <w:tcW w:w="2620" w:type="dxa"/>
                  <w:tcBorders>
                    <w:top w:val="nil"/>
                    <w:left w:val="nil"/>
                    <w:bottom w:val="single" w:sz="4" w:space="0" w:color="000000" w:themeColor="text1"/>
                    <w:right w:val="nil"/>
                  </w:tcBorders>
                  <w:hideMark/>
                </w:tcPr>
                <w:p w14:paraId="4EDCD89C"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Quantitative/ratio</w:t>
                  </w:r>
                </w:p>
              </w:tc>
              <w:tc>
                <w:tcPr>
                  <w:tcW w:w="1973" w:type="dxa"/>
                  <w:tcBorders>
                    <w:top w:val="nil"/>
                    <w:left w:val="nil"/>
                    <w:bottom w:val="single" w:sz="4" w:space="0" w:color="000000" w:themeColor="text1"/>
                    <w:right w:val="nil"/>
                  </w:tcBorders>
                  <w:hideMark/>
                </w:tcPr>
                <w:p w14:paraId="096EC193"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0–2230</w:t>
                  </w:r>
                </w:p>
              </w:tc>
              <w:tc>
                <w:tcPr>
                  <w:tcW w:w="2010" w:type="dxa"/>
                  <w:tcBorders>
                    <w:top w:val="nil"/>
                    <w:left w:val="nil"/>
                    <w:bottom w:val="single" w:sz="4" w:space="0" w:color="000000" w:themeColor="text1"/>
                    <w:right w:val="nil"/>
                  </w:tcBorders>
                  <w:hideMark/>
                </w:tcPr>
                <w:p w14:paraId="7904E344"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439</w:t>
                  </w:r>
                </w:p>
              </w:tc>
              <w:tc>
                <w:tcPr>
                  <w:tcW w:w="1125" w:type="dxa"/>
                  <w:tcBorders>
                    <w:top w:val="nil"/>
                    <w:left w:val="nil"/>
                    <w:bottom w:val="single" w:sz="4" w:space="0" w:color="000000" w:themeColor="text1"/>
                    <w:right w:val="nil"/>
                  </w:tcBorders>
                  <w:hideMark/>
                </w:tcPr>
                <w:p w14:paraId="4B8F90C1" w14:textId="77777777" w:rsidR="00854C48" w:rsidRPr="00854C48" w:rsidRDefault="6817868B" w:rsidP="00673158">
                  <w:pPr>
                    <w:framePr w:wrap="around" w:vAnchor="text" w:hAnchor="margin"/>
                    <w:spacing w:line="256" w:lineRule="auto"/>
                    <w:suppressOverlap/>
                    <w:rPr>
                      <w:sz w:val="28"/>
                      <w:szCs w:val="28"/>
                    </w:rPr>
                  </w:pPr>
                  <w:r w:rsidRPr="6817868B">
                    <w:rPr>
                      <w:sz w:val="16"/>
                      <w:szCs w:val="16"/>
                    </w:rPr>
                    <w:t>48.48</w:t>
                  </w:r>
                </w:p>
              </w:tc>
            </w:tr>
          </w:tbl>
          <w:p w14:paraId="6BB5998E" w14:textId="77777777" w:rsidR="00854C48" w:rsidRDefault="00854C48">
            <w:pPr>
              <w:spacing w:after="160" w:line="256" w:lineRule="auto"/>
              <w:rPr>
                <w:rFonts w:ascii="Times New Roman" w:eastAsia="Times New Roman" w:hAnsi="Times New Roman" w:cs="Times New Roman"/>
                <w:color w:val="000000"/>
                <w:sz w:val="16"/>
              </w:rPr>
            </w:pPr>
          </w:p>
        </w:tc>
      </w:tr>
    </w:tbl>
    <w:p w14:paraId="7037169F" w14:textId="77777777" w:rsidR="00854C48" w:rsidRDefault="00854C48" w:rsidP="00DA71FE">
      <w:pPr>
        <w:pStyle w:val="NoSpacing"/>
        <w:jc w:val="both"/>
        <w:rPr>
          <w:rFonts w:ascii="Times New Roman" w:hAnsi="Times New Roman" w:cs="Times New Roman"/>
          <w:sz w:val="20"/>
          <w:lang w:val="en-IN"/>
        </w:rPr>
      </w:pPr>
    </w:p>
    <w:p w14:paraId="7D5B881B" w14:textId="77777777" w:rsidR="00C50B4A" w:rsidRPr="00DA71FE" w:rsidRDefault="00C50B4A" w:rsidP="00DA71FE">
      <w:pPr>
        <w:pStyle w:val="NoSpacing"/>
        <w:jc w:val="both"/>
        <w:rPr>
          <w:sz w:val="20"/>
          <w:lang w:val="en-IN"/>
        </w:rPr>
      </w:pPr>
    </w:p>
    <w:p w14:paraId="32FC64C2" w14:textId="1AA52D56" w:rsidR="005B6BE8" w:rsidRDefault="005B6BE8" w:rsidP="005B6BE8">
      <w:pPr>
        <w:pStyle w:val="Heading1"/>
        <w:rPr>
          <w:b/>
          <w:lang w:val="en-IN"/>
        </w:rPr>
      </w:pPr>
      <w:r w:rsidRPr="00C50B4A">
        <w:rPr>
          <w:b/>
          <w:lang w:val="en-IN"/>
        </w:rPr>
        <w:lastRenderedPageBreak/>
        <w:t>PROPOSED METHOD</w:t>
      </w:r>
    </w:p>
    <w:p w14:paraId="34BD482F" w14:textId="77777777" w:rsidR="005B6BE8" w:rsidRDefault="6817868B" w:rsidP="6817868B">
      <w:pPr>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 xml:space="preserve">In the proposed method, the DNN model has been constructed using 3 hidden layers in between the input and output layer. The weight variables have been uniformly assigned in each layer for better optimization. Activation function used in the hidden layers is the commonly used “Linear Rectifier unit” (Relu) and at the output layer the sigmoid activation function has been used to retrieve predicted values in a probabilistic way. The basic flow of the experiment conducted by the authors is as follows: </w:t>
      </w:r>
    </w:p>
    <w:p w14:paraId="5C870053" w14:textId="42181923" w:rsidR="005B6BE8" w:rsidRPr="00854C48" w:rsidRDefault="6817868B" w:rsidP="6817868B">
      <w:pPr>
        <w:pStyle w:val="ListParagraph"/>
        <w:numPr>
          <w:ilvl w:val="0"/>
          <w:numId w:val="14"/>
        </w:numPr>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 xml:space="preserve">Preprocessing of a database is a technique in the field of data-mining to transform raw untouched data into an understandable format. Usually, raw data contains missing values, inconsistent values and other lacking behavior. To avoid such issues, authors used preprocessing on the dataset. Normalizing, a process to deal with inconsistent values, is applied to scale the database values in a range of -1 and +1. </w:t>
      </w:r>
      <w:r w:rsidR="0052098A">
        <w:rPr>
          <w:rFonts w:ascii="Times New Roman" w:hAnsi="Times New Roman" w:cs="Times New Roman"/>
          <w:sz w:val="20"/>
          <w:szCs w:val="20"/>
          <w:lang w:val="en-IN"/>
        </w:rPr>
        <w:t>Some</w:t>
      </w:r>
      <w:r w:rsidRPr="6817868B">
        <w:rPr>
          <w:rFonts w:ascii="Times New Roman" w:hAnsi="Times New Roman" w:cs="Times New Roman"/>
          <w:sz w:val="20"/>
          <w:szCs w:val="20"/>
          <w:lang w:val="en-IN"/>
        </w:rPr>
        <w:t xml:space="preserve"> missing values were filled using the mean strategy method</w:t>
      </w:r>
      <w:r w:rsidR="003429C4">
        <w:rPr>
          <w:rFonts w:ascii="Times New Roman" w:hAnsi="Times New Roman" w:cs="Times New Roman"/>
          <w:sz w:val="20"/>
          <w:szCs w:val="20"/>
          <w:lang w:val="en-IN"/>
        </w:rPr>
        <w:t xml:space="preserve"> and some by most frequent method</w:t>
      </w:r>
      <w:r w:rsidRPr="6817868B">
        <w:rPr>
          <w:rFonts w:ascii="Times New Roman" w:hAnsi="Times New Roman" w:cs="Times New Roman"/>
          <w:sz w:val="20"/>
          <w:szCs w:val="20"/>
          <w:lang w:val="en-IN"/>
        </w:rPr>
        <w:t>.</w:t>
      </w:r>
    </w:p>
    <w:p w14:paraId="167C9D29" w14:textId="77777777" w:rsidR="004C4290" w:rsidRPr="00D93A41" w:rsidRDefault="004C4290" w:rsidP="004C4290">
      <w:pPr>
        <w:pStyle w:val="ListParagraph"/>
        <w:ind w:left="360"/>
        <w:jc w:val="both"/>
        <w:rPr>
          <w:rFonts w:ascii="Times New Roman" w:hAnsi="Times New Roman" w:cs="Times New Roman"/>
          <w:sz w:val="20"/>
          <w:lang w:val="en-IN"/>
        </w:rPr>
      </w:pPr>
    </w:p>
    <w:p w14:paraId="42245468" w14:textId="45A5F514" w:rsidR="005B6BE8" w:rsidRDefault="6817868B" w:rsidP="6817868B">
      <w:pPr>
        <w:pStyle w:val="ListParagraph"/>
        <w:numPr>
          <w:ilvl w:val="0"/>
          <w:numId w:val="14"/>
        </w:numPr>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The significant features which were having the most effect on the survival prediction value, were selected using the statistical correlation method to avoid unnecessary complexity in the model.</w:t>
      </w:r>
    </w:p>
    <w:p w14:paraId="47AD6CB5" w14:textId="77777777" w:rsidR="004C4290" w:rsidRPr="004C4290" w:rsidRDefault="004C4290" w:rsidP="004C4290">
      <w:pPr>
        <w:pStyle w:val="ListParagraph"/>
        <w:rPr>
          <w:rFonts w:ascii="Times New Roman" w:hAnsi="Times New Roman" w:cs="Times New Roman"/>
          <w:sz w:val="20"/>
          <w:lang w:val="en-IN"/>
        </w:rPr>
      </w:pPr>
    </w:p>
    <w:p w14:paraId="0AB7C92D" w14:textId="77777777" w:rsidR="004C4290" w:rsidRDefault="004C4290" w:rsidP="004C4290">
      <w:pPr>
        <w:pStyle w:val="ListParagraph"/>
        <w:ind w:left="360"/>
        <w:jc w:val="both"/>
        <w:rPr>
          <w:rFonts w:ascii="Times New Roman" w:hAnsi="Times New Roman" w:cs="Times New Roman"/>
          <w:sz w:val="20"/>
          <w:lang w:val="en-IN"/>
        </w:rPr>
      </w:pPr>
    </w:p>
    <w:p w14:paraId="06C6F4F9" w14:textId="13FCBE14" w:rsidR="005B6BE8" w:rsidRDefault="6817868B" w:rsidP="6817868B">
      <w:pPr>
        <w:pStyle w:val="ListParagraph"/>
        <w:numPr>
          <w:ilvl w:val="0"/>
          <w:numId w:val="14"/>
        </w:numPr>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Then the whole dataset was divided into training and testing set in a ratio of 7:3. Both the training and testing set data have been shuffled to get the optimal result at the end of the experiment.</w:t>
      </w:r>
    </w:p>
    <w:p w14:paraId="6214B8F7" w14:textId="77777777" w:rsidR="004C4290" w:rsidRPr="00E161F9" w:rsidRDefault="004C4290" w:rsidP="004C4290">
      <w:pPr>
        <w:pStyle w:val="ListParagraph"/>
        <w:ind w:left="360"/>
        <w:jc w:val="both"/>
        <w:rPr>
          <w:rFonts w:ascii="Times New Roman" w:hAnsi="Times New Roman" w:cs="Times New Roman"/>
          <w:sz w:val="20"/>
          <w:lang w:val="en-IN"/>
        </w:rPr>
      </w:pPr>
    </w:p>
    <w:p w14:paraId="19B0AA1C" w14:textId="5008C24F" w:rsidR="005B6BE8" w:rsidRDefault="6817868B" w:rsidP="6817868B">
      <w:pPr>
        <w:pStyle w:val="ListParagraph"/>
        <w:numPr>
          <w:ilvl w:val="0"/>
          <w:numId w:val="14"/>
        </w:numPr>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In the training phase, the training dataset was supplied to the DNN classifier model to train. The optimizer used to reduce the generated error is “Adam” optimizer with a learning rate of 0.03 and the loss function used was “Binary cross-entropy” function. The model was trained with a batch size of 20 and number of epochs being 100.</w:t>
      </w:r>
    </w:p>
    <w:p w14:paraId="276837EC" w14:textId="77777777" w:rsidR="004C4290" w:rsidRPr="004C4290" w:rsidRDefault="004C4290" w:rsidP="004C4290">
      <w:pPr>
        <w:pStyle w:val="ListParagraph"/>
        <w:rPr>
          <w:rFonts w:ascii="Times New Roman" w:hAnsi="Times New Roman" w:cs="Times New Roman"/>
          <w:sz w:val="20"/>
          <w:lang w:val="en-IN"/>
        </w:rPr>
      </w:pPr>
    </w:p>
    <w:p w14:paraId="7B131DB9" w14:textId="77777777" w:rsidR="004C4290" w:rsidRPr="00E161F9" w:rsidRDefault="004C4290" w:rsidP="004C4290">
      <w:pPr>
        <w:pStyle w:val="ListParagraph"/>
        <w:ind w:left="360"/>
        <w:jc w:val="both"/>
        <w:rPr>
          <w:rFonts w:ascii="Times New Roman" w:hAnsi="Times New Roman" w:cs="Times New Roman"/>
          <w:sz w:val="20"/>
          <w:lang w:val="en-IN"/>
        </w:rPr>
      </w:pPr>
    </w:p>
    <w:p w14:paraId="297AA9BF" w14:textId="3D0224E9" w:rsidR="005B6BE8" w:rsidRDefault="6817868B" w:rsidP="6817868B">
      <w:pPr>
        <w:pStyle w:val="ListParagraph"/>
        <w:numPr>
          <w:ilvl w:val="0"/>
          <w:numId w:val="14"/>
        </w:numPr>
        <w:jc w:val="both"/>
        <w:rPr>
          <w:rFonts w:ascii="Times New Roman" w:hAnsi="Times New Roman" w:cs="Times New Roman"/>
          <w:sz w:val="20"/>
          <w:szCs w:val="20"/>
          <w:lang w:val="en-IN"/>
        </w:rPr>
      </w:pPr>
      <w:r w:rsidRPr="6817868B">
        <w:rPr>
          <w:rFonts w:ascii="Times New Roman" w:hAnsi="Times New Roman" w:cs="Times New Roman"/>
          <w:sz w:val="20"/>
          <w:szCs w:val="20"/>
          <w:lang w:val="en-IN"/>
        </w:rPr>
        <w:t>During the evaluation phase, the test dataset was supplied to the model, to predict the outcomes with a probabilistic value ranging from 0 to 1. The threshold value used to determine the output was 0.5.</w:t>
      </w:r>
    </w:p>
    <w:p w14:paraId="164ECD2C" w14:textId="61577C96" w:rsidR="003B31BA" w:rsidRDefault="003B31BA" w:rsidP="003B31BA">
      <w:pPr>
        <w:pStyle w:val="ListParagraph"/>
        <w:ind w:left="360"/>
        <w:jc w:val="both"/>
        <w:rPr>
          <w:rFonts w:ascii="Times New Roman" w:hAnsi="Times New Roman" w:cs="Times New Roman"/>
          <w:sz w:val="20"/>
          <w:lang w:val="en-IN"/>
        </w:rPr>
      </w:pPr>
    </w:p>
    <w:p w14:paraId="74536294" w14:textId="0A3629BA" w:rsidR="004C4290" w:rsidRDefault="004C4290" w:rsidP="003B31BA">
      <w:pPr>
        <w:pStyle w:val="ListParagraph"/>
        <w:ind w:left="360"/>
        <w:jc w:val="both"/>
        <w:rPr>
          <w:rFonts w:ascii="Times New Roman" w:hAnsi="Times New Roman" w:cs="Times New Roman"/>
          <w:sz w:val="20"/>
          <w:lang w:val="en-IN"/>
        </w:rPr>
      </w:pPr>
    </w:p>
    <w:p w14:paraId="5F0D9613" w14:textId="51312143" w:rsidR="003B31BA" w:rsidRDefault="003B31BA" w:rsidP="003B31BA">
      <w:pPr>
        <w:pStyle w:val="ListParagraph"/>
        <w:ind w:left="360"/>
        <w:jc w:val="both"/>
        <w:rPr>
          <w:rFonts w:ascii="Times New Roman" w:hAnsi="Times New Roman" w:cs="Times New Roman"/>
          <w:sz w:val="20"/>
          <w:lang w:val="en-IN"/>
        </w:rPr>
      </w:pPr>
      <w:r>
        <w:rPr>
          <w:rFonts w:ascii="Times New Roman" w:hAnsi="Times New Roman" w:cs="Times New Roman"/>
          <w:noProof/>
          <w:sz w:val="20"/>
          <w:lang w:val="en-IN"/>
        </w:rPr>
        <w:drawing>
          <wp:inline distT="0" distB="0" distL="0" distR="0" wp14:anchorId="64D5E00E" wp14:editId="4D7FDB05">
            <wp:extent cx="3016155" cy="440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37" cy="4414720"/>
                    </a:xfrm>
                    <a:prstGeom prst="rect">
                      <a:avLst/>
                    </a:prstGeom>
                    <a:noFill/>
                    <a:ln>
                      <a:noFill/>
                    </a:ln>
                  </pic:spPr>
                </pic:pic>
              </a:graphicData>
            </a:graphic>
          </wp:inline>
        </w:drawing>
      </w:r>
    </w:p>
    <w:p w14:paraId="4DC90B24" w14:textId="0933AF6D" w:rsidR="005B6BE8" w:rsidRDefault="6817868B" w:rsidP="6817868B">
      <w:pPr>
        <w:jc w:val="center"/>
        <w:rPr>
          <w:lang w:val="en-IN"/>
        </w:rPr>
      </w:pPr>
      <w:r w:rsidRPr="6817868B">
        <w:rPr>
          <w:b/>
          <w:bCs/>
          <w:lang w:val="en-IN"/>
        </w:rPr>
        <w:t>Fig 1.</w:t>
      </w:r>
      <w:r w:rsidRPr="6817868B">
        <w:rPr>
          <w:lang w:val="en-IN"/>
        </w:rPr>
        <w:t xml:space="preserve"> Flowchart of the DNN training</w:t>
      </w:r>
    </w:p>
    <w:p w14:paraId="7E54BDA5" w14:textId="77777777" w:rsidR="003B31BA" w:rsidRPr="005B6BE8" w:rsidRDefault="003B31BA" w:rsidP="005B6BE8">
      <w:pPr>
        <w:rPr>
          <w:lang w:val="en-IN"/>
        </w:rPr>
      </w:pPr>
    </w:p>
    <w:p w14:paraId="0FE0B30D" w14:textId="66E495B7" w:rsidR="003026C0" w:rsidRDefault="003F107A" w:rsidP="003F107A">
      <w:pPr>
        <w:pStyle w:val="Heading1"/>
        <w:rPr>
          <w:b/>
          <w:lang w:val="en-IN"/>
        </w:rPr>
      </w:pPr>
      <w:r>
        <w:rPr>
          <w:b/>
          <w:lang w:val="en-IN"/>
        </w:rPr>
        <w:t>RESULTS</w:t>
      </w:r>
    </w:p>
    <w:p w14:paraId="4189831A" w14:textId="53776019" w:rsidR="00C72393" w:rsidRPr="00C72393" w:rsidRDefault="6817868B" w:rsidP="6817868B">
      <w:pPr>
        <w:autoSpaceDE w:val="0"/>
        <w:autoSpaceDN w:val="0"/>
        <w:adjustRightInd w:val="0"/>
        <w:spacing w:after="0" w:line="240" w:lineRule="auto"/>
        <w:jc w:val="both"/>
        <w:rPr>
          <w:rFonts w:ascii="XqstpmAdvPTimes" w:hAnsi="XqstpmAdvPTimes" w:cs="XqstpmAdvPTimes"/>
          <w:sz w:val="20"/>
          <w:szCs w:val="20"/>
        </w:rPr>
      </w:pPr>
      <w:r w:rsidRPr="6817868B">
        <w:rPr>
          <w:rFonts w:ascii="Times New Roman" w:hAnsi="Times New Roman" w:cs="Times New Roman"/>
          <w:sz w:val="20"/>
          <w:szCs w:val="20"/>
          <w:lang w:val="en-IN"/>
        </w:rPr>
        <w:t xml:space="preserve">After the execution of both the training and testing phases, the performance of the proposed DNN model was evaluated based on some performance matrices. </w:t>
      </w:r>
      <w:r w:rsidRPr="6817868B">
        <w:rPr>
          <w:rFonts w:ascii="XqstpmAdvPTimes" w:hAnsi="XqstpmAdvPTimes" w:cs="XqstpmAdvPTimes"/>
          <w:sz w:val="20"/>
          <w:szCs w:val="20"/>
        </w:rPr>
        <w:t xml:space="preserve">Theses performance metrics are such as: i) the accuracy, which is defined as a ratio of sum of the instances classified correctly to the total number of instances, (ii) precision, which is known as the ratio of correctly classified data in positive class to the total number of data classified as to be in positive class, (iii) recall (TP rate), which is defined as the ratio of tp to the total number of instances classified under positive class. </w:t>
      </w:r>
    </w:p>
    <w:p w14:paraId="2B07C79E" w14:textId="6481B384" w:rsidR="00F92200" w:rsidRDefault="00F92200" w:rsidP="003A37DF">
      <w:pPr>
        <w:pStyle w:val="ListParagraph"/>
        <w:ind w:left="360"/>
        <w:jc w:val="both"/>
        <w:rPr>
          <w:rFonts w:ascii="Times New Roman" w:hAnsi="Times New Roman" w:cs="Times New Roman"/>
          <w:sz w:val="20"/>
          <w:lang w:val="en-IN"/>
        </w:rPr>
      </w:pPr>
    </w:p>
    <w:tbl>
      <w:tblPr>
        <w:tblpPr w:leftFromText="180" w:rightFromText="180" w:vertAnchor="text" w:horzAnchor="page" w:tblpX="6620" w:tblpY="4"/>
        <w:tblW w:w="4134" w:type="dxa"/>
        <w:tblLook w:val="04A0" w:firstRow="1" w:lastRow="0" w:firstColumn="1" w:lastColumn="0" w:noHBand="0" w:noVBand="1"/>
      </w:tblPr>
      <w:tblGrid>
        <w:gridCol w:w="1540"/>
        <w:gridCol w:w="1320"/>
        <w:gridCol w:w="1274"/>
      </w:tblGrid>
      <w:tr w:rsidR="00F92200" w:rsidRPr="00F92200" w14:paraId="366767CB" w14:textId="77777777" w:rsidTr="6817868B">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D8E8C"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Predicted Class</w:t>
            </w:r>
          </w:p>
        </w:tc>
        <w:tc>
          <w:tcPr>
            <w:tcW w:w="1320" w:type="dxa"/>
            <w:tcBorders>
              <w:top w:val="single" w:sz="4" w:space="0" w:color="auto"/>
              <w:left w:val="nil"/>
              <w:bottom w:val="nil"/>
              <w:right w:val="single" w:sz="4" w:space="0" w:color="auto"/>
            </w:tcBorders>
            <w:shd w:val="clear" w:color="auto" w:fill="auto"/>
            <w:noWrap/>
            <w:vAlign w:val="bottom"/>
            <w:hideMark/>
          </w:tcPr>
          <w:p w14:paraId="5EC26C7F"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PREDICTED:</w:t>
            </w:r>
          </w:p>
        </w:tc>
        <w:tc>
          <w:tcPr>
            <w:tcW w:w="1274" w:type="dxa"/>
            <w:tcBorders>
              <w:top w:val="single" w:sz="4" w:space="0" w:color="auto"/>
              <w:left w:val="nil"/>
              <w:bottom w:val="nil"/>
              <w:right w:val="single" w:sz="4" w:space="0" w:color="auto"/>
            </w:tcBorders>
            <w:shd w:val="clear" w:color="auto" w:fill="auto"/>
            <w:noWrap/>
            <w:vAlign w:val="bottom"/>
            <w:hideMark/>
          </w:tcPr>
          <w:p w14:paraId="63C92398"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PREDICTED:</w:t>
            </w:r>
          </w:p>
        </w:tc>
      </w:tr>
      <w:tr w:rsidR="00F92200" w:rsidRPr="00F92200" w14:paraId="0071E770" w14:textId="77777777" w:rsidTr="6817868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805ADF7"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Actual Class</w:t>
            </w:r>
          </w:p>
        </w:tc>
        <w:tc>
          <w:tcPr>
            <w:tcW w:w="1320" w:type="dxa"/>
            <w:tcBorders>
              <w:top w:val="nil"/>
              <w:left w:val="nil"/>
              <w:bottom w:val="single" w:sz="4" w:space="0" w:color="auto"/>
              <w:right w:val="single" w:sz="4" w:space="0" w:color="auto"/>
            </w:tcBorders>
            <w:shd w:val="clear" w:color="auto" w:fill="auto"/>
            <w:noWrap/>
            <w:vAlign w:val="bottom"/>
            <w:hideMark/>
          </w:tcPr>
          <w:p w14:paraId="4CEFA0B1"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0</w:t>
            </w:r>
          </w:p>
        </w:tc>
        <w:tc>
          <w:tcPr>
            <w:tcW w:w="1274" w:type="dxa"/>
            <w:tcBorders>
              <w:top w:val="nil"/>
              <w:left w:val="nil"/>
              <w:bottom w:val="single" w:sz="4" w:space="0" w:color="auto"/>
              <w:right w:val="single" w:sz="4" w:space="0" w:color="auto"/>
            </w:tcBorders>
            <w:shd w:val="clear" w:color="auto" w:fill="auto"/>
            <w:noWrap/>
            <w:vAlign w:val="bottom"/>
            <w:hideMark/>
          </w:tcPr>
          <w:p w14:paraId="1FF4767A"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1</w:t>
            </w:r>
          </w:p>
        </w:tc>
      </w:tr>
      <w:tr w:rsidR="00F92200" w:rsidRPr="00F92200" w14:paraId="437A8B8D" w14:textId="77777777" w:rsidTr="6817868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CC8613F"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TRUE: 0</w:t>
            </w:r>
          </w:p>
        </w:tc>
        <w:tc>
          <w:tcPr>
            <w:tcW w:w="1320" w:type="dxa"/>
            <w:tcBorders>
              <w:top w:val="nil"/>
              <w:left w:val="nil"/>
              <w:bottom w:val="single" w:sz="4" w:space="0" w:color="auto"/>
              <w:right w:val="single" w:sz="4" w:space="0" w:color="auto"/>
            </w:tcBorders>
            <w:shd w:val="clear" w:color="auto" w:fill="auto"/>
            <w:noWrap/>
            <w:vAlign w:val="bottom"/>
            <w:hideMark/>
          </w:tcPr>
          <w:p w14:paraId="1E477226"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11</w:t>
            </w:r>
          </w:p>
        </w:tc>
        <w:tc>
          <w:tcPr>
            <w:tcW w:w="1274" w:type="dxa"/>
            <w:tcBorders>
              <w:top w:val="nil"/>
              <w:left w:val="nil"/>
              <w:bottom w:val="single" w:sz="4" w:space="0" w:color="auto"/>
              <w:right w:val="single" w:sz="4" w:space="0" w:color="auto"/>
            </w:tcBorders>
            <w:shd w:val="clear" w:color="auto" w:fill="auto"/>
            <w:noWrap/>
            <w:vAlign w:val="bottom"/>
            <w:hideMark/>
          </w:tcPr>
          <w:p w14:paraId="35F2ECFE"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6</w:t>
            </w:r>
          </w:p>
        </w:tc>
      </w:tr>
      <w:tr w:rsidR="00F92200" w:rsidRPr="00F92200" w14:paraId="2E57832B" w14:textId="77777777" w:rsidTr="6817868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F487617"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TRUE: 1</w:t>
            </w:r>
          </w:p>
        </w:tc>
        <w:tc>
          <w:tcPr>
            <w:tcW w:w="1320" w:type="dxa"/>
            <w:tcBorders>
              <w:top w:val="nil"/>
              <w:left w:val="nil"/>
              <w:bottom w:val="single" w:sz="4" w:space="0" w:color="auto"/>
              <w:right w:val="single" w:sz="4" w:space="0" w:color="auto"/>
            </w:tcBorders>
            <w:shd w:val="clear" w:color="auto" w:fill="auto"/>
            <w:noWrap/>
            <w:vAlign w:val="bottom"/>
            <w:hideMark/>
          </w:tcPr>
          <w:p w14:paraId="29E73057"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8</w:t>
            </w:r>
          </w:p>
        </w:tc>
        <w:tc>
          <w:tcPr>
            <w:tcW w:w="1274" w:type="dxa"/>
            <w:tcBorders>
              <w:top w:val="nil"/>
              <w:left w:val="nil"/>
              <w:bottom w:val="single" w:sz="4" w:space="0" w:color="auto"/>
              <w:right w:val="single" w:sz="4" w:space="0" w:color="auto"/>
            </w:tcBorders>
            <w:shd w:val="clear" w:color="auto" w:fill="auto"/>
            <w:noWrap/>
            <w:vAlign w:val="bottom"/>
            <w:hideMark/>
          </w:tcPr>
          <w:p w14:paraId="2536473C" w14:textId="77777777" w:rsidR="00F92200" w:rsidRPr="00F92200"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25</w:t>
            </w:r>
          </w:p>
        </w:tc>
      </w:tr>
    </w:tbl>
    <w:p w14:paraId="5ED0B4DB" w14:textId="0EF434F9" w:rsidR="00F92200" w:rsidRDefault="6817868B" w:rsidP="6817868B">
      <w:pPr>
        <w:pStyle w:val="ListParagraph"/>
        <w:ind w:left="360"/>
        <w:jc w:val="center"/>
        <w:rPr>
          <w:rFonts w:ascii="Times New Roman" w:hAnsi="Times New Roman" w:cs="Times New Roman"/>
          <w:sz w:val="20"/>
          <w:szCs w:val="20"/>
          <w:lang w:val="en-IN"/>
        </w:rPr>
      </w:pPr>
      <w:r w:rsidRPr="6817868B">
        <w:rPr>
          <w:rFonts w:ascii="Times New Roman" w:hAnsi="Times New Roman" w:cs="Times New Roman"/>
          <w:b/>
          <w:bCs/>
          <w:sz w:val="20"/>
          <w:szCs w:val="20"/>
          <w:lang w:val="en-IN"/>
        </w:rPr>
        <w:t>Table 2</w:t>
      </w:r>
      <w:r w:rsidRPr="6817868B">
        <w:rPr>
          <w:rFonts w:ascii="Times New Roman" w:hAnsi="Times New Roman" w:cs="Times New Roman"/>
          <w:sz w:val="20"/>
          <w:szCs w:val="20"/>
          <w:lang w:val="en-IN"/>
        </w:rPr>
        <w:t>. Confusion Matrix of the DNN Model</w:t>
      </w:r>
    </w:p>
    <w:p w14:paraId="07885413" w14:textId="140E1DDE" w:rsidR="00F92200" w:rsidRDefault="00F92200" w:rsidP="00F92200">
      <w:pPr>
        <w:pStyle w:val="ListParagraph"/>
        <w:ind w:left="360"/>
        <w:jc w:val="center"/>
        <w:rPr>
          <w:rFonts w:ascii="Times New Roman" w:hAnsi="Times New Roman" w:cs="Times New Roman"/>
          <w:sz w:val="20"/>
          <w:lang w:val="en-IN"/>
        </w:rPr>
      </w:pPr>
    </w:p>
    <w:p w14:paraId="29FAAA37" w14:textId="77777777" w:rsidR="000A5356" w:rsidRPr="003A37DF" w:rsidRDefault="00F92200" w:rsidP="00F92200">
      <w:pPr>
        <w:pStyle w:val="ListParagraph"/>
        <w:ind w:left="360"/>
        <w:jc w:val="center"/>
        <w:rPr>
          <w:rFonts w:ascii="Times New Roman" w:hAnsi="Times New Roman" w:cs="Times New Roman"/>
          <w:sz w:val="20"/>
          <w:lang w:val="en-IN"/>
        </w:rPr>
      </w:pPr>
      <w:r>
        <w:rPr>
          <w:rFonts w:ascii="Times New Roman" w:hAnsi="Times New Roman" w:cs="Times New Roman"/>
          <w:sz w:val="20"/>
          <w:lang w:val="en-IN"/>
        </w:rPr>
        <w:br w:type="column"/>
      </w:r>
    </w:p>
    <w:tbl>
      <w:tblPr>
        <w:tblW w:w="4855" w:type="dxa"/>
        <w:jc w:val="center"/>
        <w:tblLook w:val="04A0" w:firstRow="1" w:lastRow="0" w:firstColumn="1" w:lastColumn="0" w:noHBand="0" w:noVBand="1"/>
      </w:tblPr>
      <w:tblGrid>
        <w:gridCol w:w="1191"/>
        <w:gridCol w:w="1054"/>
        <w:gridCol w:w="990"/>
        <w:gridCol w:w="1620"/>
      </w:tblGrid>
      <w:tr w:rsidR="000A5356" w:rsidRPr="000A5356" w14:paraId="0B8C7F03" w14:textId="77777777" w:rsidTr="6817868B">
        <w:trPr>
          <w:trHeight w:val="30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0BABA" w14:textId="77777777" w:rsidR="000A5356" w:rsidRPr="000A5356" w:rsidRDefault="6817868B" w:rsidP="6817868B">
            <w:pPr>
              <w:spacing w:after="0" w:line="240" w:lineRule="auto"/>
              <w:rPr>
                <w:rFonts w:ascii="Calibri" w:eastAsia="Times New Roman" w:hAnsi="Calibri" w:cs="Times New Roman"/>
                <w:color w:val="000000" w:themeColor="text1"/>
              </w:rPr>
            </w:pPr>
            <w:r w:rsidRPr="6817868B">
              <w:rPr>
                <w:rFonts w:ascii="Calibri" w:eastAsia="Times New Roman" w:hAnsi="Calibri" w:cs="Times New Roman"/>
                <w:color w:val="000000" w:themeColor="text1"/>
              </w:rPr>
              <w:t> </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9E834A1" w14:textId="14D34EA4"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DNN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C37F423" w14:textId="708A9CD1"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KNN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99D888D" w14:textId="42A5DFE1"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SVM (%)</w:t>
            </w:r>
          </w:p>
        </w:tc>
      </w:tr>
      <w:tr w:rsidR="000A5356" w:rsidRPr="000A5356" w14:paraId="08F5C6DE" w14:textId="77777777" w:rsidTr="6817868B">
        <w:trPr>
          <w:trHeight w:val="300"/>
          <w:jc w:val="center"/>
        </w:trPr>
        <w:tc>
          <w:tcPr>
            <w:tcW w:w="1191" w:type="dxa"/>
            <w:tcBorders>
              <w:top w:val="nil"/>
              <w:left w:val="single" w:sz="4" w:space="0" w:color="auto"/>
              <w:bottom w:val="single" w:sz="4" w:space="0" w:color="auto"/>
              <w:right w:val="single" w:sz="4" w:space="0" w:color="auto"/>
            </w:tcBorders>
            <w:shd w:val="clear" w:color="auto" w:fill="auto"/>
            <w:noWrap/>
            <w:vAlign w:val="bottom"/>
            <w:hideMark/>
          </w:tcPr>
          <w:p w14:paraId="27F15E3F" w14:textId="77777777"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ACCURACY</w:t>
            </w:r>
          </w:p>
        </w:tc>
        <w:tc>
          <w:tcPr>
            <w:tcW w:w="1054" w:type="dxa"/>
            <w:tcBorders>
              <w:top w:val="nil"/>
              <w:left w:val="nil"/>
              <w:bottom w:val="single" w:sz="4" w:space="0" w:color="auto"/>
              <w:right w:val="single" w:sz="4" w:space="0" w:color="auto"/>
            </w:tcBorders>
            <w:shd w:val="clear" w:color="auto" w:fill="auto"/>
            <w:noWrap/>
            <w:vAlign w:val="center"/>
            <w:hideMark/>
          </w:tcPr>
          <w:p w14:paraId="71B96DA7"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72</w:t>
            </w:r>
          </w:p>
        </w:tc>
        <w:tc>
          <w:tcPr>
            <w:tcW w:w="990" w:type="dxa"/>
            <w:tcBorders>
              <w:top w:val="nil"/>
              <w:left w:val="nil"/>
              <w:bottom w:val="single" w:sz="4" w:space="0" w:color="auto"/>
              <w:right w:val="single" w:sz="4" w:space="0" w:color="auto"/>
            </w:tcBorders>
            <w:shd w:val="clear" w:color="auto" w:fill="auto"/>
            <w:noWrap/>
            <w:vAlign w:val="center"/>
            <w:hideMark/>
          </w:tcPr>
          <w:p w14:paraId="71B0868B"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64</w:t>
            </w:r>
          </w:p>
        </w:tc>
        <w:tc>
          <w:tcPr>
            <w:tcW w:w="1620" w:type="dxa"/>
            <w:tcBorders>
              <w:top w:val="nil"/>
              <w:left w:val="nil"/>
              <w:bottom w:val="single" w:sz="4" w:space="0" w:color="auto"/>
              <w:right w:val="single" w:sz="4" w:space="0" w:color="auto"/>
            </w:tcBorders>
            <w:shd w:val="clear" w:color="auto" w:fill="auto"/>
            <w:noWrap/>
            <w:vAlign w:val="center"/>
            <w:hideMark/>
          </w:tcPr>
          <w:p w14:paraId="1C266B79"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58</w:t>
            </w:r>
          </w:p>
        </w:tc>
      </w:tr>
      <w:tr w:rsidR="000A5356" w:rsidRPr="000A5356" w14:paraId="7E0BCEBF" w14:textId="77777777" w:rsidTr="6817868B">
        <w:trPr>
          <w:trHeight w:val="300"/>
          <w:jc w:val="center"/>
        </w:trPr>
        <w:tc>
          <w:tcPr>
            <w:tcW w:w="1191" w:type="dxa"/>
            <w:tcBorders>
              <w:top w:val="nil"/>
              <w:left w:val="single" w:sz="4" w:space="0" w:color="auto"/>
              <w:bottom w:val="single" w:sz="4" w:space="0" w:color="auto"/>
              <w:right w:val="single" w:sz="4" w:space="0" w:color="auto"/>
            </w:tcBorders>
            <w:shd w:val="clear" w:color="auto" w:fill="auto"/>
            <w:noWrap/>
            <w:vAlign w:val="bottom"/>
            <w:hideMark/>
          </w:tcPr>
          <w:p w14:paraId="57DAF82E" w14:textId="77777777"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PRECISION</w:t>
            </w:r>
          </w:p>
        </w:tc>
        <w:tc>
          <w:tcPr>
            <w:tcW w:w="1054" w:type="dxa"/>
            <w:tcBorders>
              <w:top w:val="nil"/>
              <w:left w:val="nil"/>
              <w:bottom w:val="single" w:sz="4" w:space="0" w:color="auto"/>
              <w:right w:val="single" w:sz="4" w:space="0" w:color="auto"/>
            </w:tcBorders>
            <w:shd w:val="clear" w:color="auto" w:fill="auto"/>
            <w:noWrap/>
            <w:vAlign w:val="center"/>
            <w:hideMark/>
          </w:tcPr>
          <w:p w14:paraId="066FEC22"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57.89</w:t>
            </w:r>
          </w:p>
        </w:tc>
        <w:tc>
          <w:tcPr>
            <w:tcW w:w="990" w:type="dxa"/>
            <w:tcBorders>
              <w:top w:val="nil"/>
              <w:left w:val="nil"/>
              <w:bottom w:val="single" w:sz="4" w:space="0" w:color="auto"/>
              <w:right w:val="single" w:sz="4" w:space="0" w:color="auto"/>
            </w:tcBorders>
            <w:shd w:val="clear" w:color="auto" w:fill="auto"/>
            <w:noWrap/>
            <w:vAlign w:val="center"/>
            <w:hideMark/>
          </w:tcPr>
          <w:p w14:paraId="0EC28BA7"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66.66</w:t>
            </w:r>
          </w:p>
        </w:tc>
        <w:tc>
          <w:tcPr>
            <w:tcW w:w="1620" w:type="dxa"/>
            <w:tcBorders>
              <w:top w:val="nil"/>
              <w:left w:val="nil"/>
              <w:bottom w:val="single" w:sz="4" w:space="0" w:color="auto"/>
              <w:right w:val="single" w:sz="4" w:space="0" w:color="auto"/>
            </w:tcBorders>
            <w:shd w:val="clear" w:color="auto" w:fill="auto"/>
            <w:noWrap/>
            <w:vAlign w:val="bottom"/>
            <w:hideMark/>
          </w:tcPr>
          <w:p w14:paraId="58743B17" w14:textId="77777777"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0</w:t>
            </w:r>
          </w:p>
        </w:tc>
      </w:tr>
      <w:tr w:rsidR="000A5356" w:rsidRPr="000A5356" w14:paraId="6D3B8126" w14:textId="77777777" w:rsidTr="6817868B">
        <w:trPr>
          <w:trHeight w:val="300"/>
          <w:jc w:val="center"/>
        </w:trPr>
        <w:tc>
          <w:tcPr>
            <w:tcW w:w="1191" w:type="dxa"/>
            <w:tcBorders>
              <w:top w:val="nil"/>
              <w:left w:val="single" w:sz="4" w:space="0" w:color="auto"/>
              <w:bottom w:val="single" w:sz="4" w:space="0" w:color="auto"/>
              <w:right w:val="single" w:sz="4" w:space="0" w:color="auto"/>
            </w:tcBorders>
            <w:shd w:val="clear" w:color="auto" w:fill="auto"/>
            <w:noWrap/>
            <w:vAlign w:val="bottom"/>
            <w:hideMark/>
          </w:tcPr>
          <w:p w14:paraId="26077D15" w14:textId="77777777" w:rsidR="000A5356" w:rsidRPr="000A5356" w:rsidRDefault="6817868B" w:rsidP="6817868B">
            <w:pPr>
              <w:spacing w:after="0" w:line="240" w:lineRule="auto"/>
              <w:jc w:val="center"/>
              <w:rPr>
                <w:rFonts w:ascii="Calibri" w:eastAsia="Times New Roman" w:hAnsi="Calibri" w:cs="Times New Roman"/>
                <w:color w:val="000000" w:themeColor="text1"/>
              </w:rPr>
            </w:pPr>
            <w:r w:rsidRPr="6817868B">
              <w:rPr>
                <w:rFonts w:ascii="Calibri" w:eastAsia="Times New Roman" w:hAnsi="Calibri" w:cs="Times New Roman"/>
                <w:color w:val="000000" w:themeColor="text1"/>
              </w:rPr>
              <w:t>RECALL</w:t>
            </w:r>
          </w:p>
        </w:tc>
        <w:tc>
          <w:tcPr>
            <w:tcW w:w="1054" w:type="dxa"/>
            <w:tcBorders>
              <w:top w:val="nil"/>
              <w:left w:val="nil"/>
              <w:bottom w:val="single" w:sz="4" w:space="0" w:color="auto"/>
              <w:right w:val="single" w:sz="4" w:space="0" w:color="auto"/>
            </w:tcBorders>
            <w:shd w:val="clear" w:color="auto" w:fill="auto"/>
            <w:noWrap/>
            <w:vAlign w:val="center"/>
            <w:hideMark/>
          </w:tcPr>
          <w:p w14:paraId="085666AC"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64.7</w:t>
            </w:r>
          </w:p>
        </w:tc>
        <w:tc>
          <w:tcPr>
            <w:tcW w:w="990" w:type="dxa"/>
            <w:tcBorders>
              <w:top w:val="nil"/>
              <w:left w:val="nil"/>
              <w:bottom w:val="single" w:sz="4" w:space="0" w:color="auto"/>
              <w:right w:val="single" w:sz="4" w:space="0" w:color="auto"/>
            </w:tcBorders>
            <w:shd w:val="clear" w:color="auto" w:fill="auto"/>
            <w:noWrap/>
            <w:vAlign w:val="center"/>
            <w:hideMark/>
          </w:tcPr>
          <w:p w14:paraId="75AD985E"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28.57</w:t>
            </w:r>
          </w:p>
        </w:tc>
        <w:tc>
          <w:tcPr>
            <w:tcW w:w="1620" w:type="dxa"/>
            <w:tcBorders>
              <w:top w:val="nil"/>
              <w:left w:val="nil"/>
              <w:bottom w:val="single" w:sz="4" w:space="0" w:color="auto"/>
              <w:right w:val="single" w:sz="4" w:space="0" w:color="auto"/>
            </w:tcBorders>
            <w:shd w:val="clear" w:color="auto" w:fill="auto"/>
            <w:noWrap/>
            <w:vAlign w:val="center"/>
            <w:hideMark/>
          </w:tcPr>
          <w:p w14:paraId="1FBB3DB8" w14:textId="77777777" w:rsidR="000A5356" w:rsidRPr="000A5356" w:rsidRDefault="6817868B" w:rsidP="6817868B">
            <w:pPr>
              <w:spacing w:after="0" w:line="240" w:lineRule="auto"/>
              <w:jc w:val="center"/>
              <w:rPr>
                <w:rFonts w:ascii="Courier New" w:eastAsia="Times New Roman" w:hAnsi="Courier New" w:cs="Courier New"/>
                <w:color w:val="000000" w:themeColor="text1"/>
              </w:rPr>
            </w:pPr>
            <w:r w:rsidRPr="6817868B">
              <w:rPr>
                <w:rFonts w:ascii="Courier New" w:eastAsia="Times New Roman" w:hAnsi="Courier New" w:cs="Courier New"/>
                <w:color w:val="000000" w:themeColor="text1"/>
              </w:rPr>
              <w:t>0</w:t>
            </w:r>
          </w:p>
        </w:tc>
      </w:tr>
    </w:tbl>
    <w:p w14:paraId="7D0F57F3" w14:textId="6FFA688C" w:rsidR="00267435" w:rsidRPr="00DF433B" w:rsidRDefault="6817868B" w:rsidP="00DF433B">
      <w:pPr>
        <w:pStyle w:val="ListParagraph"/>
        <w:ind w:left="360"/>
        <w:jc w:val="center"/>
        <w:rPr>
          <w:rFonts w:ascii="Times New Roman" w:hAnsi="Times New Roman" w:cs="Times New Roman"/>
          <w:sz w:val="20"/>
          <w:szCs w:val="20"/>
          <w:lang w:val="en-IN"/>
        </w:rPr>
      </w:pPr>
      <w:r w:rsidRPr="6817868B">
        <w:rPr>
          <w:rFonts w:ascii="Times New Roman" w:hAnsi="Times New Roman" w:cs="Times New Roman"/>
          <w:b/>
          <w:bCs/>
          <w:sz w:val="20"/>
          <w:szCs w:val="20"/>
          <w:lang w:val="en-IN"/>
        </w:rPr>
        <w:t>Table 3</w:t>
      </w:r>
      <w:r w:rsidRPr="6817868B">
        <w:rPr>
          <w:rFonts w:ascii="Times New Roman" w:hAnsi="Times New Roman" w:cs="Times New Roman"/>
          <w:sz w:val="20"/>
          <w:szCs w:val="20"/>
          <w:lang w:val="en-IN"/>
        </w:rPr>
        <w:t xml:space="preserve">. Performance comparison between different models </w:t>
      </w:r>
    </w:p>
    <w:p w14:paraId="5B6EF1CA" w14:textId="7961D123" w:rsidR="00267435" w:rsidRPr="00C50B4A" w:rsidRDefault="00267435" w:rsidP="00267435">
      <w:pPr>
        <w:jc w:val="both"/>
        <w:rPr>
          <w:rFonts w:ascii="Times New Roman" w:hAnsi="Times New Roman" w:cs="Times New Roman"/>
          <w:sz w:val="20"/>
          <w:lang w:val="en-IN"/>
        </w:rPr>
      </w:pPr>
      <w:r>
        <w:rPr>
          <w:rFonts w:ascii="Times New Roman" w:hAnsi="Times New Roman" w:cs="Times New Roman"/>
          <w:sz w:val="20"/>
          <w:lang w:val="en-IN"/>
        </w:rPr>
        <w:br w:type="column"/>
      </w:r>
      <w:r>
        <w:rPr>
          <w:rFonts w:ascii="Times New Roman" w:hAnsi="Times New Roman" w:cs="Times New Roman"/>
          <w:sz w:val="20"/>
          <w:lang w:val="en-IN"/>
        </w:rPr>
        <w:t xml:space="preserve"> </w:t>
      </w:r>
    </w:p>
    <w:p w14:paraId="0318579A" w14:textId="77777777" w:rsidR="00267435" w:rsidRPr="00267435" w:rsidRDefault="00267435" w:rsidP="00267435">
      <w:pPr>
        <w:rPr>
          <w:lang w:val="en-IN"/>
        </w:rPr>
      </w:pPr>
    </w:p>
    <w:p w14:paraId="33F92681" w14:textId="77777777" w:rsidR="00267435" w:rsidRDefault="00267435" w:rsidP="00267435">
      <w:pPr>
        <w:spacing w:line="240" w:lineRule="auto"/>
        <w:ind w:firstLine="270"/>
        <w:jc w:val="both"/>
        <w:rPr>
          <w:rFonts w:ascii="Times New Roman" w:eastAsia="Times New Roman" w:hAnsi="Times New Roman" w:cs="Times New Roman"/>
          <w:sz w:val="20"/>
          <w:szCs w:val="20"/>
          <w:lang w:val="en-IN"/>
        </w:rPr>
      </w:pPr>
    </w:p>
    <w:p w14:paraId="3E7A21F4" w14:textId="7DD9EC0F" w:rsidR="009034B6" w:rsidRPr="0011223D" w:rsidRDefault="009034B6" w:rsidP="00267435">
      <w:pPr>
        <w:pStyle w:val="references"/>
        <w:numPr>
          <w:ilvl w:val="0"/>
          <w:numId w:val="0"/>
        </w:numPr>
        <w:spacing w:after="200"/>
        <w:sectPr w:rsidR="009034B6" w:rsidRPr="0011223D" w:rsidSect="00267435">
          <w:type w:val="continuous"/>
          <w:pgSz w:w="11909" w:h="16834" w:code="9"/>
          <w:pgMar w:top="1080" w:right="734" w:bottom="2434" w:left="734" w:header="720" w:footer="720" w:gutter="0"/>
          <w:cols w:num="2" w:space="360"/>
          <w:docGrid w:linePitch="360"/>
        </w:sectPr>
      </w:pPr>
    </w:p>
    <w:p w14:paraId="6A38CDF7" w14:textId="647ABDAC" w:rsidR="00FF12C6" w:rsidRPr="00FF12C6" w:rsidRDefault="00FF12C6" w:rsidP="00FF12C6">
      <w:pPr>
        <w:pStyle w:val="Affiliation"/>
        <w:spacing w:after="200"/>
        <w:jc w:val="left"/>
        <w:rPr>
          <w:rFonts w:eastAsia="MS Mincho"/>
        </w:rPr>
      </w:pPr>
    </w:p>
    <w:p w14:paraId="50F95638" w14:textId="617B46A7" w:rsidR="00697249" w:rsidRDefault="00697249">
      <w:pPr>
        <w:pStyle w:val="Heading1"/>
      </w:pPr>
      <w:r>
        <w:t>C</w:t>
      </w:r>
      <w:r w:rsidR="007E5DF8">
        <w:t>ONCLUSION</w:t>
      </w:r>
    </w:p>
    <w:p w14:paraId="00241A80" w14:textId="77777777" w:rsidR="00B332B2" w:rsidRDefault="00DF433B" w:rsidP="00697249">
      <w:pPr>
        <w:rPr>
          <w:rFonts w:ascii="Times New Roman" w:hAnsi="Times New Roman" w:cs="Times New Roman"/>
          <w:sz w:val="20"/>
        </w:rPr>
      </w:pPr>
      <w:r w:rsidRPr="00483BB0">
        <w:rPr>
          <w:rFonts w:ascii="Times New Roman" w:hAnsi="Times New Roman" w:cs="Times New Roman"/>
          <w:sz w:val="20"/>
        </w:rPr>
        <w:t>In this work, a new methodology capable of predicting the 1year survival for patients with HCC has been presented. To achieve that, a HCC dataset composed by 165 patients followed in an university hospital center was used.</w:t>
      </w:r>
      <w:r w:rsidR="00021969" w:rsidRPr="00483BB0">
        <w:rPr>
          <w:rFonts w:ascii="Times New Roman" w:hAnsi="Times New Roman" w:cs="Times New Roman"/>
          <w:sz w:val="20"/>
        </w:rPr>
        <w:t xml:space="preserve"> </w:t>
      </w:r>
      <w:r w:rsidR="00021969" w:rsidRPr="00483BB0">
        <w:rPr>
          <w:rFonts w:ascii="Times New Roman" w:hAnsi="Times New Roman" w:cs="Times New Roman"/>
          <w:sz w:val="20"/>
        </w:rPr>
        <w:t xml:space="preserve">At the beginning of the study, this dataset presented </w:t>
      </w:r>
      <w:r w:rsidR="00C91A65" w:rsidRPr="00483BB0">
        <w:rPr>
          <w:rFonts w:ascii="Times New Roman" w:hAnsi="Times New Roman" w:cs="Times New Roman"/>
          <w:sz w:val="20"/>
        </w:rPr>
        <w:t>three</w:t>
      </w:r>
      <w:r w:rsidR="00021969" w:rsidRPr="00483BB0">
        <w:rPr>
          <w:rFonts w:ascii="Times New Roman" w:hAnsi="Times New Roman" w:cs="Times New Roman"/>
          <w:sz w:val="20"/>
        </w:rPr>
        <w:t xml:space="preserve"> main challenges:</w:t>
      </w:r>
      <w:r w:rsidR="007C559B" w:rsidRPr="00483BB0">
        <w:rPr>
          <w:rFonts w:ascii="Times New Roman" w:hAnsi="Times New Roman" w:cs="Times New Roman"/>
          <w:sz w:val="20"/>
        </w:rPr>
        <w:t xml:space="preserve"> dataset having </w:t>
      </w:r>
      <w:r w:rsidR="000656A0" w:rsidRPr="00483BB0">
        <w:rPr>
          <w:rFonts w:ascii="Times New Roman" w:hAnsi="Times New Roman" w:cs="Times New Roman"/>
          <w:sz w:val="20"/>
        </w:rPr>
        <w:t>data of only 165 patients thus resulting in the difficulty of training the neural network</w:t>
      </w:r>
      <w:r w:rsidR="0004028D" w:rsidRPr="00483BB0">
        <w:rPr>
          <w:rFonts w:ascii="Times New Roman" w:hAnsi="Times New Roman" w:cs="Times New Roman"/>
          <w:sz w:val="20"/>
        </w:rPr>
        <w:t>, the presence of heterogenous variables (</w:t>
      </w:r>
      <w:r w:rsidR="00CC5155" w:rsidRPr="00483BB0">
        <w:rPr>
          <w:rFonts w:ascii="Times New Roman" w:hAnsi="Times New Roman" w:cs="Times New Roman"/>
          <w:sz w:val="20"/>
        </w:rPr>
        <w:t xml:space="preserve"> there are </w:t>
      </w:r>
      <w:r w:rsidR="00CC5155" w:rsidRPr="00483BB0">
        <w:rPr>
          <w:rFonts w:ascii="Times New Roman" w:hAnsi="Times New Roman" w:cs="Times New Roman"/>
          <w:sz w:val="20"/>
        </w:rPr>
        <w:t>dichotomous, ratio scaled and ordinal features</w:t>
      </w:r>
      <w:r w:rsidR="00F96F01" w:rsidRPr="00483BB0">
        <w:rPr>
          <w:rFonts w:ascii="Times New Roman" w:hAnsi="Times New Roman" w:cs="Times New Roman"/>
          <w:sz w:val="20"/>
        </w:rPr>
        <w:t xml:space="preserve">/variables </w:t>
      </w:r>
      <w:r w:rsidR="00C91A65" w:rsidRPr="00483BB0">
        <w:rPr>
          <w:rFonts w:ascii="Times New Roman" w:hAnsi="Times New Roman" w:cs="Times New Roman"/>
          <w:sz w:val="20"/>
        </w:rPr>
        <w:t xml:space="preserve">) and </w:t>
      </w:r>
      <w:r w:rsidR="00C91A65" w:rsidRPr="00483BB0">
        <w:rPr>
          <w:rFonts w:ascii="Times New Roman" w:hAnsi="Times New Roman" w:cs="Times New Roman"/>
          <w:sz w:val="20"/>
        </w:rPr>
        <w:t>only eight patients having complete information</w:t>
      </w:r>
      <w:r w:rsidR="007C559B" w:rsidRPr="00483BB0">
        <w:rPr>
          <w:rFonts w:ascii="Times New Roman" w:hAnsi="Times New Roman" w:cs="Times New Roman"/>
          <w:sz w:val="20"/>
        </w:rPr>
        <w:t xml:space="preserve"> </w:t>
      </w:r>
      <w:r w:rsidR="00C91A65" w:rsidRPr="00483BB0">
        <w:rPr>
          <w:rFonts w:ascii="Times New Roman" w:hAnsi="Times New Roman" w:cs="Times New Roman"/>
          <w:sz w:val="20"/>
        </w:rPr>
        <w:t>.</w:t>
      </w:r>
      <w:r w:rsidR="00E85E29">
        <w:rPr>
          <w:rFonts w:ascii="Times New Roman" w:hAnsi="Times New Roman" w:cs="Times New Roman"/>
          <w:sz w:val="20"/>
        </w:rPr>
        <w:t xml:space="preserve"> </w:t>
      </w:r>
    </w:p>
    <w:p w14:paraId="55770D15" w14:textId="2FAC15F6" w:rsidR="00021969" w:rsidRDefault="00396FC6" w:rsidP="00697249">
      <w:pPr>
        <w:rPr>
          <w:rFonts w:ascii="Times New Roman" w:hAnsi="Times New Roman" w:cs="Times New Roman"/>
          <w:sz w:val="20"/>
        </w:rPr>
      </w:pPr>
      <w:r>
        <w:rPr>
          <w:rFonts w:ascii="Times New Roman" w:hAnsi="Times New Roman" w:cs="Times New Roman"/>
          <w:sz w:val="20"/>
        </w:rPr>
        <w:t xml:space="preserve">In the model </w:t>
      </w:r>
      <w:r w:rsidR="00B332B2">
        <w:rPr>
          <w:rFonts w:ascii="Times New Roman" w:hAnsi="Times New Roman" w:cs="Times New Roman"/>
          <w:sz w:val="20"/>
        </w:rPr>
        <w:t>15 most significant variables are selected to train the model.</w:t>
      </w:r>
      <w:r w:rsidR="00AD5E87">
        <w:rPr>
          <w:rFonts w:ascii="Times New Roman" w:hAnsi="Times New Roman" w:cs="Times New Roman"/>
          <w:sz w:val="20"/>
        </w:rPr>
        <w:t xml:space="preserve"> After training the dataset </w:t>
      </w:r>
      <w:r w:rsidR="00CD232A">
        <w:rPr>
          <w:rFonts w:ascii="Times New Roman" w:hAnsi="Times New Roman" w:cs="Times New Roman"/>
          <w:sz w:val="20"/>
        </w:rPr>
        <w:t>with 3 different models</w:t>
      </w:r>
      <w:r w:rsidR="00D202F5">
        <w:rPr>
          <w:rFonts w:ascii="Times New Roman" w:hAnsi="Times New Roman" w:cs="Times New Roman"/>
          <w:sz w:val="20"/>
        </w:rPr>
        <w:t xml:space="preserve">, the performance </w:t>
      </w:r>
      <w:r w:rsidR="005E00F7">
        <w:rPr>
          <w:rFonts w:ascii="Times New Roman" w:hAnsi="Times New Roman" w:cs="Times New Roman"/>
          <w:sz w:val="20"/>
        </w:rPr>
        <w:t xml:space="preserve">of these models are compared using 3 parameters </w:t>
      </w:r>
      <w:r w:rsidR="00B02E98">
        <w:rPr>
          <w:rFonts w:ascii="Times New Roman" w:hAnsi="Times New Roman" w:cs="Times New Roman"/>
          <w:sz w:val="20"/>
        </w:rPr>
        <w:t xml:space="preserve">and then </w:t>
      </w:r>
      <w:r w:rsidR="009C5415">
        <w:rPr>
          <w:rFonts w:ascii="Times New Roman" w:hAnsi="Times New Roman" w:cs="Times New Roman"/>
          <w:sz w:val="20"/>
        </w:rPr>
        <w:t>the DNN model seemed to have outperfo</w:t>
      </w:r>
      <w:r w:rsidR="00F86E35">
        <w:rPr>
          <w:rFonts w:ascii="Times New Roman" w:hAnsi="Times New Roman" w:cs="Times New Roman"/>
          <w:sz w:val="20"/>
        </w:rPr>
        <w:t xml:space="preserve">rmed the KNN and Kernel SVM model. </w:t>
      </w:r>
    </w:p>
    <w:p w14:paraId="4E691088" w14:textId="37AE736B" w:rsidR="007A7C2E" w:rsidRPr="001A669B" w:rsidRDefault="001A669B" w:rsidP="00697249">
      <w:pPr>
        <w:rPr>
          <w:rFonts w:ascii="Times New Roman" w:hAnsi="Times New Roman" w:cs="Times New Roman"/>
          <w:sz w:val="18"/>
        </w:rPr>
      </w:pPr>
      <w:r w:rsidRPr="001A669B">
        <w:rPr>
          <w:rFonts w:ascii="Times New Roman" w:hAnsi="Times New Roman" w:cs="Times New Roman"/>
          <w:sz w:val="20"/>
        </w:rPr>
        <w:t>This topic could be a possibility for future work: extending our methodology to other contexts besides HCC disease, whether they are healthcare contexts or not.</w:t>
      </w:r>
      <w:bookmarkStart w:id="1" w:name="_GoBack"/>
      <w:bookmarkEnd w:id="1"/>
    </w:p>
    <w:sectPr w:rsidR="007A7C2E" w:rsidRPr="001A669B" w:rsidSect="00DF433B">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74308" w14:textId="77777777" w:rsidR="008A5E08" w:rsidRDefault="008A5E08" w:rsidP="00673FA5">
      <w:pPr>
        <w:spacing w:after="0" w:line="240" w:lineRule="auto"/>
      </w:pPr>
      <w:r>
        <w:separator/>
      </w:r>
    </w:p>
  </w:endnote>
  <w:endnote w:type="continuationSeparator" w:id="0">
    <w:p w14:paraId="2C4E8130" w14:textId="77777777" w:rsidR="008A5E08" w:rsidRDefault="008A5E08" w:rsidP="00673FA5">
      <w:pPr>
        <w:spacing w:after="0" w:line="240" w:lineRule="auto"/>
      </w:pPr>
      <w:r>
        <w:continuationSeparator/>
      </w:r>
    </w:p>
  </w:endnote>
  <w:endnote w:type="continuationNotice" w:id="1">
    <w:p w14:paraId="6885C19A" w14:textId="77777777" w:rsidR="008A5E08" w:rsidRDefault="008A5E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XqstpmAdvPTime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A4DE" w14:textId="77777777" w:rsidR="008A5E08" w:rsidRDefault="008A5E08" w:rsidP="00673FA5">
      <w:pPr>
        <w:spacing w:after="0" w:line="240" w:lineRule="auto"/>
      </w:pPr>
      <w:r>
        <w:separator/>
      </w:r>
    </w:p>
  </w:footnote>
  <w:footnote w:type="continuationSeparator" w:id="0">
    <w:p w14:paraId="14E15B3D" w14:textId="77777777" w:rsidR="008A5E08" w:rsidRDefault="008A5E08" w:rsidP="00673FA5">
      <w:pPr>
        <w:spacing w:after="0" w:line="240" w:lineRule="auto"/>
      </w:pPr>
      <w:r>
        <w:continuationSeparator/>
      </w:r>
    </w:p>
  </w:footnote>
  <w:footnote w:type="continuationNotice" w:id="1">
    <w:p w14:paraId="5D90452F" w14:textId="77777777" w:rsidR="008A5E08" w:rsidRDefault="008A5E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268"/>
    <w:multiLevelType w:val="hybridMultilevel"/>
    <w:tmpl w:val="3326C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741EDD"/>
    <w:multiLevelType w:val="hybridMultilevel"/>
    <w:tmpl w:val="C5340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2A3934"/>
    <w:multiLevelType w:val="hybridMultilevel"/>
    <w:tmpl w:val="687CDB04"/>
    <w:lvl w:ilvl="0" w:tplc="96BAFA4C">
      <w:start w:val="1"/>
      <w:numFmt w:val="decimal"/>
      <w:lvlText w:val="[%1]"/>
      <w:lvlJc w:val="left"/>
      <w:pPr>
        <w:ind w:left="1440" w:hanging="360"/>
      </w:pPr>
      <w:rPr>
        <w:rFonts w:hint="default"/>
      </w:rPr>
    </w:lvl>
    <w:lvl w:ilvl="1" w:tplc="96BAFA4C">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DA30CA9"/>
    <w:multiLevelType w:val="hybridMultilevel"/>
    <w:tmpl w:val="A6EC4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E52A94"/>
    <w:multiLevelType w:val="hybridMultilevel"/>
    <w:tmpl w:val="5B3A5092"/>
    <w:lvl w:ilvl="0" w:tplc="96BAFA4C">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3452C6"/>
    <w:multiLevelType w:val="hybridMultilevel"/>
    <w:tmpl w:val="69E87E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5"/>
  </w:num>
  <w:num w:numId="4">
    <w:abstractNumId w:val="6"/>
  </w:num>
  <w:num w:numId="5">
    <w:abstractNumId w:val="11"/>
  </w:num>
  <w:num w:numId="6">
    <w:abstractNumId w:val="12"/>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8"/>
  </w:num>
  <w:num w:numId="12">
    <w:abstractNumId w:val="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C32"/>
    <w:rsid w:val="00002A61"/>
    <w:rsid w:val="00002EF7"/>
    <w:rsid w:val="00007403"/>
    <w:rsid w:val="00021969"/>
    <w:rsid w:val="00022B8B"/>
    <w:rsid w:val="0004028D"/>
    <w:rsid w:val="000475CC"/>
    <w:rsid w:val="000550AD"/>
    <w:rsid w:val="000634E8"/>
    <w:rsid w:val="000656A0"/>
    <w:rsid w:val="000677BF"/>
    <w:rsid w:val="000772F8"/>
    <w:rsid w:val="00087695"/>
    <w:rsid w:val="000A08CC"/>
    <w:rsid w:val="000A5356"/>
    <w:rsid w:val="000B6D80"/>
    <w:rsid w:val="000C0D8E"/>
    <w:rsid w:val="000C1754"/>
    <w:rsid w:val="000E02FE"/>
    <w:rsid w:val="001023E0"/>
    <w:rsid w:val="0011223D"/>
    <w:rsid w:val="00116C74"/>
    <w:rsid w:val="00117C14"/>
    <w:rsid w:val="001240C4"/>
    <w:rsid w:val="00127C77"/>
    <w:rsid w:val="001412E4"/>
    <w:rsid w:val="00156D12"/>
    <w:rsid w:val="001766D5"/>
    <w:rsid w:val="00185317"/>
    <w:rsid w:val="00187B23"/>
    <w:rsid w:val="001932CB"/>
    <w:rsid w:val="00196EDC"/>
    <w:rsid w:val="001A12A1"/>
    <w:rsid w:val="001A669B"/>
    <w:rsid w:val="001B3138"/>
    <w:rsid w:val="001B7357"/>
    <w:rsid w:val="001B7E3B"/>
    <w:rsid w:val="001D0657"/>
    <w:rsid w:val="001D6876"/>
    <w:rsid w:val="001F4254"/>
    <w:rsid w:val="0020179B"/>
    <w:rsid w:val="0022350C"/>
    <w:rsid w:val="002246D6"/>
    <w:rsid w:val="00231E86"/>
    <w:rsid w:val="00240EB5"/>
    <w:rsid w:val="00244E9B"/>
    <w:rsid w:val="00245CB2"/>
    <w:rsid w:val="00253ED0"/>
    <w:rsid w:val="002565C0"/>
    <w:rsid w:val="00267435"/>
    <w:rsid w:val="00270108"/>
    <w:rsid w:val="002940A4"/>
    <w:rsid w:val="002A6B54"/>
    <w:rsid w:val="002E027D"/>
    <w:rsid w:val="002F2405"/>
    <w:rsid w:val="002F25E7"/>
    <w:rsid w:val="003026C0"/>
    <w:rsid w:val="00325975"/>
    <w:rsid w:val="0032711C"/>
    <w:rsid w:val="003304D4"/>
    <w:rsid w:val="00336C32"/>
    <w:rsid w:val="0034043D"/>
    <w:rsid w:val="003429C4"/>
    <w:rsid w:val="00364225"/>
    <w:rsid w:val="0036585B"/>
    <w:rsid w:val="00370CCB"/>
    <w:rsid w:val="00374D48"/>
    <w:rsid w:val="0037647D"/>
    <w:rsid w:val="00376F0F"/>
    <w:rsid w:val="00396FC6"/>
    <w:rsid w:val="003A37DF"/>
    <w:rsid w:val="003B31BA"/>
    <w:rsid w:val="003F107A"/>
    <w:rsid w:val="0040751E"/>
    <w:rsid w:val="00411667"/>
    <w:rsid w:val="00422C7C"/>
    <w:rsid w:val="004349FE"/>
    <w:rsid w:val="004706A5"/>
    <w:rsid w:val="00477BD2"/>
    <w:rsid w:val="00483BB0"/>
    <w:rsid w:val="00493C6D"/>
    <w:rsid w:val="004975AB"/>
    <w:rsid w:val="004A0B15"/>
    <w:rsid w:val="004A582E"/>
    <w:rsid w:val="004B2A59"/>
    <w:rsid w:val="004C4290"/>
    <w:rsid w:val="004E2A41"/>
    <w:rsid w:val="004E2EF7"/>
    <w:rsid w:val="004F3AF8"/>
    <w:rsid w:val="00515194"/>
    <w:rsid w:val="00517CD5"/>
    <w:rsid w:val="0052098A"/>
    <w:rsid w:val="00546EB3"/>
    <w:rsid w:val="0056236E"/>
    <w:rsid w:val="00562E30"/>
    <w:rsid w:val="00564BDB"/>
    <w:rsid w:val="00567F09"/>
    <w:rsid w:val="00575816"/>
    <w:rsid w:val="00581F72"/>
    <w:rsid w:val="005A40DC"/>
    <w:rsid w:val="005A4194"/>
    <w:rsid w:val="005A444C"/>
    <w:rsid w:val="005B6BE8"/>
    <w:rsid w:val="005C4653"/>
    <w:rsid w:val="005D00EF"/>
    <w:rsid w:val="005D0110"/>
    <w:rsid w:val="005D49B2"/>
    <w:rsid w:val="005E00F7"/>
    <w:rsid w:val="005F10D6"/>
    <w:rsid w:val="005F3C38"/>
    <w:rsid w:val="00601C7C"/>
    <w:rsid w:val="006044E2"/>
    <w:rsid w:val="00622BC9"/>
    <w:rsid w:val="00626032"/>
    <w:rsid w:val="00640E1F"/>
    <w:rsid w:val="00664C5B"/>
    <w:rsid w:val="00673158"/>
    <w:rsid w:val="00673FA5"/>
    <w:rsid w:val="0068629C"/>
    <w:rsid w:val="00697249"/>
    <w:rsid w:val="006B384F"/>
    <w:rsid w:val="006B7EA1"/>
    <w:rsid w:val="006C394E"/>
    <w:rsid w:val="006D16AA"/>
    <w:rsid w:val="006D1E2C"/>
    <w:rsid w:val="006E58D3"/>
    <w:rsid w:val="0070182D"/>
    <w:rsid w:val="00702BEC"/>
    <w:rsid w:val="007272A6"/>
    <w:rsid w:val="00730CDB"/>
    <w:rsid w:val="007423DB"/>
    <w:rsid w:val="007425C3"/>
    <w:rsid w:val="00744B87"/>
    <w:rsid w:val="00745E98"/>
    <w:rsid w:val="00751902"/>
    <w:rsid w:val="0076270C"/>
    <w:rsid w:val="00765581"/>
    <w:rsid w:val="007721EC"/>
    <w:rsid w:val="007857E7"/>
    <w:rsid w:val="0079526F"/>
    <w:rsid w:val="00797175"/>
    <w:rsid w:val="007A7C2E"/>
    <w:rsid w:val="007B2221"/>
    <w:rsid w:val="007C2D62"/>
    <w:rsid w:val="007C398B"/>
    <w:rsid w:val="007C559B"/>
    <w:rsid w:val="007C5C1C"/>
    <w:rsid w:val="007C5C44"/>
    <w:rsid w:val="007E2312"/>
    <w:rsid w:val="007E5DF8"/>
    <w:rsid w:val="007F3082"/>
    <w:rsid w:val="00806F41"/>
    <w:rsid w:val="00807854"/>
    <w:rsid w:val="0081424E"/>
    <w:rsid w:val="00814332"/>
    <w:rsid w:val="008271C5"/>
    <w:rsid w:val="00831D10"/>
    <w:rsid w:val="00854C48"/>
    <w:rsid w:val="00866A34"/>
    <w:rsid w:val="00872E84"/>
    <w:rsid w:val="008821AB"/>
    <w:rsid w:val="0089648A"/>
    <w:rsid w:val="008A06B2"/>
    <w:rsid w:val="008A5E08"/>
    <w:rsid w:val="008B0CBA"/>
    <w:rsid w:val="008B3EF8"/>
    <w:rsid w:val="008B4C19"/>
    <w:rsid w:val="008C38E1"/>
    <w:rsid w:val="008C5845"/>
    <w:rsid w:val="008C7E40"/>
    <w:rsid w:val="008D0DBC"/>
    <w:rsid w:val="008D6F44"/>
    <w:rsid w:val="008E44C5"/>
    <w:rsid w:val="00902992"/>
    <w:rsid w:val="009034B6"/>
    <w:rsid w:val="00916C0F"/>
    <w:rsid w:val="0092078C"/>
    <w:rsid w:val="00940637"/>
    <w:rsid w:val="00941623"/>
    <w:rsid w:val="00941BD1"/>
    <w:rsid w:val="00950DAB"/>
    <w:rsid w:val="009562FE"/>
    <w:rsid w:val="009742F3"/>
    <w:rsid w:val="00982F4F"/>
    <w:rsid w:val="00986BB7"/>
    <w:rsid w:val="00990ADD"/>
    <w:rsid w:val="00997024"/>
    <w:rsid w:val="009B059D"/>
    <w:rsid w:val="009C5415"/>
    <w:rsid w:val="009C5BBC"/>
    <w:rsid w:val="00A02218"/>
    <w:rsid w:val="00A03082"/>
    <w:rsid w:val="00A1081E"/>
    <w:rsid w:val="00A1743D"/>
    <w:rsid w:val="00A218D2"/>
    <w:rsid w:val="00A25365"/>
    <w:rsid w:val="00A31C72"/>
    <w:rsid w:val="00A35C1B"/>
    <w:rsid w:val="00A43091"/>
    <w:rsid w:val="00A43A3A"/>
    <w:rsid w:val="00A44AAE"/>
    <w:rsid w:val="00A45D4E"/>
    <w:rsid w:val="00A50D9F"/>
    <w:rsid w:val="00A53E3C"/>
    <w:rsid w:val="00A723A5"/>
    <w:rsid w:val="00A72A80"/>
    <w:rsid w:val="00AB2A21"/>
    <w:rsid w:val="00AB5913"/>
    <w:rsid w:val="00AB5B43"/>
    <w:rsid w:val="00AC0852"/>
    <w:rsid w:val="00AD5E87"/>
    <w:rsid w:val="00AE4E6C"/>
    <w:rsid w:val="00B02E98"/>
    <w:rsid w:val="00B04DA8"/>
    <w:rsid w:val="00B06B34"/>
    <w:rsid w:val="00B2284C"/>
    <w:rsid w:val="00B332B2"/>
    <w:rsid w:val="00B34C75"/>
    <w:rsid w:val="00B6266C"/>
    <w:rsid w:val="00B65F26"/>
    <w:rsid w:val="00B82785"/>
    <w:rsid w:val="00B8633C"/>
    <w:rsid w:val="00BA1A16"/>
    <w:rsid w:val="00BC6E99"/>
    <w:rsid w:val="00BD3929"/>
    <w:rsid w:val="00BD5147"/>
    <w:rsid w:val="00BE2E21"/>
    <w:rsid w:val="00BE72B1"/>
    <w:rsid w:val="00C05782"/>
    <w:rsid w:val="00C14427"/>
    <w:rsid w:val="00C20577"/>
    <w:rsid w:val="00C50B4A"/>
    <w:rsid w:val="00C5346A"/>
    <w:rsid w:val="00C5521A"/>
    <w:rsid w:val="00C61955"/>
    <w:rsid w:val="00C64CE8"/>
    <w:rsid w:val="00C71C1E"/>
    <w:rsid w:val="00C72393"/>
    <w:rsid w:val="00C8156C"/>
    <w:rsid w:val="00C91A65"/>
    <w:rsid w:val="00CA2970"/>
    <w:rsid w:val="00CA3E7C"/>
    <w:rsid w:val="00CB3802"/>
    <w:rsid w:val="00CC129C"/>
    <w:rsid w:val="00CC5155"/>
    <w:rsid w:val="00CD232A"/>
    <w:rsid w:val="00CE2EC6"/>
    <w:rsid w:val="00CE30A1"/>
    <w:rsid w:val="00CF3946"/>
    <w:rsid w:val="00CF4132"/>
    <w:rsid w:val="00CF4F91"/>
    <w:rsid w:val="00CF5C85"/>
    <w:rsid w:val="00CF770D"/>
    <w:rsid w:val="00D01D6D"/>
    <w:rsid w:val="00D202F5"/>
    <w:rsid w:val="00D33331"/>
    <w:rsid w:val="00D35F82"/>
    <w:rsid w:val="00D4415D"/>
    <w:rsid w:val="00D45F3F"/>
    <w:rsid w:val="00D519A0"/>
    <w:rsid w:val="00D55D03"/>
    <w:rsid w:val="00D55D5E"/>
    <w:rsid w:val="00D57620"/>
    <w:rsid w:val="00D62582"/>
    <w:rsid w:val="00D66620"/>
    <w:rsid w:val="00D67DC0"/>
    <w:rsid w:val="00D72F42"/>
    <w:rsid w:val="00D73328"/>
    <w:rsid w:val="00D73A39"/>
    <w:rsid w:val="00D76DD7"/>
    <w:rsid w:val="00D870C2"/>
    <w:rsid w:val="00D911CC"/>
    <w:rsid w:val="00D93A41"/>
    <w:rsid w:val="00DA2F80"/>
    <w:rsid w:val="00DA531B"/>
    <w:rsid w:val="00DA71FE"/>
    <w:rsid w:val="00DB305F"/>
    <w:rsid w:val="00DC0AC1"/>
    <w:rsid w:val="00DD0F3C"/>
    <w:rsid w:val="00DE5ED8"/>
    <w:rsid w:val="00DF210D"/>
    <w:rsid w:val="00DF3D1D"/>
    <w:rsid w:val="00DF433B"/>
    <w:rsid w:val="00E13A51"/>
    <w:rsid w:val="00E161F9"/>
    <w:rsid w:val="00E368CA"/>
    <w:rsid w:val="00E409B4"/>
    <w:rsid w:val="00E477F1"/>
    <w:rsid w:val="00E64B86"/>
    <w:rsid w:val="00E83557"/>
    <w:rsid w:val="00E85E29"/>
    <w:rsid w:val="00EA2116"/>
    <w:rsid w:val="00EA5B45"/>
    <w:rsid w:val="00EB0A54"/>
    <w:rsid w:val="00EC29F1"/>
    <w:rsid w:val="00EC62A7"/>
    <w:rsid w:val="00ED70F0"/>
    <w:rsid w:val="00EF594A"/>
    <w:rsid w:val="00EF650B"/>
    <w:rsid w:val="00F026AC"/>
    <w:rsid w:val="00F04B1D"/>
    <w:rsid w:val="00F050A6"/>
    <w:rsid w:val="00F0538A"/>
    <w:rsid w:val="00F13E30"/>
    <w:rsid w:val="00F21980"/>
    <w:rsid w:val="00F303C3"/>
    <w:rsid w:val="00F454AC"/>
    <w:rsid w:val="00F55270"/>
    <w:rsid w:val="00F663C8"/>
    <w:rsid w:val="00F66A19"/>
    <w:rsid w:val="00F72E2A"/>
    <w:rsid w:val="00F81EA5"/>
    <w:rsid w:val="00F82205"/>
    <w:rsid w:val="00F86E35"/>
    <w:rsid w:val="00F92200"/>
    <w:rsid w:val="00F950DA"/>
    <w:rsid w:val="00F96F01"/>
    <w:rsid w:val="00FA06FB"/>
    <w:rsid w:val="00FA07A4"/>
    <w:rsid w:val="00FD702F"/>
    <w:rsid w:val="00FD78F8"/>
    <w:rsid w:val="00FF12C6"/>
    <w:rsid w:val="0B5DB5CE"/>
    <w:rsid w:val="0D86712D"/>
    <w:rsid w:val="61703BC0"/>
    <w:rsid w:val="6817868B"/>
    <w:rsid w:val="765F4C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4C29"/>
  <w15:docId w15:val="{3F2A192D-ED9A-43AB-9403-DC81B16A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A21"/>
  </w:style>
  <w:style w:type="paragraph" w:styleId="Heading1">
    <w:name w:val="heading 1"/>
    <w:basedOn w:val="Normal"/>
    <w:next w:val="Normal"/>
    <w:link w:val="Heading1Char"/>
    <w:uiPriority w:val="99"/>
    <w:qFormat/>
    <w:rsid w:val="00336C32"/>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336C32"/>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336C32"/>
    <w:pPr>
      <w:numPr>
        <w:ilvl w:val="2"/>
        <w:numId w:val="3"/>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336C32"/>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paragraph" w:styleId="Heading5">
    <w:name w:val="heading 5"/>
    <w:basedOn w:val="Normal"/>
    <w:next w:val="Normal"/>
    <w:link w:val="Heading5Char"/>
    <w:uiPriority w:val="9"/>
    <w:qFormat/>
    <w:rsid w:val="00336C32"/>
    <w:pPr>
      <w:tabs>
        <w:tab w:val="left" w:pos="360"/>
      </w:tabs>
      <w:spacing w:before="160" w:after="80" w:line="240" w:lineRule="auto"/>
      <w:jc w:val="center"/>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36C32"/>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336C32"/>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336C32"/>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336C32"/>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rsid w:val="00336C32"/>
    <w:rPr>
      <w:rFonts w:ascii="Calibri" w:eastAsia="Times New Roman" w:hAnsi="Calibri" w:cs="Times New Roman"/>
      <w:b/>
      <w:bCs/>
      <w:i/>
      <w:iCs/>
      <w:sz w:val="26"/>
      <w:szCs w:val="26"/>
    </w:rPr>
  </w:style>
  <w:style w:type="paragraph" w:customStyle="1" w:styleId="Abstract">
    <w:name w:val="Abstract"/>
    <w:uiPriority w:val="99"/>
    <w:rsid w:val="00336C32"/>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336C32"/>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336C32"/>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336C32"/>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336C32"/>
    <w:rPr>
      <w:rFonts w:ascii="Times New Roman" w:eastAsia="MS Mincho" w:hAnsi="Times New Roman" w:cs="Times New Roman"/>
      <w:sz w:val="20"/>
      <w:szCs w:val="20"/>
    </w:rPr>
  </w:style>
  <w:style w:type="paragraph" w:customStyle="1" w:styleId="bulletlist">
    <w:name w:val="bullet list"/>
    <w:basedOn w:val="BodyText"/>
    <w:rsid w:val="00336C32"/>
    <w:pPr>
      <w:numPr>
        <w:numId w:val="1"/>
      </w:numPr>
      <w:tabs>
        <w:tab w:val="clear" w:pos="648"/>
      </w:tabs>
      <w:ind w:left="576" w:hanging="288"/>
    </w:pPr>
  </w:style>
  <w:style w:type="paragraph" w:customStyle="1" w:styleId="equation">
    <w:name w:val="equation"/>
    <w:basedOn w:val="Normal"/>
    <w:uiPriority w:val="99"/>
    <w:rsid w:val="00336C32"/>
    <w:pPr>
      <w:tabs>
        <w:tab w:val="center" w:pos="2520"/>
        <w:tab w:val="right" w:pos="5040"/>
      </w:tabs>
      <w:spacing w:before="240" w:after="240" w:line="216" w:lineRule="auto"/>
      <w:jc w:val="center"/>
    </w:pPr>
    <w:rPr>
      <w:rFonts w:ascii="Symbol" w:eastAsia="Times New Roman" w:hAnsi="Symbol" w:cs="Symbol"/>
      <w:sz w:val="20"/>
      <w:szCs w:val="20"/>
    </w:rPr>
  </w:style>
  <w:style w:type="paragraph" w:customStyle="1" w:styleId="figurecaption">
    <w:name w:val="figure caption"/>
    <w:rsid w:val="00336C32"/>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336C32"/>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336C32"/>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336C32"/>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336C32"/>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336C32"/>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336C32"/>
    <w:pPr>
      <w:spacing w:after="0" w:line="240" w:lineRule="auto"/>
      <w:jc w:val="center"/>
    </w:pPr>
    <w:rPr>
      <w:rFonts w:ascii="Times New Roman" w:eastAsia="Times New Roman" w:hAnsi="Times New Roman" w:cs="Times New Roman"/>
      <w:b/>
      <w:bCs/>
      <w:sz w:val="16"/>
      <w:szCs w:val="16"/>
    </w:rPr>
  </w:style>
  <w:style w:type="paragraph" w:customStyle="1" w:styleId="tablecolsubhead">
    <w:name w:val="table col subhead"/>
    <w:basedOn w:val="tablecolhead"/>
    <w:uiPriority w:val="99"/>
    <w:rsid w:val="00336C32"/>
    <w:rPr>
      <w:i/>
      <w:iCs/>
      <w:sz w:val="15"/>
      <w:szCs w:val="15"/>
    </w:rPr>
  </w:style>
  <w:style w:type="paragraph" w:customStyle="1" w:styleId="tablecopy">
    <w:name w:val="table copy"/>
    <w:uiPriority w:val="99"/>
    <w:rsid w:val="00336C32"/>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336C32"/>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336C32"/>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styleId="Hyperlink">
    <w:name w:val="Hyperlink"/>
    <w:rsid w:val="00B06B34"/>
    <w:rPr>
      <w:color w:val="0563C1"/>
      <w:u w:val="single"/>
    </w:rPr>
  </w:style>
  <w:style w:type="paragraph" w:customStyle="1" w:styleId="footnote">
    <w:name w:val="footnote"/>
    <w:uiPriority w:val="99"/>
    <w:rsid w:val="00FD702F"/>
    <w:pPr>
      <w:framePr w:hSpace="187" w:vSpace="187" w:wrap="notBeside" w:vAnchor="text" w:hAnchor="page" w:x="6121" w:y="577"/>
      <w:numPr>
        <w:numId w:val="7"/>
      </w:numPr>
      <w:spacing w:after="40" w:line="240" w:lineRule="auto"/>
    </w:pPr>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67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FA5"/>
  </w:style>
  <w:style w:type="paragraph" w:styleId="Footer">
    <w:name w:val="footer"/>
    <w:basedOn w:val="Normal"/>
    <w:link w:val="FooterChar"/>
    <w:uiPriority w:val="99"/>
    <w:unhideWhenUsed/>
    <w:rsid w:val="0067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FA5"/>
  </w:style>
  <w:style w:type="paragraph" w:styleId="BalloonText">
    <w:name w:val="Balloon Text"/>
    <w:basedOn w:val="Normal"/>
    <w:link w:val="BalloonTextChar"/>
    <w:uiPriority w:val="99"/>
    <w:semiHidden/>
    <w:unhideWhenUsed/>
    <w:rsid w:val="00831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D10"/>
    <w:rPr>
      <w:rFonts w:ascii="Tahoma" w:hAnsi="Tahoma" w:cs="Tahoma"/>
      <w:sz w:val="16"/>
      <w:szCs w:val="16"/>
    </w:rPr>
  </w:style>
  <w:style w:type="paragraph" w:styleId="ListParagraph">
    <w:name w:val="List Paragraph"/>
    <w:basedOn w:val="Normal"/>
    <w:uiPriority w:val="34"/>
    <w:qFormat/>
    <w:rsid w:val="00F303C3"/>
    <w:pPr>
      <w:ind w:left="720"/>
      <w:contextualSpacing/>
    </w:pPr>
    <w:rPr>
      <w:rFonts w:eastAsiaTheme="minorHAnsi"/>
    </w:rPr>
  </w:style>
  <w:style w:type="table" w:styleId="TableGrid">
    <w:name w:val="Table Grid"/>
    <w:basedOn w:val="TableNormal"/>
    <w:uiPriority w:val="59"/>
    <w:unhideWhenUsed/>
    <w:rsid w:val="00F3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30A1"/>
    <w:rPr>
      <w:color w:val="808080"/>
      <w:shd w:val="clear" w:color="auto" w:fill="E6E6E6"/>
    </w:rPr>
  </w:style>
  <w:style w:type="paragraph" w:styleId="NoSpacing">
    <w:name w:val="No Spacing"/>
    <w:uiPriority w:val="1"/>
    <w:qFormat/>
    <w:rsid w:val="00DA71FE"/>
    <w:pPr>
      <w:spacing w:after="0" w:line="240" w:lineRule="auto"/>
    </w:pPr>
  </w:style>
  <w:style w:type="paragraph" w:customStyle="1" w:styleId="DecimalAligned">
    <w:name w:val="Decimal Aligned"/>
    <w:basedOn w:val="Normal"/>
    <w:uiPriority w:val="40"/>
    <w:qFormat/>
    <w:rsid w:val="00854C48"/>
    <w:pPr>
      <w:tabs>
        <w:tab w:val="decimal" w:pos="360"/>
      </w:tabs>
    </w:pPr>
    <w:rPr>
      <w:rFonts w:cs="Times New Roman"/>
    </w:rPr>
  </w:style>
  <w:style w:type="paragraph" w:styleId="FootnoteText">
    <w:name w:val="footnote text"/>
    <w:basedOn w:val="Normal"/>
    <w:link w:val="FootnoteTextChar"/>
    <w:uiPriority w:val="99"/>
    <w:unhideWhenUsed/>
    <w:rsid w:val="00854C48"/>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54C48"/>
    <w:rPr>
      <w:rFonts w:cs="Times New Roman"/>
      <w:sz w:val="20"/>
      <w:szCs w:val="20"/>
    </w:rPr>
  </w:style>
  <w:style w:type="character" w:styleId="SubtleEmphasis">
    <w:name w:val="Subtle Emphasis"/>
    <w:basedOn w:val="DefaultParagraphFont"/>
    <w:uiPriority w:val="19"/>
    <w:qFormat/>
    <w:rsid w:val="00854C48"/>
    <w:rPr>
      <w:i/>
      <w:iCs/>
    </w:rPr>
  </w:style>
  <w:style w:type="table" w:styleId="LightShading-Accent1">
    <w:name w:val="Light Shading Accent 1"/>
    <w:basedOn w:val="TableNormal"/>
    <w:uiPriority w:val="60"/>
    <w:rsid w:val="00854C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0">
    <w:name w:val="TableGrid"/>
    <w:rsid w:val="00854C48"/>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0228">
      <w:bodyDiv w:val="1"/>
      <w:marLeft w:val="0"/>
      <w:marRight w:val="0"/>
      <w:marTop w:val="0"/>
      <w:marBottom w:val="0"/>
      <w:divBdr>
        <w:top w:val="none" w:sz="0" w:space="0" w:color="auto"/>
        <w:left w:val="none" w:sz="0" w:space="0" w:color="auto"/>
        <w:bottom w:val="none" w:sz="0" w:space="0" w:color="auto"/>
        <w:right w:val="none" w:sz="0" w:space="0" w:color="auto"/>
      </w:divBdr>
    </w:div>
    <w:div w:id="276108292">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78171009">
      <w:bodyDiv w:val="1"/>
      <w:marLeft w:val="0"/>
      <w:marRight w:val="0"/>
      <w:marTop w:val="0"/>
      <w:marBottom w:val="0"/>
      <w:divBdr>
        <w:top w:val="none" w:sz="0" w:space="0" w:color="auto"/>
        <w:left w:val="none" w:sz="0" w:space="0" w:color="auto"/>
        <w:bottom w:val="none" w:sz="0" w:space="0" w:color="auto"/>
        <w:right w:val="none" w:sz="0" w:space="0" w:color="auto"/>
      </w:divBdr>
    </w:div>
    <w:div w:id="521558350">
      <w:bodyDiv w:val="1"/>
      <w:marLeft w:val="0"/>
      <w:marRight w:val="0"/>
      <w:marTop w:val="0"/>
      <w:marBottom w:val="0"/>
      <w:divBdr>
        <w:top w:val="none" w:sz="0" w:space="0" w:color="auto"/>
        <w:left w:val="none" w:sz="0" w:space="0" w:color="auto"/>
        <w:bottom w:val="none" w:sz="0" w:space="0" w:color="auto"/>
        <w:right w:val="none" w:sz="0" w:space="0" w:color="auto"/>
      </w:divBdr>
    </w:div>
    <w:div w:id="542910944">
      <w:bodyDiv w:val="1"/>
      <w:marLeft w:val="0"/>
      <w:marRight w:val="0"/>
      <w:marTop w:val="0"/>
      <w:marBottom w:val="0"/>
      <w:divBdr>
        <w:top w:val="none" w:sz="0" w:space="0" w:color="auto"/>
        <w:left w:val="none" w:sz="0" w:space="0" w:color="auto"/>
        <w:bottom w:val="none" w:sz="0" w:space="0" w:color="auto"/>
        <w:right w:val="none" w:sz="0" w:space="0" w:color="auto"/>
      </w:divBdr>
    </w:div>
    <w:div w:id="560672786">
      <w:bodyDiv w:val="1"/>
      <w:marLeft w:val="0"/>
      <w:marRight w:val="0"/>
      <w:marTop w:val="0"/>
      <w:marBottom w:val="0"/>
      <w:divBdr>
        <w:top w:val="none" w:sz="0" w:space="0" w:color="auto"/>
        <w:left w:val="none" w:sz="0" w:space="0" w:color="auto"/>
        <w:bottom w:val="none" w:sz="0" w:space="0" w:color="auto"/>
        <w:right w:val="none" w:sz="0" w:space="0" w:color="auto"/>
      </w:divBdr>
    </w:div>
    <w:div w:id="562564942">
      <w:bodyDiv w:val="1"/>
      <w:marLeft w:val="0"/>
      <w:marRight w:val="0"/>
      <w:marTop w:val="0"/>
      <w:marBottom w:val="0"/>
      <w:divBdr>
        <w:top w:val="none" w:sz="0" w:space="0" w:color="auto"/>
        <w:left w:val="none" w:sz="0" w:space="0" w:color="auto"/>
        <w:bottom w:val="none" w:sz="0" w:space="0" w:color="auto"/>
        <w:right w:val="none" w:sz="0" w:space="0" w:color="auto"/>
      </w:divBdr>
    </w:div>
    <w:div w:id="578827184">
      <w:bodyDiv w:val="1"/>
      <w:marLeft w:val="0"/>
      <w:marRight w:val="0"/>
      <w:marTop w:val="0"/>
      <w:marBottom w:val="0"/>
      <w:divBdr>
        <w:top w:val="none" w:sz="0" w:space="0" w:color="auto"/>
        <w:left w:val="none" w:sz="0" w:space="0" w:color="auto"/>
        <w:bottom w:val="none" w:sz="0" w:space="0" w:color="auto"/>
        <w:right w:val="none" w:sz="0" w:space="0" w:color="auto"/>
      </w:divBdr>
    </w:div>
    <w:div w:id="582615339">
      <w:bodyDiv w:val="1"/>
      <w:marLeft w:val="0"/>
      <w:marRight w:val="0"/>
      <w:marTop w:val="0"/>
      <w:marBottom w:val="0"/>
      <w:divBdr>
        <w:top w:val="none" w:sz="0" w:space="0" w:color="auto"/>
        <w:left w:val="none" w:sz="0" w:space="0" w:color="auto"/>
        <w:bottom w:val="none" w:sz="0" w:space="0" w:color="auto"/>
        <w:right w:val="none" w:sz="0" w:space="0" w:color="auto"/>
      </w:divBdr>
    </w:div>
    <w:div w:id="587664157">
      <w:bodyDiv w:val="1"/>
      <w:marLeft w:val="0"/>
      <w:marRight w:val="0"/>
      <w:marTop w:val="0"/>
      <w:marBottom w:val="0"/>
      <w:divBdr>
        <w:top w:val="none" w:sz="0" w:space="0" w:color="auto"/>
        <w:left w:val="none" w:sz="0" w:space="0" w:color="auto"/>
        <w:bottom w:val="none" w:sz="0" w:space="0" w:color="auto"/>
        <w:right w:val="none" w:sz="0" w:space="0" w:color="auto"/>
      </w:divBdr>
    </w:div>
    <w:div w:id="642856844">
      <w:bodyDiv w:val="1"/>
      <w:marLeft w:val="0"/>
      <w:marRight w:val="0"/>
      <w:marTop w:val="0"/>
      <w:marBottom w:val="0"/>
      <w:divBdr>
        <w:top w:val="none" w:sz="0" w:space="0" w:color="auto"/>
        <w:left w:val="none" w:sz="0" w:space="0" w:color="auto"/>
        <w:bottom w:val="none" w:sz="0" w:space="0" w:color="auto"/>
        <w:right w:val="none" w:sz="0" w:space="0" w:color="auto"/>
      </w:divBdr>
    </w:div>
    <w:div w:id="650644486">
      <w:bodyDiv w:val="1"/>
      <w:marLeft w:val="0"/>
      <w:marRight w:val="0"/>
      <w:marTop w:val="0"/>
      <w:marBottom w:val="0"/>
      <w:divBdr>
        <w:top w:val="none" w:sz="0" w:space="0" w:color="auto"/>
        <w:left w:val="none" w:sz="0" w:space="0" w:color="auto"/>
        <w:bottom w:val="none" w:sz="0" w:space="0" w:color="auto"/>
        <w:right w:val="none" w:sz="0" w:space="0" w:color="auto"/>
      </w:divBdr>
    </w:div>
    <w:div w:id="663895351">
      <w:bodyDiv w:val="1"/>
      <w:marLeft w:val="0"/>
      <w:marRight w:val="0"/>
      <w:marTop w:val="0"/>
      <w:marBottom w:val="0"/>
      <w:divBdr>
        <w:top w:val="none" w:sz="0" w:space="0" w:color="auto"/>
        <w:left w:val="none" w:sz="0" w:space="0" w:color="auto"/>
        <w:bottom w:val="none" w:sz="0" w:space="0" w:color="auto"/>
        <w:right w:val="none" w:sz="0" w:space="0" w:color="auto"/>
      </w:divBdr>
    </w:div>
    <w:div w:id="736052647">
      <w:bodyDiv w:val="1"/>
      <w:marLeft w:val="0"/>
      <w:marRight w:val="0"/>
      <w:marTop w:val="0"/>
      <w:marBottom w:val="0"/>
      <w:divBdr>
        <w:top w:val="none" w:sz="0" w:space="0" w:color="auto"/>
        <w:left w:val="none" w:sz="0" w:space="0" w:color="auto"/>
        <w:bottom w:val="none" w:sz="0" w:space="0" w:color="auto"/>
        <w:right w:val="none" w:sz="0" w:space="0" w:color="auto"/>
      </w:divBdr>
    </w:div>
    <w:div w:id="847796356">
      <w:bodyDiv w:val="1"/>
      <w:marLeft w:val="0"/>
      <w:marRight w:val="0"/>
      <w:marTop w:val="0"/>
      <w:marBottom w:val="0"/>
      <w:divBdr>
        <w:top w:val="none" w:sz="0" w:space="0" w:color="auto"/>
        <w:left w:val="none" w:sz="0" w:space="0" w:color="auto"/>
        <w:bottom w:val="none" w:sz="0" w:space="0" w:color="auto"/>
        <w:right w:val="none" w:sz="0" w:space="0" w:color="auto"/>
      </w:divBdr>
    </w:div>
    <w:div w:id="871309598">
      <w:bodyDiv w:val="1"/>
      <w:marLeft w:val="0"/>
      <w:marRight w:val="0"/>
      <w:marTop w:val="0"/>
      <w:marBottom w:val="0"/>
      <w:divBdr>
        <w:top w:val="none" w:sz="0" w:space="0" w:color="auto"/>
        <w:left w:val="none" w:sz="0" w:space="0" w:color="auto"/>
        <w:bottom w:val="none" w:sz="0" w:space="0" w:color="auto"/>
        <w:right w:val="none" w:sz="0" w:space="0" w:color="auto"/>
      </w:divBdr>
    </w:div>
    <w:div w:id="929049734">
      <w:bodyDiv w:val="1"/>
      <w:marLeft w:val="0"/>
      <w:marRight w:val="0"/>
      <w:marTop w:val="0"/>
      <w:marBottom w:val="0"/>
      <w:divBdr>
        <w:top w:val="none" w:sz="0" w:space="0" w:color="auto"/>
        <w:left w:val="none" w:sz="0" w:space="0" w:color="auto"/>
        <w:bottom w:val="none" w:sz="0" w:space="0" w:color="auto"/>
        <w:right w:val="none" w:sz="0" w:space="0" w:color="auto"/>
      </w:divBdr>
    </w:div>
    <w:div w:id="937559940">
      <w:bodyDiv w:val="1"/>
      <w:marLeft w:val="0"/>
      <w:marRight w:val="0"/>
      <w:marTop w:val="0"/>
      <w:marBottom w:val="0"/>
      <w:divBdr>
        <w:top w:val="none" w:sz="0" w:space="0" w:color="auto"/>
        <w:left w:val="none" w:sz="0" w:space="0" w:color="auto"/>
        <w:bottom w:val="none" w:sz="0" w:space="0" w:color="auto"/>
        <w:right w:val="none" w:sz="0" w:space="0" w:color="auto"/>
      </w:divBdr>
    </w:div>
    <w:div w:id="970091364">
      <w:bodyDiv w:val="1"/>
      <w:marLeft w:val="0"/>
      <w:marRight w:val="0"/>
      <w:marTop w:val="0"/>
      <w:marBottom w:val="0"/>
      <w:divBdr>
        <w:top w:val="none" w:sz="0" w:space="0" w:color="auto"/>
        <w:left w:val="none" w:sz="0" w:space="0" w:color="auto"/>
        <w:bottom w:val="none" w:sz="0" w:space="0" w:color="auto"/>
        <w:right w:val="none" w:sz="0" w:space="0" w:color="auto"/>
      </w:divBdr>
    </w:div>
    <w:div w:id="986085023">
      <w:bodyDiv w:val="1"/>
      <w:marLeft w:val="0"/>
      <w:marRight w:val="0"/>
      <w:marTop w:val="0"/>
      <w:marBottom w:val="0"/>
      <w:divBdr>
        <w:top w:val="none" w:sz="0" w:space="0" w:color="auto"/>
        <w:left w:val="none" w:sz="0" w:space="0" w:color="auto"/>
        <w:bottom w:val="none" w:sz="0" w:space="0" w:color="auto"/>
        <w:right w:val="none" w:sz="0" w:space="0" w:color="auto"/>
      </w:divBdr>
    </w:div>
    <w:div w:id="1047874876">
      <w:bodyDiv w:val="1"/>
      <w:marLeft w:val="0"/>
      <w:marRight w:val="0"/>
      <w:marTop w:val="0"/>
      <w:marBottom w:val="0"/>
      <w:divBdr>
        <w:top w:val="none" w:sz="0" w:space="0" w:color="auto"/>
        <w:left w:val="none" w:sz="0" w:space="0" w:color="auto"/>
        <w:bottom w:val="none" w:sz="0" w:space="0" w:color="auto"/>
        <w:right w:val="none" w:sz="0" w:space="0" w:color="auto"/>
      </w:divBdr>
    </w:div>
    <w:div w:id="1126578236">
      <w:bodyDiv w:val="1"/>
      <w:marLeft w:val="0"/>
      <w:marRight w:val="0"/>
      <w:marTop w:val="0"/>
      <w:marBottom w:val="0"/>
      <w:divBdr>
        <w:top w:val="none" w:sz="0" w:space="0" w:color="auto"/>
        <w:left w:val="none" w:sz="0" w:space="0" w:color="auto"/>
        <w:bottom w:val="none" w:sz="0" w:space="0" w:color="auto"/>
        <w:right w:val="none" w:sz="0" w:space="0" w:color="auto"/>
      </w:divBdr>
    </w:div>
    <w:div w:id="1353216819">
      <w:bodyDiv w:val="1"/>
      <w:marLeft w:val="0"/>
      <w:marRight w:val="0"/>
      <w:marTop w:val="0"/>
      <w:marBottom w:val="0"/>
      <w:divBdr>
        <w:top w:val="none" w:sz="0" w:space="0" w:color="auto"/>
        <w:left w:val="none" w:sz="0" w:space="0" w:color="auto"/>
        <w:bottom w:val="none" w:sz="0" w:space="0" w:color="auto"/>
        <w:right w:val="none" w:sz="0" w:space="0" w:color="auto"/>
      </w:divBdr>
    </w:div>
    <w:div w:id="1433477249">
      <w:bodyDiv w:val="1"/>
      <w:marLeft w:val="0"/>
      <w:marRight w:val="0"/>
      <w:marTop w:val="0"/>
      <w:marBottom w:val="0"/>
      <w:divBdr>
        <w:top w:val="none" w:sz="0" w:space="0" w:color="auto"/>
        <w:left w:val="none" w:sz="0" w:space="0" w:color="auto"/>
        <w:bottom w:val="none" w:sz="0" w:space="0" w:color="auto"/>
        <w:right w:val="none" w:sz="0" w:space="0" w:color="auto"/>
      </w:divBdr>
      <w:divsChild>
        <w:div w:id="1868324376">
          <w:marLeft w:val="0"/>
          <w:marRight w:val="0"/>
          <w:marTop w:val="0"/>
          <w:marBottom w:val="0"/>
          <w:divBdr>
            <w:top w:val="single" w:sz="6" w:space="16" w:color="414141"/>
            <w:left w:val="single" w:sz="6" w:space="18" w:color="414141"/>
            <w:bottom w:val="single" w:sz="6" w:space="0" w:color="414141"/>
            <w:right w:val="single" w:sz="6" w:space="31" w:color="414141"/>
          </w:divBdr>
          <w:divsChild>
            <w:div w:id="8598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566">
      <w:bodyDiv w:val="1"/>
      <w:marLeft w:val="0"/>
      <w:marRight w:val="0"/>
      <w:marTop w:val="0"/>
      <w:marBottom w:val="0"/>
      <w:divBdr>
        <w:top w:val="none" w:sz="0" w:space="0" w:color="auto"/>
        <w:left w:val="none" w:sz="0" w:space="0" w:color="auto"/>
        <w:bottom w:val="none" w:sz="0" w:space="0" w:color="auto"/>
        <w:right w:val="none" w:sz="0" w:space="0" w:color="auto"/>
      </w:divBdr>
    </w:div>
    <w:div w:id="1520050375">
      <w:bodyDiv w:val="1"/>
      <w:marLeft w:val="0"/>
      <w:marRight w:val="0"/>
      <w:marTop w:val="0"/>
      <w:marBottom w:val="0"/>
      <w:divBdr>
        <w:top w:val="none" w:sz="0" w:space="0" w:color="auto"/>
        <w:left w:val="none" w:sz="0" w:space="0" w:color="auto"/>
        <w:bottom w:val="none" w:sz="0" w:space="0" w:color="auto"/>
        <w:right w:val="none" w:sz="0" w:space="0" w:color="auto"/>
      </w:divBdr>
    </w:div>
    <w:div w:id="1536193150">
      <w:bodyDiv w:val="1"/>
      <w:marLeft w:val="0"/>
      <w:marRight w:val="0"/>
      <w:marTop w:val="0"/>
      <w:marBottom w:val="0"/>
      <w:divBdr>
        <w:top w:val="none" w:sz="0" w:space="0" w:color="auto"/>
        <w:left w:val="none" w:sz="0" w:space="0" w:color="auto"/>
        <w:bottom w:val="none" w:sz="0" w:space="0" w:color="auto"/>
        <w:right w:val="none" w:sz="0" w:space="0" w:color="auto"/>
      </w:divBdr>
    </w:div>
    <w:div w:id="1622805710">
      <w:bodyDiv w:val="1"/>
      <w:marLeft w:val="0"/>
      <w:marRight w:val="0"/>
      <w:marTop w:val="0"/>
      <w:marBottom w:val="0"/>
      <w:divBdr>
        <w:top w:val="none" w:sz="0" w:space="0" w:color="auto"/>
        <w:left w:val="none" w:sz="0" w:space="0" w:color="auto"/>
        <w:bottom w:val="none" w:sz="0" w:space="0" w:color="auto"/>
        <w:right w:val="none" w:sz="0" w:space="0" w:color="auto"/>
      </w:divBdr>
    </w:div>
    <w:div w:id="1636836467">
      <w:bodyDiv w:val="1"/>
      <w:marLeft w:val="0"/>
      <w:marRight w:val="0"/>
      <w:marTop w:val="0"/>
      <w:marBottom w:val="0"/>
      <w:divBdr>
        <w:top w:val="none" w:sz="0" w:space="0" w:color="auto"/>
        <w:left w:val="none" w:sz="0" w:space="0" w:color="auto"/>
        <w:bottom w:val="none" w:sz="0" w:space="0" w:color="auto"/>
        <w:right w:val="none" w:sz="0" w:space="0" w:color="auto"/>
      </w:divBdr>
    </w:div>
    <w:div w:id="1643844282">
      <w:bodyDiv w:val="1"/>
      <w:marLeft w:val="0"/>
      <w:marRight w:val="0"/>
      <w:marTop w:val="0"/>
      <w:marBottom w:val="0"/>
      <w:divBdr>
        <w:top w:val="none" w:sz="0" w:space="0" w:color="auto"/>
        <w:left w:val="none" w:sz="0" w:space="0" w:color="auto"/>
        <w:bottom w:val="none" w:sz="0" w:space="0" w:color="auto"/>
        <w:right w:val="none" w:sz="0" w:space="0" w:color="auto"/>
      </w:divBdr>
    </w:div>
    <w:div w:id="1671785079">
      <w:bodyDiv w:val="1"/>
      <w:marLeft w:val="0"/>
      <w:marRight w:val="0"/>
      <w:marTop w:val="0"/>
      <w:marBottom w:val="0"/>
      <w:divBdr>
        <w:top w:val="none" w:sz="0" w:space="0" w:color="auto"/>
        <w:left w:val="none" w:sz="0" w:space="0" w:color="auto"/>
        <w:bottom w:val="none" w:sz="0" w:space="0" w:color="auto"/>
        <w:right w:val="none" w:sz="0" w:space="0" w:color="auto"/>
      </w:divBdr>
    </w:div>
    <w:div w:id="1718120326">
      <w:bodyDiv w:val="1"/>
      <w:marLeft w:val="0"/>
      <w:marRight w:val="0"/>
      <w:marTop w:val="0"/>
      <w:marBottom w:val="0"/>
      <w:divBdr>
        <w:top w:val="none" w:sz="0" w:space="0" w:color="auto"/>
        <w:left w:val="none" w:sz="0" w:space="0" w:color="auto"/>
        <w:bottom w:val="none" w:sz="0" w:space="0" w:color="auto"/>
        <w:right w:val="none" w:sz="0" w:space="0" w:color="auto"/>
      </w:divBdr>
    </w:div>
    <w:div w:id="1750735393">
      <w:bodyDiv w:val="1"/>
      <w:marLeft w:val="0"/>
      <w:marRight w:val="0"/>
      <w:marTop w:val="0"/>
      <w:marBottom w:val="0"/>
      <w:divBdr>
        <w:top w:val="none" w:sz="0" w:space="0" w:color="auto"/>
        <w:left w:val="none" w:sz="0" w:space="0" w:color="auto"/>
        <w:bottom w:val="none" w:sz="0" w:space="0" w:color="auto"/>
        <w:right w:val="none" w:sz="0" w:space="0" w:color="auto"/>
      </w:divBdr>
    </w:div>
    <w:div w:id="1757170215">
      <w:bodyDiv w:val="1"/>
      <w:marLeft w:val="0"/>
      <w:marRight w:val="0"/>
      <w:marTop w:val="0"/>
      <w:marBottom w:val="0"/>
      <w:divBdr>
        <w:top w:val="none" w:sz="0" w:space="0" w:color="auto"/>
        <w:left w:val="none" w:sz="0" w:space="0" w:color="auto"/>
        <w:bottom w:val="none" w:sz="0" w:space="0" w:color="auto"/>
        <w:right w:val="none" w:sz="0" w:space="0" w:color="auto"/>
      </w:divBdr>
    </w:div>
    <w:div w:id="1769810445">
      <w:bodyDiv w:val="1"/>
      <w:marLeft w:val="0"/>
      <w:marRight w:val="0"/>
      <w:marTop w:val="0"/>
      <w:marBottom w:val="0"/>
      <w:divBdr>
        <w:top w:val="none" w:sz="0" w:space="0" w:color="auto"/>
        <w:left w:val="none" w:sz="0" w:space="0" w:color="auto"/>
        <w:bottom w:val="none" w:sz="0" w:space="0" w:color="auto"/>
        <w:right w:val="none" w:sz="0" w:space="0" w:color="auto"/>
      </w:divBdr>
    </w:div>
    <w:div w:id="1860778689">
      <w:bodyDiv w:val="1"/>
      <w:marLeft w:val="0"/>
      <w:marRight w:val="0"/>
      <w:marTop w:val="0"/>
      <w:marBottom w:val="0"/>
      <w:divBdr>
        <w:top w:val="none" w:sz="0" w:space="0" w:color="auto"/>
        <w:left w:val="none" w:sz="0" w:space="0" w:color="auto"/>
        <w:bottom w:val="none" w:sz="0" w:space="0" w:color="auto"/>
        <w:right w:val="none" w:sz="0" w:space="0" w:color="auto"/>
      </w:divBdr>
    </w:div>
    <w:div w:id="1871792829">
      <w:bodyDiv w:val="1"/>
      <w:marLeft w:val="0"/>
      <w:marRight w:val="0"/>
      <w:marTop w:val="0"/>
      <w:marBottom w:val="0"/>
      <w:divBdr>
        <w:top w:val="none" w:sz="0" w:space="0" w:color="auto"/>
        <w:left w:val="none" w:sz="0" w:space="0" w:color="auto"/>
        <w:bottom w:val="none" w:sz="0" w:space="0" w:color="auto"/>
        <w:right w:val="none" w:sz="0" w:space="0" w:color="auto"/>
      </w:divBdr>
    </w:div>
    <w:div w:id="1916622836">
      <w:bodyDiv w:val="1"/>
      <w:marLeft w:val="0"/>
      <w:marRight w:val="0"/>
      <w:marTop w:val="0"/>
      <w:marBottom w:val="0"/>
      <w:divBdr>
        <w:top w:val="none" w:sz="0" w:space="0" w:color="auto"/>
        <w:left w:val="none" w:sz="0" w:space="0" w:color="auto"/>
        <w:bottom w:val="none" w:sz="0" w:space="0" w:color="auto"/>
        <w:right w:val="none" w:sz="0" w:space="0" w:color="auto"/>
      </w:divBdr>
    </w:div>
    <w:div w:id="1960530926">
      <w:bodyDiv w:val="1"/>
      <w:marLeft w:val="0"/>
      <w:marRight w:val="0"/>
      <w:marTop w:val="0"/>
      <w:marBottom w:val="0"/>
      <w:divBdr>
        <w:top w:val="none" w:sz="0" w:space="0" w:color="auto"/>
        <w:left w:val="none" w:sz="0" w:space="0" w:color="auto"/>
        <w:bottom w:val="none" w:sz="0" w:space="0" w:color="auto"/>
        <w:right w:val="none" w:sz="0" w:space="0" w:color="auto"/>
      </w:divBdr>
    </w:div>
    <w:div w:id="1990162978">
      <w:bodyDiv w:val="1"/>
      <w:marLeft w:val="0"/>
      <w:marRight w:val="0"/>
      <w:marTop w:val="0"/>
      <w:marBottom w:val="0"/>
      <w:divBdr>
        <w:top w:val="none" w:sz="0" w:space="0" w:color="auto"/>
        <w:left w:val="none" w:sz="0" w:space="0" w:color="auto"/>
        <w:bottom w:val="none" w:sz="0" w:space="0" w:color="auto"/>
        <w:right w:val="none" w:sz="0" w:space="0" w:color="auto"/>
      </w:divBdr>
      <w:divsChild>
        <w:div w:id="164396107">
          <w:marLeft w:val="0"/>
          <w:marRight w:val="0"/>
          <w:marTop w:val="0"/>
          <w:marBottom w:val="0"/>
          <w:divBdr>
            <w:top w:val="single" w:sz="6" w:space="16" w:color="414141"/>
            <w:left w:val="single" w:sz="6" w:space="18" w:color="414141"/>
            <w:bottom w:val="single" w:sz="6" w:space="0" w:color="414141"/>
            <w:right w:val="single" w:sz="6" w:space="31" w:color="414141"/>
          </w:divBdr>
          <w:divsChild>
            <w:div w:id="16802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328">
      <w:bodyDiv w:val="1"/>
      <w:marLeft w:val="0"/>
      <w:marRight w:val="0"/>
      <w:marTop w:val="0"/>
      <w:marBottom w:val="0"/>
      <w:divBdr>
        <w:top w:val="none" w:sz="0" w:space="0" w:color="auto"/>
        <w:left w:val="none" w:sz="0" w:space="0" w:color="auto"/>
        <w:bottom w:val="none" w:sz="0" w:space="0" w:color="auto"/>
        <w:right w:val="none" w:sz="0" w:space="0" w:color="auto"/>
      </w:divBdr>
    </w:div>
    <w:div w:id="2054572383">
      <w:bodyDiv w:val="1"/>
      <w:marLeft w:val="0"/>
      <w:marRight w:val="0"/>
      <w:marTop w:val="0"/>
      <w:marBottom w:val="0"/>
      <w:divBdr>
        <w:top w:val="none" w:sz="0" w:space="0" w:color="auto"/>
        <w:left w:val="none" w:sz="0" w:space="0" w:color="auto"/>
        <w:bottom w:val="none" w:sz="0" w:space="0" w:color="auto"/>
        <w:right w:val="none" w:sz="0" w:space="0" w:color="auto"/>
      </w:divBdr>
    </w:div>
    <w:div w:id="2066635767">
      <w:bodyDiv w:val="1"/>
      <w:marLeft w:val="0"/>
      <w:marRight w:val="0"/>
      <w:marTop w:val="0"/>
      <w:marBottom w:val="0"/>
      <w:divBdr>
        <w:top w:val="none" w:sz="0" w:space="0" w:color="auto"/>
        <w:left w:val="none" w:sz="0" w:space="0" w:color="auto"/>
        <w:bottom w:val="none" w:sz="0" w:space="0" w:color="auto"/>
        <w:right w:val="none" w:sz="0" w:space="0" w:color="auto"/>
      </w:divBdr>
    </w:div>
    <w:div w:id="21138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C0B6-9B63-4D4F-A556-533EFB25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1691</Words>
  <Characters>9642</Characters>
  <Application>Microsoft Office Word</Application>
  <DocSecurity>0</DocSecurity>
  <Lines>80</Lines>
  <Paragraphs>22</Paragraphs>
  <ScaleCrop>false</ScaleCrop>
  <Company>Personal</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SOUGATO BAGCHI</cp:lastModifiedBy>
  <cp:revision>62</cp:revision>
  <dcterms:created xsi:type="dcterms:W3CDTF">2018-02-17T06:12:00Z</dcterms:created>
  <dcterms:modified xsi:type="dcterms:W3CDTF">2018-02-18T14:32:00Z</dcterms:modified>
</cp:coreProperties>
</file>