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pPr>
      <w:r>
        <w:rPr>
          <w:b/>
          <w:bCs/>
          <w:color w:val="1F4E79"/>
          <w:sz w:val="40"/>
          <w:szCs w:val="40"/>
        </w:rPr>
        <w:t>RAPPORT DE PROJET TECHNICO-COMMERCIAL</w:t>
      </w:r>
    </w:p>
    <w:p>
      <w:pPr>
        <w:pStyle w:val="Normal"/>
        <w:spacing w:before="0" w:after="400"/>
        <w:jc w:val="center"/>
        <w:rPr/>
      </w:pPr>
      <w:r>
        <w:rPr>
          <w:b/>
          <w:bCs/>
          <w:color w:val="2E75B6"/>
          <w:sz w:val="30"/>
          <w:szCs w:val="30"/>
        </w:rPr>
        <w:t>Conception et simulation d'un mini Datacenter privé d'entreprise</w:t>
      </w:r>
    </w:p>
    <w:p>
      <w:pPr>
        <w:pStyle w:val="Normal"/>
        <w:spacing w:before="0" w:after="100"/>
        <w:jc w:val="center"/>
        <w:rPr/>
      </w:pPr>
      <w:r>
        <w:rPr>
          <w:i/>
          <w:iCs/>
          <w:sz w:val="24"/>
          <w:szCs w:val="24"/>
        </w:rPr>
        <w:t>Cas d'usage : AssurVie SA — Compagnie d'assurance vie</w:t>
      </w:r>
    </w:p>
    <w:p>
      <w:pPr>
        <w:pStyle w:val="Normal"/>
        <w:spacing w:before="0" w:after="800"/>
        <w:jc w:val="center"/>
        <w:rPr/>
      </w:pPr>
      <w:r>
        <w:rPr>
          <w:sz w:val="22"/>
          <w:szCs w:val="22"/>
        </w:rPr>
        <w:t>Simulation réalisée sous GNS3 (pfSense, switches, serveurs virtualisés)</w:t>
      </w:r>
    </w:p>
    <w:p>
      <w:pPr>
        <w:pStyle w:val="Normal"/>
        <w:pBdr>
          <w:bottom w:val="single" w:sz="6" w:space="1" w:color="2E75B6"/>
        </w:pBdr>
        <w:spacing w:before="0" w:after="200"/>
        <w:rPr/>
      </w:pPr>
      <w:r>
        <w:rPr/>
      </w:r>
    </w:p>
    <w:p>
      <w:pPr>
        <w:pStyle w:val="Normal"/>
        <w:spacing w:before="0" w:after="150"/>
        <w:rPr/>
      </w:pPr>
      <w:r>
        <w:rPr>
          <w:b/>
          <w:bCs/>
          <w:sz w:val="22"/>
          <w:szCs w:val="22"/>
        </w:rPr>
        <w:t>Zones couvertes : Informatique — Logistique — Technique</w:t>
      </w:r>
    </w:p>
    <w:p>
      <w:pPr>
        <w:pStyle w:val="Normal"/>
        <w:spacing w:before="0" w:after="150"/>
        <w:rPr/>
      </w:pPr>
      <w:r>
        <w:rPr>
          <w:b/>
          <w:bCs/>
          <w:sz w:val="22"/>
          <w:szCs w:val="22"/>
        </w:rPr>
        <w:t>Type de datacenter : Privé d'entreprise (Tier II visé)</w:t>
      </w:r>
    </w:p>
    <w:p>
      <w:pPr>
        <w:pStyle w:val="Normal"/>
        <w:spacing w:before="0" w:after="150"/>
        <w:rPr/>
      </w:pPr>
      <w:r>
        <w:rPr>
          <w:b/>
          <w:bCs/>
          <w:sz w:val="22"/>
          <w:szCs w:val="22"/>
        </w:rPr>
        <w:t>Outils : GNS3, pfSense 2.6, Cisco/vSwitches, TrueNAS, Ubuntu Server, VMs Linux</w:t>
      </w:r>
    </w:p>
    <w:p>
      <w:pPr>
        <w:pStyle w:val="Normal"/>
        <w:rPr/>
      </w:pPr>
      <w:r>
        <w:rPr/>
      </w:r>
      <w:r>
        <w:br w:type="page"/>
      </w:r>
    </w:p>
    <w:p>
      <w:pPr>
        <w:pStyle w:val="Heading1"/>
        <w:spacing w:before="0" w:after="200"/>
        <w:rPr/>
      </w:pPr>
      <w:r>
        <w:rPr>
          <w:b/>
          <w:bCs/>
          <w:color w:val="1F4E79"/>
          <w:sz w:val="32"/>
          <w:szCs w:val="32"/>
        </w:rPr>
        <w:t>Sommaire</w:t>
      </w:r>
    </w:p>
    <w:p>
      <w:pPr>
        <w:pStyle w:val="Normal"/>
        <w:spacing w:before="0" w:after="150"/>
        <w:rPr/>
      </w:pPr>
      <w:r>
        <w:rPr>
          <w:sz w:val="22"/>
          <w:szCs w:val="22"/>
        </w:rPr>
        <w:t>1. Contexte et étude technico-commerciale</w:t>
      </w:r>
    </w:p>
    <w:p>
      <w:pPr>
        <w:pStyle w:val="Normal"/>
        <w:spacing w:before="0" w:after="150"/>
        <w:rPr/>
      </w:pPr>
      <w:r>
        <w:rPr>
          <w:sz w:val="22"/>
          <w:szCs w:val="22"/>
        </w:rPr>
        <w:t>2. Choix du type de datacenter et justification</w:t>
      </w:r>
    </w:p>
    <w:p>
      <w:pPr>
        <w:pStyle w:val="Normal"/>
        <w:spacing w:before="0" w:after="150"/>
        <w:rPr/>
      </w:pPr>
      <w:r>
        <w:rPr>
          <w:sz w:val="22"/>
          <w:szCs w:val="22"/>
        </w:rPr>
        <w:t>3. Organisation en 3 zones (Informatique, Logistique, Technique)</w:t>
      </w:r>
    </w:p>
    <w:p>
      <w:pPr>
        <w:pStyle w:val="Normal"/>
        <w:spacing w:before="0" w:after="150"/>
        <w:rPr/>
      </w:pPr>
      <w:r>
        <w:rPr>
          <w:sz w:val="22"/>
          <w:szCs w:val="22"/>
        </w:rPr>
        <w:t>4. Architecture réseau globale</w:t>
      </w:r>
    </w:p>
    <w:p>
      <w:pPr>
        <w:pStyle w:val="Normal"/>
        <w:spacing w:before="0" w:after="150"/>
        <w:rPr/>
      </w:pPr>
      <w:r>
        <w:rPr>
          <w:sz w:val="22"/>
          <w:szCs w:val="22"/>
        </w:rPr>
        <w:t>5. Plan d'adressage IP et VLANs</w:t>
      </w:r>
    </w:p>
    <w:p>
      <w:pPr>
        <w:pStyle w:val="Normal"/>
        <w:spacing w:before="0" w:after="150"/>
        <w:rPr/>
      </w:pPr>
      <w:r>
        <w:rPr>
          <w:sz w:val="22"/>
          <w:szCs w:val="22"/>
        </w:rPr>
        <w:t>6. Matrice de segmentation et règles de sécurité</w:t>
      </w:r>
    </w:p>
    <w:p>
      <w:pPr>
        <w:pStyle w:val="Normal"/>
        <w:spacing w:before="0" w:after="150"/>
        <w:rPr/>
      </w:pPr>
      <w:r>
        <w:rPr>
          <w:sz w:val="22"/>
          <w:szCs w:val="22"/>
        </w:rPr>
        <w:t>7. Liste des équipements à simuler</w:t>
      </w:r>
    </w:p>
    <w:p>
      <w:pPr>
        <w:pStyle w:val="Normal"/>
        <w:spacing w:before="0" w:after="150"/>
        <w:rPr/>
      </w:pPr>
      <w:r>
        <w:rPr>
          <w:sz w:val="22"/>
          <w:szCs w:val="22"/>
        </w:rPr>
        <w:t>8. Dimensionnement physique et électrique</w:t>
      </w:r>
    </w:p>
    <w:p>
      <w:pPr>
        <w:pStyle w:val="Normal"/>
        <w:spacing w:before="0" w:after="150"/>
        <w:rPr/>
      </w:pPr>
      <w:r>
        <w:rPr>
          <w:sz w:val="22"/>
          <w:szCs w:val="22"/>
        </w:rPr>
        <w:t>9. Procédure de mise en œuvre dans GNS3</w:t>
      </w:r>
    </w:p>
    <w:p>
      <w:pPr>
        <w:pStyle w:val="Normal"/>
        <w:spacing w:before="0" w:after="150"/>
        <w:rPr/>
      </w:pPr>
      <w:r>
        <w:rPr>
          <w:sz w:val="22"/>
          <w:szCs w:val="22"/>
        </w:rPr>
        <w:t>10. Tests et validation</w:t>
      </w:r>
    </w:p>
    <w:p>
      <w:pPr>
        <w:pStyle w:val="Normal"/>
        <w:spacing w:before="0" w:after="150"/>
        <w:rPr/>
      </w:pPr>
      <w:r>
        <w:rPr>
          <w:sz w:val="22"/>
          <w:szCs w:val="22"/>
        </w:rPr>
        <w:t>11. Limites et perspectives</w:t>
      </w:r>
    </w:p>
    <w:p>
      <w:pPr>
        <w:pStyle w:val="Normal"/>
        <w:rPr/>
      </w:pPr>
      <w:r>
        <w:rPr/>
      </w:r>
      <w:r>
        <w:br w:type="page"/>
      </w:r>
    </w:p>
    <w:p>
      <w:pPr>
        <w:pStyle w:val="Heading1"/>
        <w:spacing w:before="0" w:after="200"/>
        <w:rPr/>
      </w:pPr>
      <w:r>
        <w:rPr>
          <w:b/>
          <w:bCs/>
          <w:color w:val="1F4E79"/>
          <w:sz w:val="32"/>
          <w:szCs w:val="32"/>
        </w:rPr>
        <w:t>1. Contexte et étude technico-commerciale</w:t>
      </w:r>
    </w:p>
    <w:p>
      <w:pPr>
        <w:pStyle w:val="Heading2"/>
        <w:spacing w:before="300" w:after="150"/>
        <w:rPr/>
      </w:pPr>
      <w:r>
        <w:rPr>
          <w:b/>
          <w:bCs/>
          <w:color w:val="2E75B6"/>
          <w:sz w:val="26"/>
          <w:szCs w:val="26"/>
        </w:rPr>
        <w:t>1.1 Présentation de l'entreprise fictive</w:t>
      </w:r>
    </w:p>
    <w:p>
      <w:pPr>
        <w:pStyle w:val="Normal"/>
        <w:spacing w:before="0" w:after="150"/>
        <w:rPr/>
      </w:pPr>
      <w:r>
        <w:rPr>
          <w:sz w:val="22"/>
          <w:szCs w:val="22"/>
        </w:rPr>
        <w:t>AssurVie SA est une compagnie d'assurance vie de 200 employés, disposant d'un site unique. Elle gère des données sensibles (contrats, informations clients, données financières) qui imposent un haut niveau de sécurité, de disponibilité et de traçabilité des accès.</w:t>
      </w:r>
    </w:p>
    <w:p>
      <w:pPr>
        <w:pStyle w:val="Heading2"/>
        <w:spacing w:before="300" w:after="150"/>
        <w:rPr/>
      </w:pPr>
      <w:r>
        <w:rPr>
          <w:b/>
          <w:bCs/>
          <w:color w:val="2E75B6"/>
          <w:sz w:val="26"/>
          <w:szCs w:val="26"/>
        </w:rPr>
        <w:t>1.2 Analyse des besoins</w:t>
      </w:r>
    </w:p>
    <w:p>
      <w:pPr>
        <w:pStyle w:val="Normal"/>
        <w:spacing w:before="0" w:after="150"/>
        <w:rPr/>
      </w:pPr>
      <w:r>
        <w:rPr>
          <w:sz w:val="22"/>
          <w:szCs w:val="22"/>
        </w:rPr>
        <w:t>Le système d'information actuel repose sur des serveurs vieillissants, sans redondance ni segmentation réseau claire. L'entreprise souhaite :</w:t>
      </w:r>
    </w:p>
    <w:p>
      <w:pPr>
        <w:pStyle w:val="ListParagraph"/>
        <w:numPr>
          <w:ilvl w:val="0"/>
          <w:numId w:val="4"/>
        </w:numPr>
        <w:spacing w:before="0" w:after="80"/>
        <w:rPr/>
      </w:pPr>
      <w:r>
        <w:rPr>
          <w:sz w:val="22"/>
          <w:szCs w:val="22"/>
        </w:rPr>
        <w:t>Centraliser ses services IT dans une infrastructure maîtrisée et sécurisée.</w:t>
      </w:r>
    </w:p>
    <w:p>
      <w:pPr>
        <w:pStyle w:val="ListParagraph"/>
        <w:numPr>
          <w:ilvl w:val="0"/>
          <w:numId w:val="2"/>
        </w:numPr>
        <w:spacing w:before="0" w:after="80"/>
        <w:rPr/>
      </w:pPr>
      <w:r>
        <w:rPr>
          <w:sz w:val="22"/>
          <w:szCs w:val="22"/>
        </w:rPr>
        <w:t>Garantir la continuité de service (haute disponibilité partielle, Tier II).</w:t>
      </w:r>
    </w:p>
    <w:p>
      <w:pPr>
        <w:pStyle w:val="ListParagraph"/>
        <w:numPr>
          <w:ilvl w:val="0"/>
          <w:numId w:val="2"/>
        </w:numPr>
        <w:spacing w:before="0" w:after="80"/>
        <w:rPr/>
      </w:pPr>
      <w:r>
        <w:rPr>
          <w:sz w:val="22"/>
          <w:szCs w:val="22"/>
        </w:rPr>
        <w:t>Isoler les flux sensibles (base de données, stockage) des flux publics (site web).</w:t>
      </w:r>
    </w:p>
    <w:p>
      <w:pPr>
        <w:pStyle w:val="ListParagraph"/>
        <w:numPr>
          <w:ilvl w:val="0"/>
          <w:numId w:val="2"/>
        </w:numPr>
        <w:spacing w:before="0" w:after="80"/>
        <w:rPr/>
      </w:pPr>
      <w:r>
        <w:rPr>
          <w:sz w:val="22"/>
          <w:szCs w:val="22"/>
        </w:rPr>
        <w:t>Respecter les exigences réglementaires de protection des données personnelles.</w:t>
      </w:r>
    </w:p>
    <w:p>
      <w:pPr>
        <w:pStyle w:val="ListParagraph"/>
        <w:numPr>
          <w:ilvl w:val="0"/>
          <w:numId w:val="2"/>
        </w:numPr>
        <w:spacing w:before="0" w:after="80"/>
        <w:rPr/>
      </w:pPr>
      <w:r>
        <w:rPr>
          <w:sz w:val="22"/>
          <w:szCs w:val="22"/>
        </w:rPr>
        <w:t>Maîtriser les coûts (CAPEX/OPEX) en restant sur une infrastructure privée de taille raisonnable.</w:t>
      </w:r>
    </w:p>
    <w:p>
      <w:pPr>
        <w:pStyle w:val="Heading2"/>
        <w:spacing w:before="300" w:after="150"/>
        <w:rPr/>
      </w:pPr>
      <w:r>
        <w:rPr>
          <w:b/>
          <w:bCs/>
          <w:color w:val="2E75B6"/>
          <w:sz w:val="26"/>
          <w:szCs w:val="26"/>
        </w:rPr>
        <w:t>1.3 Étude de l'existant</w:t>
      </w:r>
    </w:p>
    <w:p>
      <w:pPr>
        <w:pStyle w:val="Normal"/>
        <w:spacing w:before="0" w:after="150"/>
        <w:rPr/>
      </w:pPr>
      <w:r>
        <w:rPr>
          <w:sz w:val="22"/>
          <w:szCs w:val="22"/>
        </w:rPr>
        <w:t>L'infrastructure actuelle présente plusieurs limites : absence de redondance électrique, pas de séparation VLAN, absence de supervision centralisée, et un seul point de défaillance (SPOF) sur le serveur principal.</w:t>
      </w:r>
    </w:p>
    <w:p>
      <w:pPr>
        <w:pStyle w:val="Heading2"/>
        <w:spacing w:before="300" w:after="150"/>
        <w:rPr/>
      </w:pPr>
      <w:r>
        <w:rPr>
          <w:b/>
          <w:bCs/>
          <w:color w:val="2E75B6"/>
          <w:sz w:val="26"/>
          <w:szCs w:val="26"/>
        </w:rPr>
        <w:t>1.4 Étude de faisabilité</w:t>
      </w:r>
    </w:p>
    <w:tbl>
      <w:tblPr>
        <w:tblW w:w="9600" w:type="dxa"/>
        <w:jc w:val="start"/>
        <w:tblInd w:w="0" w:type="dxa"/>
        <w:tblLayout w:type="fixed"/>
        <w:tblCellMar>
          <w:top w:w="0" w:type="dxa"/>
          <w:start w:w="108" w:type="dxa"/>
          <w:bottom w:w="0" w:type="dxa"/>
          <w:end w:w="108" w:type="dxa"/>
        </w:tblCellMar>
      </w:tblPr>
      <w:tblGrid>
        <w:gridCol w:w="2800"/>
        <w:gridCol w:w="2198"/>
        <w:gridCol w:w="2202"/>
        <w:gridCol w:w="24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Critère</w:t>
            </w:r>
          </w:p>
        </w:tc>
        <w:tc>
          <w:tcPr>
            <w:tcW w:w="21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Datacenter privé</w:t>
            </w:r>
          </w:p>
        </w:tc>
        <w:tc>
          <w:tcPr>
            <w:tcW w:w="22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Colocation</w:t>
            </w:r>
          </w:p>
        </w:tc>
        <w:tc>
          <w:tcPr>
            <w:tcW w:w="24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Cloud public</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Contrôle des données</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Total</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Partiel</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Faible</w:t>
            </w:r>
          </w:p>
        </w:tc>
      </w:tr>
      <w:tr>
        <w:trPr/>
        <w:tc>
          <w:tcPr>
            <w:tcW w:w="2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Conformité données sensibles</w:t>
            </w:r>
          </w:p>
        </w:tc>
        <w:tc>
          <w:tcPr>
            <w:tcW w:w="2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Optimale</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Bonne</w:t>
            </w:r>
          </w:p>
        </w:tc>
        <w:tc>
          <w:tcPr>
            <w:tcW w:w="24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Dépend du contrat</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Coût initial (CAPEX)</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Élevé</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Moyen</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Faible</w:t>
            </w:r>
          </w:p>
        </w:tc>
      </w:tr>
      <w:tr>
        <w:trPr/>
        <w:tc>
          <w:tcPr>
            <w:tcW w:w="2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Coût récurrent (OPEX)</w:t>
            </w:r>
          </w:p>
        </w:tc>
        <w:tc>
          <w:tcPr>
            <w:tcW w:w="2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Modéré</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Moyen-élevé</w:t>
            </w:r>
          </w:p>
        </w:tc>
        <w:tc>
          <w:tcPr>
            <w:tcW w:w="24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Variable/élastique</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Délai de mise en œuvre</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Long</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Court</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Immédiat</w:t>
            </w:r>
          </w:p>
        </w:tc>
      </w:tr>
    </w:tbl>
    <w:p>
      <w:pPr>
        <w:pStyle w:val="Normal"/>
        <w:spacing w:before="0" w:after="150"/>
        <w:rPr/>
      </w:pPr>
      <w:r>
        <w:rPr/>
      </w:r>
    </w:p>
    <w:p>
      <w:pPr>
        <w:pStyle w:val="Normal"/>
        <w:spacing w:before="0" w:after="150"/>
        <w:rPr/>
      </w:pPr>
      <w:r>
        <w:rPr>
          <w:b/>
          <w:bCs/>
          <w:sz w:val="22"/>
          <w:szCs w:val="22"/>
        </w:rPr>
        <w:t>Choix retenu : Datacenter privé d'entreprise, pour garantir le contrôle total des données sensibles liées à l'activité d'assurance et répondre aux exigences réglementaires du secteur.</w:t>
      </w:r>
    </w:p>
    <w:p>
      <w:pPr>
        <w:pStyle w:val="Heading2"/>
        <w:spacing w:before="300" w:after="150"/>
        <w:rPr/>
      </w:pPr>
      <w:r>
        <w:rPr>
          <w:b/>
          <w:bCs/>
          <w:color w:val="2E75B6"/>
          <w:sz w:val="26"/>
          <w:szCs w:val="26"/>
        </w:rPr>
        <w:t>1.5 Objectifs et livrables</w:t>
      </w:r>
    </w:p>
    <w:p>
      <w:pPr>
        <w:pStyle w:val="ListParagraph"/>
        <w:numPr>
          <w:ilvl w:val="0"/>
          <w:numId w:val="2"/>
        </w:numPr>
        <w:spacing w:before="0" w:after="80"/>
        <w:rPr/>
      </w:pPr>
      <w:r>
        <w:rPr>
          <w:sz w:val="22"/>
          <w:szCs w:val="22"/>
        </w:rPr>
        <w:t>Architecture réseau segmentée (VLANs) avec pare-feu central (pfSense).</w:t>
      </w:r>
    </w:p>
    <w:p>
      <w:pPr>
        <w:pStyle w:val="ListParagraph"/>
        <w:numPr>
          <w:ilvl w:val="0"/>
          <w:numId w:val="2"/>
        </w:numPr>
        <w:spacing w:before="0" w:after="80"/>
        <w:rPr/>
      </w:pPr>
      <w:r>
        <w:rPr>
          <w:sz w:val="22"/>
          <w:szCs w:val="22"/>
        </w:rPr>
        <w:t>Simulation fonctionnelle sous GNS3 des zones Informatique.</w:t>
      </w:r>
    </w:p>
    <w:p>
      <w:pPr>
        <w:pStyle w:val="ListParagraph"/>
        <w:numPr>
          <w:ilvl w:val="0"/>
          <w:numId w:val="2"/>
        </w:numPr>
        <w:spacing w:before="0" w:after="80"/>
        <w:rPr/>
      </w:pPr>
      <w:r>
        <w:rPr>
          <w:sz w:val="22"/>
          <w:szCs w:val="22"/>
        </w:rPr>
        <w:t>Documentation complète des zones Logistique et Technique (schémas).</w:t>
      </w:r>
    </w:p>
    <w:p>
      <w:pPr>
        <w:pStyle w:val="ListParagraph"/>
        <w:numPr>
          <w:ilvl w:val="0"/>
          <w:numId w:val="2"/>
        </w:numPr>
        <w:spacing w:before="0" w:after="80"/>
        <w:rPr/>
      </w:pPr>
      <w:r>
        <w:rPr>
          <w:sz w:val="22"/>
          <w:szCs w:val="22"/>
        </w:rPr>
        <w:t>Business plan simplifié et argumentaire technico-commercial.</w:t>
      </w:r>
    </w:p>
    <w:p>
      <w:pPr>
        <w:pStyle w:val="Normal"/>
        <w:rPr/>
      </w:pPr>
      <w:r>
        <w:rPr/>
      </w:r>
      <w:r>
        <w:br w:type="page"/>
      </w:r>
    </w:p>
    <w:p>
      <w:pPr>
        <w:pStyle w:val="Heading1"/>
        <w:spacing w:before="0" w:after="200"/>
        <w:rPr/>
      </w:pPr>
      <w:r>
        <w:rPr>
          <w:b/>
          <w:bCs/>
          <w:color w:val="1F4E79"/>
          <w:sz w:val="32"/>
          <w:szCs w:val="32"/>
        </w:rPr>
        <w:t>2. Choix du type de datacenter</w:t>
      </w:r>
    </w:p>
    <w:p>
      <w:pPr>
        <w:pStyle w:val="Normal"/>
        <w:spacing w:before="0" w:after="150"/>
        <w:rPr/>
      </w:pPr>
      <w:r>
        <w:rPr>
          <w:sz w:val="22"/>
          <w:szCs w:val="22"/>
        </w:rPr>
        <w:t>Le datacenter d'AssurVie SA est de type privé d'entreprise (on-premise), hébergé dans un local technique de 30 m² au sein du siège social.</w:t>
      </w:r>
    </w:p>
    <w:p>
      <w:pPr>
        <w:pStyle w:val="Heading3"/>
        <w:spacing w:before="200" w:after="100"/>
        <w:rPr/>
      </w:pPr>
      <w:r>
        <w:rPr>
          <w:b/>
          <w:bCs/>
          <w:sz w:val="23"/>
          <w:szCs w:val="23"/>
        </w:rPr>
        <w:t>Avantages exploités</w:t>
      </w:r>
    </w:p>
    <w:p>
      <w:pPr>
        <w:pStyle w:val="ListParagraph"/>
        <w:numPr>
          <w:ilvl w:val="0"/>
          <w:numId w:val="2"/>
        </w:numPr>
        <w:spacing w:before="0" w:after="80"/>
        <w:rPr/>
      </w:pPr>
      <w:r>
        <w:rPr>
          <w:sz w:val="22"/>
          <w:szCs w:val="22"/>
        </w:rPr>
        <w:t>Contrôle total sur l'infrastructure et les données sensibles (conformité réglementaire assurance).</w:t>
      </w:r>
    </w:p>
    <w:p>
      <w:pPr>
        <w:pStyle w:val="ListParagraph"/>
        <w:numPr>
          <w:ilvl w:val="0"/>
          <w:numId w:val="2"/>
        </w:numPr>
        <w:spacing w:before="0" w:after="80"/>
        <w:rPr/>
      </w:pPr>
      <w:r>
        <w:rPr>
          <w:sz w:val="22"/>
          <w:szCs w:val="22"/>
        </w:rPr>
        <w:t>Latence minimale entre les applications métier et les utilisateurs internes.</w:t>
      </w:r>
    </w:p>
    <w:p>
      <w:pPr>
        <w:pStyle w:val="ListParagraph"/>
        <w:numPr>
          <w:ilvl w:val="0"/>
          <w:numId w:val="2"/>
        </w:numPr>
        <w:spacing w:before="0" w:after="80"/>
        <w:rPr/>
      </w:pPr>
      <w:r>
        <w:rPr>
          <w:sz w:val="22"/>
          <w:szCs w:val="22"/>
        </w:rPr>
        <w:t>Personnalisation complète de la sécurité physique et logique.</w:t>
      </w:r>
    </w:p>
    <w:p>
      <w:pPr>
        <w:pStyle w:val="Heading3"/>
        <w:spacing w:before="200" w:after="100"/>
        <w:rPr/>
      </w:pPr>
      <w:r>
        <w:rPr>
          <w:b/>
          <w:bCs/>
          <w:sz w:val="23"/>
          <w:szCs w:val="23"/>
        </w:rPr>
        <w:t>Faiblesses minimisées</w:t>
      </w:r>
    </w:p>
    <w:p>
      <w:pPr>
        <w:pStyle w:val="ListParagraph"/>
        <w:numPr>
          <w:ilvl w:val="0"/>
          <w:numId w:val="2"/>
        </w:numPr>
        <w:spacing w:before="0" w:after="80"/>
        <w:rPr/>
      </w:pPr>
      <w:r>
        <w:rPr>
          <w:sz w:val="22"/>
          <w:szCs w:val="22"/>
        </w:rPr>
        <w:t>Le coût d'investissement est justifié par une charge de travail stable et prévisible.</w:t>
      </w:r>
    </w:p>
    <w:p>
      <w:pPr>
        <w:pStyle w:val="ListParagraph"/>
        <w:numPr>
          <w:ilvl w:val="0"/>
          <w:numId w:val="2"/>
        </w:numPr>
        <w:spacing w:before="0" w:after="80"/>
        <w:rPr/>
      </w:pPr>
      <w:r>
        <w:rPr>
          <w:sz w:val="22"/>
          <w:szCs w:val="22"/>
        </w:rPr>
        <w:t>Le risque de panne unique est réduit par la redondance des liens et des alimentations (UPS, N+1).</w:t>
      </w:r>
    </w:p>
    <w:p>
      <w:pPr>
        <w:pStyle w:val="ListParagraph"/>
        <w:numPr>
          <w:ilvl w:val="0"/>
          <w:numId w:val="2"/>
        </w:numPr>
        <w:spacing w:before="0" w:after="80"/>
        <w:rPr/>
      </w:pPr>
      <w:r>
        <w:rPr>
          <w:sz w:val="22"/>
          <w:szCs w:val="22"/>
        </w:rPr>
        <w:t>La disponibilité visée (Tier II) reste réaliste pour la taille de l'entreprise, avec une marge d'évolution vers un site de secours.</w:t>
      </w:r>
    </w:p>
    <w:p>
      <w:pPr>
        <w:pStyle w:val="Normal"/>
        <w:rPr/>
      </w:pPr>
      <w:r>
        <w:rPr/>
      </w:r>
      <w:r>
        <w:br w:type="page"/>
      </w:r>
    </w:p>
    <w:p>
      <w:pPr>
        <w:pStyle w:val="Heading1"/>
        <w:spacing w:before="0" w:after="200"/>
        <w:rPr/>
      </w:pPr>
      <w:r>
        <w:rPr>
          <w:b/>
          <w:bCs/>
          <w:color w:val="1F4E79"/>
          <w:sz w:val="32"/>
          <w:szCs w:val="32"/>
        </w:rPr>
        <w:t>3. Organisation en 3 zones</w:t>
      </w:r>
    </w:p>
    <w:p>
      <w:pPr>
        <w:pStyle w:val="Normal"/>
        <w:spacing w:before="0" w:after="150"/>
        <w:rPr/>
      </w:pPr>
      <w:r>
        <w:rPr>
          <w:sz w:val="22"/>
          <w:szCs w:val="22"/>
        </w:rPr>
        <w:t>Le datacenter est structuré en trois zones fonctionnelles distinctes et complémentaires : Informatique, Logistique, Technique.</w:t>
      </w:r>
    </w:p>
    <w:p>
      <w:pPr>
        <w:pStyle w:val="Heading2"/>
        <w:spacing w:before="300" w:after="150"/>
        <w:rPr/>
      </w:pPr>
      <w:r>
        <w:rPr>
          <w:b/>
          <w:bCs/>
          <w:color w:val="2E75B6"/>
          <w:sz w:val="26"/>
          <w:szCs w:val="26"/>
        </w:rPr>
        <w:t>3.1 Répartition des surfaces (salle de 30 m²)</w:t>
      </w:r>
    </w:p>
    <w:tbl>
      <w:tblPr>
        <w:tblW w:w="10600" w:type="dxa"/>
        <w:jc w:val="start"/>
        <w:tblInd w:w="0" w:type="dxa"/>
        <w:tblLayout w:type="fixed"/>
        <w:tblCellMar>
          <w:top w:w="0" w:type="dxa"/>
          <w:start w:w="108" w:type="dxa"/>
          <w:bottom w:w="0" w:type="dxa"/>
          <w:end w:w="108" w:type="dxa"/>
        </w:tblCellMar>
      </w:tblPr>
      <w:tblGrid>
        <w:gridCol w:w="2800"/>
        <w:gridCol w:w="4200"/>
        <w:gridCol w:w="1800"/>
        <w:gridCol w:w="18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Zone</w:t>
            </w:r>
          </w:p>
        </w:tc>
        <w:tc>
          <w:tcPr>
            <w:tcW w:w="42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Contenu principal</w:t>
            </w:r>
          </w:p>
        </w:tc>
        <w:tc>
          <w:tcPr>
            <w:tcW w:w="18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Surface</w:t>
            </w:r>
          </w:p>
        </w:tc>
        <w:tc>
          <w:tcPr>
            <w:tcW w:w="18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 du total</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Informatique</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Réseau, Serveurs, Stockage SAN, Backup</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15 m²</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50 %</w:t>
            </w:r>
          </w:p>
        </w:tc>
      </w:tr>
      <w:tr>
        <w:trPr/>
        <w:tc>
          <w:tcPr>
            <w:tcW w:w="2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Technique</w:t>
            </w:r>
          </w:p>
        </w:tc>
        <w:tc>
          <w:tcPr>
            <w:tcW w:w="4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Électrique, Climatisation, Incendie, Capteurs</w:t>
            </w:r>
          </w:p>
        </w:tc>
        <w:tc>
          <w:tcPr>
            <w:tcW w:w="1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9 m²</w:t>
            </w:r>
          </w:p>
        </w:tc>
        <w:tc>
          <w:tcPr>
            <w:tcW w:w="1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30 %</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Logistique</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Sas d'accès, NOC, Stock pièces détachées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6 m²</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20 %</w:t>
            </w:r>
          </w:p>
        </w:tc>
      </w:tr>
    </w:tbl>
    <w:p>
      <w:pPr>
        <w:pStyle w:val="Normal"/>
        <w:spacing w:before="0" w:after="150"/>
        <w:rPr/>
      </w:pPr>
      <w:r>
        <w:rPr/>
      </w:r>
    </w:p>
    <w:p>
      <w:pPr>
        <w:pStyle w:val="Heading2"/>
        <w:spacing w:before="300" w:after="150"/>
        <w:rPr/>
      </w:pPr>
      <w:r>
        <w:rPr>
          <w:b/>
          <w:bCs/>
          <w:color w:val="2E75B6"/>
          <w:sz w:val="26"/>
          <w:szCs w:val="26"/>
        </w:rPr>
        <w:t>3.2 Zone Informatique (IT)</w:t>
      </w:r>
    </w:p>
    <w:p>
      <w:pPr>
        <w:pStyle w:val="Normal"/>
        <w:spacing w:before="0" w:after="150"/>
        <w:rPr/>
      </w:pPr>
      <w:r>
        <w:rPr>
          <w:sz w:val="22"/>
          <w:szCs w:val="22"/>
        </w:rPr>
        <w:t>Cœur du datacenter : traitement, stockage et transport de la donnée.</w:t>
      </w:r>
    </w:p>
    <w:p>
      <w:pPr>
        <w:pStyle w:val="ListParagraph"/>
        <w:numPr>
          <w:ilvl w:val="0"/>
          <w:numId w:val="2"/>
        </w:numPr>
        <w:spacing w:before="0" w:after="80"/>
        <w:rPr/>
      </w:pPr>
      <w:r>
        <w:rPr>
          <w:sz w:val="22"/>
          <w:szCs w:val="22"/>
        </w:rPr>
        <w:t>Baie Réseau : switches cœur/distribution, firewall, routeur.</w:t>
      </w:r>
    </w:p>
    <w:p>
      <w:pPr>
        <w:pStyle w:val="ListParagraph"/>
        <w:numPr>
          <w:ilvl w:val="0"/>
          <w:numId w:val="2"/>
        </w:numPr>
        <w:spacing w:before="0" w:after="80"/>
        <w:rPr/>
      </w:pPr>
      <w:r>
        <w:rPr>
          <w:sz w:val="22"/>
          <w:szCs w:val="22"/>
        </w:rPr>
        <w:t>Baie Serveurs : serveurs physiques virtualisés (4-5 unités).</w:t>
      </w:r>
    </w:p>
    <w:p>
      <w:pPr>
        <w:pStyle w:val="ListParagraph"/>
        <w:numPr>
          <w:ilvl w:val="0"/>
          <w:numId w:val="2"/>
        </w:numPr>
        <w:spacing w:before="0" w:after="80"/>
        <w:rPr/>
      </w:pPr>
      <w:r>
        <w:rPr>
          <w:sz w:val="22"/>
          <w:szCs w:val="22"/>
        </w:rPr>
        <w:t>Baie Stockage (SAN/NAS) : baie de disques, switch iSCSI dédié.</w:t>
      </w:r>
    </w:p>
    <w:p>
      <w:pPr>
        <w:pStyle w:val="ListParagraph"/>
        <w:numPr>
          <w:ilvl w:val="0"/>
          <w:numId w:val="2"/>
        </w:numPr>
        <w:spacing w:before="0" w:after="80"/>
        <w:rPr/>
      </w:pPr>
      <w:r>
        <w:rPr>
          <w:sz w:val="22"/>
          <w:szCs w:val="22"/>
        </w:rPr>
        <w:t>Baie Sauvegarde : serveur de backup, réplication.</w:t>
      </w:r>
    </w:p>
    <w:p>
      <w:pPr>
        <w:pStyle w:val="Heading2"/>
        <w:spacing w:before="300" w:after="150"/>
        <w:rPr/>
      </w:pPr>
      <w:r>
        <w:rPr>
          <w:b/>
          <w:bCs/>
          <w:color w:val="2E75B6"/>
          <w:sz w:val="26"/>
          <w:szCs w:val="26"/>
        </w:rPr>
        <w:t>3.3 Zone Technique</w:t>
      </w:r>
    </w:p>
    <w:p>
      <w:pPr>
        <w:pStyle w:val="Normal"/>
        <w:spacing w:before="0" w:after="150"/>
        <w:rPr/>
      </w:pPr>
      <w:r>
        <w:rPr>
          <w:sz w:val="22"/>
          <w:szCs w:val="22"/>
        </w:rPr>
        <w:t>Infrastructure de support qui fait fonctionner physiquement le datacenter.</w:t>
      </w:r>
    </w:p>
    <w:p>
      <w:pPr>
        <w:pStyle w:val="ListParagraph"/>
        <w:numPr>
          <w:ilvl w:val="0"/>
          <w:numId w:val="2"/>
        </w:numPr>
        <w:spacing w:before="0" w:after="80"/>
        <w:rPr/>
      </w:pPr>
      <w:r>
        <w:rPr>
          <w:sz w:val="22"/>
          <w:szCs w:val="22"/>
        </w:rPr>
        <w:t>Zone électrique : tableau électrique, onduleurs (UPS) redondants N+1.</w:t>
      </w:r>
    </w:p>
    <w:p>
      <w:pPr>
        <w:pStyle w:val="ListParagraph"/>
        <w:numPr>
          <w:ilvl w:val="0"/>
          <w:numId w:val="2"/>
        </w:numPr>
        <w:spacing w:before="0" w:after="80"/>
        <w:rPr/>
      </w:pPr>
      <w:r>
        <w:rPr>
          <w:sz w:val="22"/>
          <w:szCs w:val="22"/>
        </w:rPr>
        <w:t>Zone climatisation : unités CRAC redondantes, confinement allée froide.</w:t>
      </w:r>
    </w:p>
    <w:p>
      <w:pPr>
        <w:pStyle w:val="ListParagraph"/>
        <w:numPr>
          <w:ilvl w:val="0"/>
          <w:numId w:val="2"/>
        </w:numPr>
        <w:spacing w:before="0" w:after="80"/>
        <w:rPr/>
      </w:pPr>
      <w:r>
        <w:rPr>
          <w:sz w:val="22"/>
          <w:szCs w:val="22"/>
        </w:rPr>
        <w:t>Détection et extinction incendie automatique (gaz inerte).</w:t>
      </w:r>
    </w:p>
    <w:p>
      <w:pPr>
        <w:pStyle w:val="ListParagraph"/>
        <w:numPr>
          <w:ilvl w:val="0"/>
          <w:numId w:val="2"/>
        </w:numPr>
        <w:spacing w:before="0" w:after="80"/>
        <w:rPr/>
      </w:pPr>
      <w:r>
        <w:rPr>
          <w:sz w:val="22"/>
          <w:szCs w:val="22"/>
        </w:rPr>
        <w:t>Capteurs environnementaux : température, humidité, ouverture de baie (simulation IoT optionnelle).</w:t>
      </w:r>
    </w:p>
    <w:p>
      <w:pPr>
        <w:pStyle w:val="Heading2"/>
        <w:spacing w:before="300" w:after="150"/>
        <w:rPr/>
      </w:pPr>
      <w:r>
        <w:rPr>
          <w:b/>
          <w:bCs/>
          <w:color w:val="2E75B6"/>
          <w:sz w:val="26"/>
          <w:szCs w:val="26"/>
        </w:rPr>
        <w:t>3.4 Zone Logistique</w:t>
      </w:r>
    </w:p>
    <w:p>
      <w:pPr>
        <w:pStyle w:val="Normal"/>
        <w:spacing w:before="0" w:after="150"/>
        <w:rPr/>
      </w:pPr>
      <w:r>
        <w:rPr>
          <w:sz w:val="22"/>
          <w:szCs w:val="22"/>
        </w:rPr>
        <w:t>Accès, exploitation humaine et gestion physique du matériel.</w:t>
      </w:r>
    </w:p>
    <w:p>
      <w:pPr>
        <w:pStyle w:val="ListParagraph"/>
        <w:numPr>
          <w:ilvl w:val="0"/>
          <w:numId w:val="2"/>
        </w:numPr>
        <w:spacing w:before="0" w:after="80"/>
        <w:rPr/>
      </w:pPr>
      <w:r>
        <w:rPr>
          <w:sz w:val="22"/>
          <w:szCs w:val="22"/>
        </w:rPr>
        <w:t>Sas d'entrée : contrôle d'accès badge, registre des entrées/sorties.</w:t>
      </w:r>
    </w:p>
    <w:p>
      <w:pPr>
        <w:pStyle w:val="ListParagraph"/>
        <w:numPr>
          <w:ilvl w:val="0"/>
          <w:numId w:val="2"/>
        </w:numPr>
        <w:spacing w:before="0" w:after="80"/>
        <w:rPr/>
      </w:pPr>
      <w:r>
        <w:rPr>
          <w:sz w:val="22"/>
          <w:szCs w:val="22"/>
        </w:rPr>
        <w:t>Poste NOC : supervision et exploitation quotidienne (lié au serveur de supervision).</w:t>
      </w:r>
    </w:p>
    <w:p>
      <w:pPr>
        <w:pStyle w:val="ListParagraph"/>
        <w:numPr>
          <w:ilvl w:val="0"/>
          <w:numId w:val="2"/>
        </w:numPr>
        <w:spacing w:before="0" w:after="80"/>
        <w:rPr/>
      </w:pPr>
      <w:r>
        <w:rPr>
          <w:sz w:val="22"/>
          <w:szCs w:val="22"/>
        </w:rPr>
        <w:t>Stock de pièces détachées : disques, câbles, alimentations de secours.</w:t>
      </w:r>
    </w:p>
    <w:p>
      <w:pPr>
        <w:pStyle w:val="ListParagraph"/>
        <w:numPr>
          <w:ilvl w:val="0"/>
          <w:numId w:val="2"/>
        </w:numPr>
        <w:spacing w:before="0" w:after="80"/>
        <w:rPr/>
      </w:pPr>
      <w:r>
        <w:rPr>
          <w:sz w:val="22"/>
          <w:szCs w:val="22"/>
        </w:rPr>
        <w:t>Zone de réception/déchargement et gestion du matériel en fin de vie (DEEE).</w:t>
      </w:r>
    </w:p>
    <w:p>
      <w:pPr>
        <w:pStyle w:val="Heading2"/>
        <w:spacing w:before="300" w:after="150"/>
        <w:rPr/>
      </w:pPr>
      <w:r>
        <w:rPr>
          <w:b/>
          <w:bCs/>
          <w:color w:val="2E75B6"/>
          <w:sz w:val="26"/>
          <w:szCs w:val="26"/>
        </w:rPr>
        <w:t>3.5 Schéma d'implantation</w:t>
      </w:r>
    </w:p>
    <w:p>
      <w:pPr>
        <w:pStyle w:val="Normal"/>
        <w:spacing w:before="0" w:after="150"/>
        <w:rPr/>
      </w:pPr>
      <w:r>
        <w:rPr>
          <w:sz w:val="22"/>
          <w:szCs w:val="22"/>
        </w:rPr>
        <w:t>Disposition optimale : la zone Informatique occupe le centre de la salle (la plus grande surface), entourée par la zone Technique (alimentation/climatisation) sans mélange physique avec les baies, et la zone Logistique en périphérie proche de l'entrée pour ne jamais traverser la zone IT sensible.</w:t>
      </w:r>
    </w:p>
    <w:p>
      <w:pPr>
        <w:pStyle w:val="Normal"/>
        <w:rPr/>
      </w:pPr>
      <w:r>
        <w:rPr/>
      </w:r>
      <w:r>
        <w:br w:type="page"/>
      </w:r>
    </w:p>
    <w:p>
      <w:pPr>
        <w:pStyle w:val="Heading1"/>
        <w:spacing w:before="0" w:after="200"/>
        <w:rPr/>
      </w:pPr>
      <w:r>
        <w:rPr>
          <w:b/>
          <w:bCs/>
          <w:color w:val="1F4E79"/>
          <w:sz w:val="32"/>
          <w:szCs w:val="32"/>
        </w:rPr>
        <w:t>4. Architecture réseau globale</w:t>
      </w:r>
    </w:p>
    <w:p>
      <w:pPr>
        <w:pStyle w:val="Normal"/>
        <w:spacing w:before="0" w:after="150"/>
        <w:rPr/>
      </w:pPr>
      <w:r>
        <w:rPr>
          <w:sz w:val="22"/>
          <w:szCs w:val="22"/>
        </w:rPr>
        <w:t>L'architecture repose sur un pare-feu central (pfSense) assurant le routage inter-VLAN et le filtrage, relié à un switch cœur (CORE-SW1) qui distribue vers trois switches secondaires : SW-SRV (serveurs), SW-SAN-BKP (stockage/sauvegarde) et SW-DMZ (services exposés).</w:t>
      </w:r>
    </w:p>
    <w:p>
      <w:pPr>
        <w:pStyle w:val="Heading2"/>
        <w:spacing w:before="300" w:after="150"/>
        <w:rPr>
          <w:b/>
          <w:bCs/>
          <w:color w:val="2E75B6"/>
          <w:sz w:val="26"/>
          <w:szCs w:val="26"/>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609715" cy="44062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09715" cy="4406265"/>
                    </a:xfrm>
                    <a:prstGeom prst="rect">
                      <a:avLst/>
                    </a:prstGeom>
                    <a:noFill/>
                  </pic:spPr>
                </pic:pic>
              </a:graphicData>
            </a:graphic>
          </wp:anchor>
        </w:drawing>
      </w:r>
      <w:r>
        <w:rPr>
          <w:b/>
          <w:bCs/>
          <w:color w:val="2E75B6"/>
          <w:sz w:val="26"/>
          <w:szCs w:val="26"/>
        </w:rPr>
        <w:t>4.1 Schéma logique</w:t>
      </w:r>
    </w:p>
    <w:p>
      <w:pPr>
        <w:pStyle w:val="Normal"/>
        <w:spacing w:before="0" w:after="150"/>
        <w:rPr/>
      </w:pPr>
      <w:r>
        <w:rPr>
          <w:i/>
          <w:iCs/>
          <w:sz w:val="22"/>
          <w:szCs w:val="22"/>
        </w:rPr>
        <w:t>INTERNET → pfSense (em0/em1) → CORE-SW1 → { SW-SRV | SW-SAN-BKP | SW-DMZ }</w:t>
      </w:r>
    </w:p>
    <w:p>
      <w:pPr>
        <w:pStyle w:val="Normal"/>
        <w:spacing w:before="0" w:after="150"/>
        <w:rPr/>
      </w:pPr>
      <w:r>
        <w:rPr>
          <w:sz w:val="22"/>
          <w:szCs w:val="22"/>
        </w:rPr>
        <w:t>SW-SRV dessert : Srv-DC (AD/DNS/DHCP/Fichiers/Messagerie), Srv-SQL, Srv-Supervision.</w:t>
      </w:r>
    </w:p>
    <w:p>
      <w:pPr>
        <w:pStyle w:val="Normal"/>
        <w:spacing w:before="0" w:after="150"/>
        <w:rPr/>
      </w:pPr>
      <w:r>
        <w:rPr>
          <w:sz w:val="22"/>
          <w:szCs w:val="22"/>
        </w:rPr>
        <w:t>Le bastion d'administration (Srv-Admin) est désormais rattaché au VLAN 10 (MGMT), isolé des serveurs de production qu'il administre — voir section 5.</w:t>
      </w:r>
    </w:p>
    <w:p>
      <w:pPr>
        <w:pStyle w:val="Normal"/>
        <w:spacing w:before="0" w:after="150"/>
        <w:rPr/>
      </w:pPr>
      <w:r>
        <w:rPr>
          <w:sz w:val="22"/>
          <w:szCs w:val="22"/>
        </w:rPr>
        <w:t>SW-SAN-BKP dessert : NAS/SAN (iSCSI) et serveur de Backup.</w:t>
      </w:r>
    </w:p>
    <w:p>
      <w:pPr>
        <w:pStyle w:val="Normal"/>
        <w:spacing w:before="0" w:after="150"/>
        <w:rPr/>
      </w:pPr>
      <w:r>
        <w:rPr>
          <w:sz w:val="22"/>
          <w:szCs w:val="22"/>
        </w:rPr>
        <w:t>SW-DMZ dessert : Srv-Web-DMZ (portail public).</w:t>
      </w:r>
    </w:p>
    <w:p>
      <w:pPr>
        <w:pStyle w:val="Heading2"/>
        <w:spacing w:before="300" w:after="150"/>
        <w:rPr/>
      </w:pPr>
      <w:r>
        <w:rPr>
          <w:b/>
          <w:bCs/>
          <w:color w:val="2E75B6"/>
          <w:sz w:val="26"/>
          <w:szCs w:val="26"/>
        </w:rPr>
        <w:t>4.2 Rôle de chaque équipement</w:t>
      </w:r>
    </w:p>
    <w:tbl>
      <w:tblPr>
        <w:tblW w:w="9800" w:type="dxa"/>
        <w:jc w:val="start"/>
        <w:tblInd w:w="0" w:type="dxa"/>
        <w:tblLayout w:type="fixed"/>
        <w:tblCellMar>
          <w:top w:w="0" w:type="dxa"/>
          <w:start w:w="108" w:type="dxa"/>
          <w:bottom w:w="0" w:type="dxa"/>
          <w:end w:w="108" w:type="dxa"/>
        </w:tblCellMar>
      </w:tblPr>
      <w:tblGrid>
        <w:gridCol w:w="2998"/>
        <w:gridCol w:w="680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Équipement</w:t>
            </w:r>
          </w:p>
        </w:tc>
        <w:tc>
          <w:tcPr>
            <w:tcW w:w="68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Rôle</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pfSense</w:t>
            </w:r>
          </w:p>
        </w:tc>
        <w:tc>
          <w:tcPr>
            <w:tcW w:w="6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Pare-feu, routage inter-VLAN, NAT, VPN d'administration</w:t>
            </w:r>
          </w:p>
        </w:tc>
      </w:tr>
      <w:tr>
        <w:trPr/>
        <w:tc>
          <w:tcPr>
            <w:tcW w:w="2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CORE-SW1</w:t>
            </w:r>
          </w:p>
        </w:tc>
        <w:tc>
          <w:tcPr>
            <w:tcW w:w="6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Switch cœur, agrégation des trunks 802.1Q</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SW-SRV</w:t>
            </w:r>
          </w:p>
        </w:tc>
        <w:tc>
          <w:tcPr>
            <w:tcW w:w="6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Switch d'accès serveurs de production (VLAN 20)</w:t>
            </w:r>
          </w:p>
        </w:tc>
      </w:tr>
      <w:tr>
        <w:trPr/>
        <w:tc>
          <w:tcPr>
            <w:tcW w:w="2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SW-SAN-BKP</w:t>
            </w:r>
          </w:p>
        </w:tc>
        <w:tc>
          <w:tcPr>
            <w:tcW w:w="6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Switch dédié stockage et sauvegarde (VLAN 30/40)</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SW-DMZ</w:t>
            </w:r>
          </w:p>
        </w:tc>
        <w:tc>
          <w:tcPr>
            <w:tcW w:w="6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Switch dédié services exposés publiquement (VLAN 60)</w:t>
            </w:r>
          </w:p>
        </w:tc>
      </w:tr>
    </w:tbl>
    <w:p>
      <w:pPr>
        <w:pStyle w:val="Normal"/>
        <w:rPr/>
      </w:pPr>
      <w:r>
        <w:rPr/>
      </w:r>
      <w:r>
        <w:br w:type="page"/>
      </w:r>
    </w:p>
    <w:p>
      <w:pPr>
        <w:pStyle w:val="Heading1"/>
        <w:spacing w:before="0" w:after="200"/>
        <w:rPr/>
      </w:pPr>
      <w:r>
        <w:rPr>
          <w:b/>
          <w:bCs/>
          <w:color w:val="1F4E79"/>
          <w:sz w:val="32"/>
          <w:szCs w:val="32"/>
        </w:rPr>
        <w:t>5. Plan d'adressage IP et VLANs</w:t>
      </w:r>
    </w:p>
    <w:p>
      <w:pPr>
        <w:pStyle w:val="Heading2"/>
        <w:spacing w:before="300" w:after="150"/>
        <w:rPr/>
      </w:pPr>
      <w:r>
        <w:rPr>
          <w:b/>
          <w:bCs/>
          <w:color w:val="2E75B6"/>
          <w:sz w:val="26"/>
          <w:szCs w:val="26"/>
        </w:rPr>
        <w:t>5.1 Table des VLANs</w:t>
      </w:r>
    </w:p>
    <w:tbl>
      <w:tblPr>
        <w:tblW w:w="10600" w:type="dxa"/>
        <w:jc w:val="start"/>
        <w:tblInd w:w="0" w:type="dxa"/>
        <w:tblLayout w:type="fixed"/>
        <w:tblCellMar>
          <w:top w:w="0" w:type="dxa"/>
          <w:start w:w="108" w:type="dxa"/>
          <w:bottom w:w="0" w:type="dxa"/>
          <w:end w:w="108" w:type="dxa"/>
        </w:tblCellMar>
      </w:tblPr>
      <w:tblGrid>
        <w:gridCol w:w="1198"/>
        <w:gridCol w:w="2202"/>
        <w:gridCol w:w="3198"/>
        <w:gridCol w:w="2202"/>
        <w:gridCol w:w="1800"/>
      </w:tblGrid>
      <w:tr>
        <w:trPr>
          <w:tblHeader w:val="true"/>
        </w:trPr>
        <w:tc>
          <w:tcPr>
            <w:tcW w:w="11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VLAN</w:t>
            </w:r>
          </w:p>
        </w:tc>
        <w:tc>
          <w:tcPr>
            <w:tcW w:w="22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Nom</w:t>
            </w:r>
          </w:p>
        </w:tc>
        <w:tc>
          <w:tcPr>
            <w:tcW w:w="31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Rôle</w:t>
            </w:r>
          </w:p>
        </w:tc>
        <w:tc>
          <w:tcPr>
            <w:tcW w:w="22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Subnet</w:t>
            </w:r>
          </w:p>
        </w:tc>
        <w:tc>
          <w:tcPr>
            <w:tcW w:w="18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Passerelle</w:t>
            </w:r>
          </w:p>
        </w:tc>
      </w:tr>
      <w:tr>
        <w:trPr/>
        <w:tc>
          <w:tcPr>
            <w:tcW w:w="1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MGMT</w:t>
            </w:r>
          </w:p>
        </w:tc>
        <w:tc>
          <w:tcPr>
            <w:tcW w:w="3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Administration équipements réseau</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10.1.10.0/24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10.1.10.1</w:t>
            </w:r>
          </w:p>
        </w:tc>
      </w:tr>
      <w:tr>
        <w:trPr/>
        <w:tc>
          <w:tcPr>
            <w:tcW w:w="1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20</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SRV_PROD</w:t>
            </w:r>
          </w:p>
        </w:tc>
        <w:tc>
          <w:tcPr>
            <w:tcW w:w="3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Serveurs de production</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10.1.20.0/24</w:t>
            </w:r>
          </w:p>
        </w:tc>
        <w:tc>
          <w:tcPr>
            <w:tcW w:w="1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10.1.20.1</w:t>
            </w:r>
          </w:p>
        </w:tc>
      </w:tr>
      <w:tr>
        <w:trPr/>
        <w:tc>
          <w:tcPr>
            <w:tcW w:w="1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30</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SAN</w:t>
            </w:r>
          </w:p>
        </w:tc>
        <w:tc>
          <w:tcPr>
            <w:tcW w:w="3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Stockage iSCSI</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10.1.30.0/24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10.1.30.1</w:t>
            </w:r>
          </w:p>
        </w:tc>
      </w:tr>
      <w:tr>
        <w:trPr/>
        <w:tc>
          <w:tcPr>
            <w:tcW w:w="1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40</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BACKUP</w:t>
            </w:r>
          </w:p>
        </w:tc>
        <w:tc>
          <w:tcPr>
            <w:tcW w:w="3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Sauvegarde</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10.1.40.0/24</w:t>
            </w:r>
          </w:p>
        </w:tc>
        <w:tc>
          <w:tcPr>
            <w:tcW w:w="1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10.1.40.1</w:t>
            </w:r>
          </w:p>
        </w:tc>
      </w:tr>
      <w:tr>
        <w:trPr/>
        <w:tc>
          <w:tcPr>
            <w:tcW w:w="1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50</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SUPERVISION</w:t>
            </w:r>
          </w:p>
        </w:tc>
        <w:tc>
          <w:tcPr>
            <w:tcW w:w="3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NOC / monitoring</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10.1.50.0/24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10.1.50.1</w:t>
            </w:r>
          </w:p>
        </w:tc>
      </w:tr>
      <w:tr>
        <w:trPr/>
        <w:tc>
          <w:tcPr>
            <w:tcW w:w="1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60</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DMZ</w:t>
            </w:r>
          </w:p>
        </w:tc>
        <w:tc>
          <w:tcPr>
            <w:tcW w:w="31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Services exposés</w:t>
            </w:r>
          </w:p>
        </w:tc>
        <w:tc>
          <w:tcPr>
            <w:tcW w:w="22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10.1.60.0/24</w:t>
            </w:r>
          </w:p>
        </w:tc>
        <w:tc>
          <w:tcPr>
            <w:tcW w:w="18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10.1.60.1</w:t>
            </w:r>
          </w:p>
        </w:tc>
      </w:tr>
      <w:tr>
        <w:trPr/>
        <w:tc>
          <w:tcPr>
            <w:tcW w:w="1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70</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TECHNIQUE</w:t>
            </w:r>
          </w:p>
        </w:tc>
        <w:tc>
          <w:tcPr>
            <w:tcW w:w="31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Capteurs environnementaux (optionnel)</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10.1.70.0/24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10.1.70.1</w:t>
            </w:r>
          </w:p>
        </w:tc>
      </w:tr>
    </w:tbl>
    <w:p>
      <w:pPr>
        <w:pStyle w:val="Normal"/>
        <w:spacing w:before="0" w:after="150"/>
        <w:rPr/>
      </w:pPr>
      <w:r>
        <w:rPr/>
      </w:r>
    </w:p>
    <w:p>
      <w:pPr>
        <w:pStyle w:val="Normal"/>
        <w:spacing w:before="0" w:after="150"/>
        <w:rPr/>
      </w:pPr>
      <w:r>
        <w:rPr>
          <w:i/>
          <w:iCs/>
          <w:sz w:val="22"/>
          <w:szCs w:val="22"/>
        </w:rPr>
        <w:t>Correction d'architecture : le serveur bastion d'administration (Server-Admin) est placé dans le VLAN 10 (MGMT), isolé des serveurs de production qu'il administre — un attaquant compromettant un serveur du VLAN 20 ne doit jamais se retrouver dans le même VLAN que le poste d'administration. Par ailleurs, la console de monitoring réseau (VLAN 10) est distincte du NOC Workstation (VLAN 50) : la première est l'interface de management des équipements réseau, la seconde est le poste physique du technicien qui consulte le dashboard de supervision — ce ne sont pas des équipements redondants.</w:t>
      </w:r>
    </w:p>
    <w:p>
      <w:pPr>
        <w:pStyle w:val="Heading2"/>
        <w:spacing w:before="300" w:after="150"/>
        <w:rPr/>
      </w:pPr>
      <w:r>
        <w:rPr>
          <w:b/>
          <w:bCs/>
          <w:color w:val="2E75B6"/>
          <w:sz w:val="26"/>
          <w:szCs w:val="26"/>
        </w:rPr>
        <w:t>5.2 Attribution détaillée des adresses</w:t>
      </w:r>
    </w:p>
    <w:tbl>
      <w:tblPr>
        <w:tblW w:w="9400" w:type="dxa"/>
        <w:jc w:val="start"/>
        <w:tblInd w:w="0" w:type="dxa"/>
        <w:tblLayout w:type="fixed"/>
        <w:tblCellMar>
          <w:top w:w="0" w:type="dxa"/>
          <w:start w:w="108" w:type="dxa"/>
          <w:bottom w:w="0" w:type="dxa"/>
          <w:end w:w="108" w:type="dxa"/>
        </w:tblCellMar>
      </w:tblPr>
      <w:tblGrid>
        <w:gridCol w:w="2600"/>
        <w:gridCol w:w="1398"/>
        <w:gridCol w:w="2600"/>
        <w:gridCol w:w="2802"/>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Machine</w:t>
            </w:r>
          </w:p>
        </w:tc>
        <w:tc>
          <w:tcPr>
            <w:tcW w:w="13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VLAN</w:t>
            </w:r>
          </w:p>
        </w:tc>
        <w:tc>
          <w:tcPr>
            <w:tcW w:w="26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IP</w:t>
            </w:r>
          </w:p>
        </w:tc>
        <w:tc>
          <w:tcPr>
            <w:tcW w:w="28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Rôle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pfSense (WAN)</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DHCP (NAT GNS3)</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Accès Internet</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pfSense (sous-interfaces)</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Toutes</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 de chaque subnet</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Passerelle inter-VLAN</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CORE-SW1 (mgmt)</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10.1.10.2</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Admin switch cœur</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SW-SRV (mgmt)</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10.1.10.3</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Admin switch serveurs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SW-SAN-BKP (mgmt)</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10.1.10.4</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Admin switch stockage</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Server-Admin (Bastion)</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10.1.10.14</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Bastion d'administration — rebond SSH/RDP vers tous les VLANs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Server1-DC</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20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10.1.20.11</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AD / DNS / DHCP / Fichiers / Mail</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Server-SQL</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20 + 30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10.1.20.12 / 10.1.30.12</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Base de données + accès iSCSI</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Server-Supervision</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20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10.1.20.13</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Moteur Zabbix / Nagios (collecte)</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NAS/SAN (TrueNAS)</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30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10.1.30.10</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Cible iSCSI</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Server-Backup</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40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10.1.40.10</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Sauvegarde</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Server-Web-DMZ</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60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10.1.60.10</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Portail institutionnel</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NOC Workstation</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50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10.1.50.10</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Poste technicien — consulte Server-Supervision</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Broker MQTT</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70</w:t>
            </w:r>
          </w:p>
        </w:tc>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10.1.70.5</w:t>
            </w:r>
          </w:p>
        </w:tc>
        <w:tc>
          <w:tcPr>
            <w:tcW w:w="28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Collecte des capteurs (publish/subscribe)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Capteurs (optionnel)</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70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10.1.70.10+</w:t>
            </w:r>
          </w:p>
        </w:tc>
        <w:tc>
          <w:tcPr>
            <w:tcW w:w="28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Température / humidité / ouverture baie</w:t>
            </w:r>
          </w:p>
        </w:tc>
      </w:tr>
    </w:tbl>
    <w:p>
      <w:pPr>
        <w:pStyle w:val="Normal"/>
        <w:rPr/>
      </w:pPr>
      <w:r>
        <w:rPr/>
      </w:r>
      <w:r>
        <w:br w:type="page"/>
      </w:r>
    </w:p>
    <w:p>
      <w:pPr>
        <w:pStyle w:val="Heading1"/>
        <w:spacing w:before="0" w:after="200"/>
        <w:rPr/>
      </w:pPr>
      <w:r>
        <w:rPr>
          <w:b/>
          <w:bCs/>
          <w:color w:val="1F4E79"/>
          <w:sz w:val="32"/>
          <w:szCs w:val="32"/>
        </w:rPr>
        <w:t>6. Matrice de segmentation et règles de sécurité</w:t>
      </w:r>
    </w:p>
    <w:p>
      <w:pPr>
        <w:pStyle w:val="Normal"/>
        <w:spacing w:before="0" w:after="150"/>
        <w:rPr/>
      </w:pPr>
      <w:r>
        <w:rPr>
          <w:sz w:val="22"/>
          <w:szCs w:val="22"/>
        </w:rPr>
        <w:t>Le pare-feu pfSense centralise l'ensemble des règles de filtrage inter-VLAN. Le principe appliqué est le refus par défaut (deny all) avec autorisations explicites.</w:t>
      </w:r>
    </w:p>
    <w:tbl>
      <w:tblPr>
        <w:tblW w:w="9000" w:type="dxa"/>
        <w:jc w:val="start"/>
        <w:tblInd w:w="0" w:type="dxa"/>
        <w:tblLayout w:type="fixed"/>
        <w:tblCellMar>
          <w:top w:w="0" w:type="dxa"/>
          <w:start w:w="108" w:type="dxa"/>
          <w:bottom w:w="0" w:type="dxa"/>
          <w:end w:w="108" w:type="dxa"/>
        </w:tblCellMar>
      </w:tblPr>
      <w:tblGrid>
        <w:gridCol w:w="2600"/>
        <w:gridCol w:w="1398"/>
        <w:gridCol w:w="2401"/>
        <w:gridCol w:w="2601"/>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Source → Destination</w:t>
            </w:r>
          </w:p>
        </w:tc>
        <w:tc>
          <w:tcPr>
            <w:tcW w:w="13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Autorisé</w:t>
            </w:r>
          </w:p>
        </w:tc>
        <w:tc>
          <w:tcPr>
            <w:tcW w:w="2401"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Port / Protocole</w:t>
            </w:r>
          </w:p>
        </w:tc>
        <w:tc>
          <w:tcPr>
            <w:tcW w:w="2601"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Justification</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SRV_PROD → SAN</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TCP 3260 (iSCSI)</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Accès stockage des serveurs</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SRV_PROD → BACKUP</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Selon outil de backup</w:t>
            </w:r>
          </w:p>
        </w:tc>
        <w:tc>
          <w:tcPr>
            <w:tcW w:w="26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Sauvegarde planifiée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SRV_PROD → Internet</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Oui (limité)</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HTTP/HTTPS</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Mises à jour système</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DMZ → SRV_PROD</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Oui (très restreint)</w:t>
            </w:r>
          </w:p>
        </w:tc>
        <w:tc>
          <w:tcPr>
            <w:tcW w:w="24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TCP 1433 (SQL) si besoin</w:t>
            </w:r>
          </w:p>
        </w:tc>
        <w:tc>
          <w:tcPr>
            <w:tcW w:w="26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Interrogation BDD par le portail</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Internet → DMZ</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TCP 80 / 443</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Accès public au site web</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Internet → SRV_PROD</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Non</w:t>
            </w:r>
          </w:p>
        </w:tc>
        <w:tc>
          <w:tcPr>
            <w:tcW w:w="24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w:t>
            </w:r>
          </w:p>
        </w:tc>
        <w:tc>
          <w:tcPr>
            <w:tcW w:w="26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Aucun accès direct aux serveurs internes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MGMT (Bastion) → tous équipements</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SSH / RDP / HTTPS</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Administration centralisée depuis le bastion uniquement</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SRV_PROD → MGMT</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Non</w:t>
            </w:r>
          </w:p>
        </w:tc>
        <w:tc>
          <w:tcPr>
            <w:tcW w:w="24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w:t>
            </w:r>
          </w:p>
        </w:tc>
        <w:tc>
          <w:tcPr>
            <w:tcW w:w="26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Aucune connexion initiée depuis la production vers le bastion</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SUPERVISION (NOC) → Server-Supervision (VLAN 20)</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HTTPS / agents</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Consultation du dashboard de supervision</w:t>
            </w:r>
          </w:p>
        </w:tc>
      </w:tr>
      <w:tr>
        <w:trPr/>
        <w:tc>
          <w:tcPr>
            <w:tcW w:w="26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SUPERVISION (NOC) → Broker MQTT (VLAN 70)</w:t>
            </w:r>
          </w:p>
        </w:tc>
        <w:tc>
          <w:tcPr>
            <w:tcW w:w="13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Oui</w:t>
            </w:r>
          </w:p>
        </w:tc>
        <w:tc>
          <w:tcPr>
            <w:tcW w:w="24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TCP 1883/8883</w:t>
            </w:r>
          </w:p>
        </w:tc>
        <w:tc>
          <w:tcPr>
            <w:tcW w:w="2601"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Visualisation des métriques capteurs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SAN → autres VLANs</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Non (sauf réponses)</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Le SAN n'initie jamais de connexion sortante</w:t>
            </w:r>
          </w:p>
        </w:tc>
      </w:tr>
    </w:tbl>
    <w:p>
      <w:pPr>
        <w:pStyle w:val="Normal"/>
        <w:spacing w:before="0" w:after="150"/>
        <w:rPr/>
      </w:pPr>
      <w:r>
        <w:rPr/>
      </w:r>
    </w:p>
    <w:p>
      <w:pPr>
        <w:pStyle w:val="Normal"/>
        <w:spacing w:before="0" w:after="150"/>
        <w:rPr/>
      </w:pPr>
      <w:r>
        <w:rPr>
          <w:i/>
          <w:iCs/>
          <w:sz w:val="22"/>
          <w:szCs w:val="22"/>
        </w:rPr>
        <w:t>Remarque technique : en environnement de production réel, le VLAN SAN (30) devrait idéalement être non routé (isolation niveau 2 uniquement, sans passerelle). Il est routé ici uniquement pour simplifier les tests pédagogiques dans GNS3.</w:t>
      </w:r>
    </w:p>
    <w:p>
      <w:pPr>
        <w:pStyle w:val="Normal"/>
        <w:rPr/>
      </w:pPr>
      <w:r>
        <w:rPr/>
      </w:r>
      <w:r>
        <w:br w:type="page"/>
      </w:r>
    </w:p>
    <w:p>
      <w:pPr>
        <w:pStyle w:val="Heading1"/>
        <w:spacing w:before="0" w:after="200"/>
        <w:rPr/>
      </w:pPr>
      <w:r>
        <w:rPr>
          <w:b/>
          <w:bCs/>
          <w:color w:val="1F4E79"/>
          <w:sz w:val="32"/>
          <w:szCs w:val="32"/>
        </w:rPr>
        <w:t>7. Liste des équipements à simuler</w:t>
      </w:r>
    </w:p>
    <w:p>
      <w:pPr>
        <w:pStyle w:val="Heading2"/>
        <w:spacing w:before="300" w:after="150"/>
        <w:rPr/>
      </w:pPr>
      <w:r>
        <w:rPr>
          <w:b/>
          <w:bCs/>
          <w:color w:val="2E75B6"/>
          <w:sz w:val="26"/>
          <w:szCs w:val="26"/>
        </w:rPr>
        <w:t>7.1 Zone Informatique — Réseau</w:t>
      </w:r>
    </w:p>
    <w:p>
      <w:pPr>
        <w:pStyle w:val="ListParagraph"/>
        <w:numPr>
          <w:ilvl w:val="0"/>
          <w:numId w:val="2"/>
        </w:numPr>
        <w:spacing w:before="0" w:after="80"/>
        <w:rPr/>
      </w:pPr>
      <w:r>
        <w:rPr>
          <w:sz w:val="22"/>
          <w:szCs w:val="22"/>
        </w:rPr>
        <w:t>1 pare-feu/routeur pfSense (interfaces em0/em1 + sous-interfaces VLAN).</w:t>
      </w:r>
    </w:p>
    <w:p>
      <w:pPr>
        <w:pStyle w:val="ListParagraph"/>
        <w:numPr>
          <w:ilvl w:val="0"/>
          <w:numId w:val="2"/>
        </w:numPr>
        <w:spacing w:before="0" w:after="80"/>
        <w:rPr/>
      </w:pPr>
      <w:r>
        <w:rPr>
          <w:sz w:val="22"/>
          <w:szCs w:val="22"/>
        </w:rPr>
        <w:t>1 switch cœur (CORE-SW1).</w:t>
      </w:r>
    </w:p>
    <w:p>
      <w:pPr>
        <w:pStyle w:val="ListParagraph"/>
        <w:numPr>
          <w:ilvl w:val="0"/>
          <w:numId w:val="2"/>
        </w:numPr>
        <w:spacing w:before="0" w:after="80"/>
        <w:rPr/>
      </w:pPr>
      <w:r>
        <w:rPr>
          <w:sz w:val="22"/>
          <w:szCs w:val="22"/>
        </w:rPr>
        <w:t>3 switches d'accès (SW-SRV, SW-SAN-BKP, SW-DMZ).</w:t>
      </w:r>
    </w:p>
    <w:p>
      <w:pPr>
        <w:pStyle w:val="Heading2"/>
        <w:spacing w:before="300" w:after="150"/>
        <w:rPr/>
      </w:pPr>
      <w:r>
        <w:rPr>
          <w:b/>
          <w:bCs/>
          <w:color w:val="2E75B6"/>
          <w:sz w:val="26"/>
          <w:szCs w:val="26"/>
        </w:rPr>
        <w:t>7.2 Zone Informatique — Serveurs et virtualisation</w:t>
      </w:r>
    </w:p>
    <w:p>
      <w:pPr>
        <w:pStyle w:val="ListParagraph"/>
        <w:numPr>
          <w:ilvl w:val="0"/>
          <w:numId w:val="2"/>
        </w:numPr>
        <w:spacing w:before="0" w:after="80"/>
        <w:rPr/>
      </w:pPr>
      <w:r>
        <w:rPr>
          <w:sz w:val="22"/>
          <w:szCs w:val="22"/>
        </w:rPr>
        <w:t>Server1-DC : Active Directory, DNS, DHCP, serveur de fichiers, messagerie.</w:t>
      </w:r>
    </w:p>
    <w:p>
      <w:pPr>
        <w:pStyle w:val="ListParagraph"/>
        <w:numPr>
          <w:ilvl w:val="0"/>
          <w:numId w:val="2"/>
        </w:numPr>
        <w:spacing w:before="0" w:after="80"/>
        <w:rPr/>
      </w:pPr>
      <w:r>
        <w:rPr>
          <w:sz w:val="22"/>
          <w:szCs w:val="22"/>
        </w:rPr>
        <w:t>Server-SQL : base de données (moteur SQL).</w:t>
      </w:r>
    </w:p>
    <w:p>
      <w:pPr>
        <w:pStyle w:val="ListParagraph"/>
        <w:numPr>
          <w:ilvl w:val="0"/>
          <w:numId w:val="2"/>
        </w:numPr>
        <w:spacing w:before="0" w:after="80"/>
        <w:rPr/>
      </w:pPr>
      <w:r>
        <w:rPr>
          <w:sz w:val="22"/>
          <w:szCs w:val="22"/>
        </w:rPr>
        <w:t>Server-Supervision : moteur Zabbix ou Nagios (collecte des métriques).</w:t>
      </w:r>
    </w:p>
    <w:p>
      <w:pPr>
        <w:pStyle w:val="ListParagraph"/>
        <w:numPr>
          <w:ilvl w:val="0"/>
          <w:numId w:val="2"/>
        </w:numPr>
        <w:spacing w:before="0" w:after="80"/>
        <w:rPr/>
      </w:pPr>
      <w:r>
        <w:rPr>
          <w:sz w:val="22"/>
          <w:szCs w:val="22"/>
        </w:rPr>
        <w:t>Server-Web-DMZ : portail web institutionnel.</w:t>
      </w:r>
    </w:p>
    <w:p>
      <w:pPr>
        <w:pStyle w:val="Heading2"/>
        <w:spacing w:before="300" w:after="150"/>
        <w:rPr/>
      </w:pPr>
      <w:r>
        <w:rPr>
          <w:b/>
          <w:bCs/>
          <w:color w:val="2E75B6"/>
          <w:sz w:val="26"/>
          <w:szCs w:val="26"/>
        </w:rPr>
        <w:t>7.2 bis Zone Management (VLAN 10, isolée de la production)</w:t>
      </w:r>
    </w:p>
    <w:p>
      <w:pPr>
        <w:pStyle w:val="ListParagraph"/>
        <w:numPr>
          <w:ilvl w:val="0"/>
          <w:numId w:val="2"/>
        </w:numPr>
        <w:spacing w:before="0" w:after="80"/>
        <w:rPr/>
      </w:pPr>
      <w:r>
        <w:rPr>
          <w:sz w:val="22"/>
          <w:szCs w:val="22"/>
        </w:rPr>
        <w:t>Server-Admin : bastion d'administration (rebond SSH/RDP vers tous les VLANs).</w:t>
      </w:r>
    </w:p>
    <w:p>
      <w:pPr>
        <w:pStyle w:val="ListParagraph"/>
        <w:numPr>
          <w:ilvl w:val="0"/>
          <w:numId w:val="2"/>
        </w:numPr>
        <w:spacing w:before="0" w:after="80"/>
        <w:rPr/>
      </w:pPr>
      <w:r>
        <w:rPr>
          <w:sz w:val="22"/>
          <w:szCs w:val="22"/>
        </w:rPr>
        <w:t>Interfaces de management des switches et de pfSense.</w:t>
      </w:r>
    </w:p>
    <w:p>
      <w:pPr>
        <w:pStyle w:val="Heading2"/>
        <w:spacing w:before="300" w:after="150"/>
        <w:rPr/>
      </w:pPr>
      <w:r>
        <w:rPr>
          <w:b/>
          <w:bCs/>
          <w:color w:val="2E75B6"/>
          <w:sz w:val="26"/>
          <w:szCs w:val="26"/>
        </w:rPr>
        <w:t>7.3 Zone Informatique — Stockage</w:t>
      </w:r>
    </w:p>
    <w:p>
      <w:pPr>
        <w:pStyle w:val="ListParagraph"/>
        <w:numPr>
          <w:ilvl w:val="0"/>
          <w:numId w:val="2"/>
        </w:numPr>
        <w:spacing w:before="0" w:after="80"/>
        <w:rPr/>
      </w:pPr>
      <w:r>
        <w:rPr>
          <w:sz w:val="22"/>
          <w:szCs w:val="22"/>
        </w:rPr>
        <w:t>NAS/SAN simulé avec TrueNAS/FreeNAS, cible iSCSI.</w:t>
      </w:r>
    </w:p>
    <w:p>
      <w:pPr>
        <w:pStyle w:val="ListParagraph"/>
        <w:numPr>
          <w:ilvl w:val="0"/>
          <w:numId w:val="2"/>
        </w:numPr>
        <w:spacing w:before="0" w:after="80"/>
        <w:rPr/>
      </w:pPr>
      <w:r>
        <w:rPr>
          <w:sz w:val="22"/>
          <w:szCs w:val="22"/>
        </w:rPr>
        <w:t>Server-Backup : sauvegarde planifiée (règle 3-2-1 à respecter).</w:t>
      </w:r>
    </w:p>
    <w:p>
      <w:pPr>
        <w:pStyle w:val="Heading2"/>
        <w:spacing w:before="300" w:after="150"/>
        <w:rPr/>
      </w:pPr>
      <w:r>
        <w:rPr>
          <w:b/>
          <w:bCs/>
          <w:color w:val="2E75B6"/>
          <w:sz w:val="26"/>
          <w:szCs w:val="26"/>
        </w:rPr>
        <w:t>7.4 Postes de test</w:t>
      </w:r>
    </w:p>
    <w:p>
      <w:pPr>
        <w:pStyle w:val="ListParagraph"/>
        <w:numPr>
          <w:ilvl w:val="0"/>
          <w:numId w:val="2"/>
        </w:numPr>
        <w:spacing w:before="0" w:after="80"/>
        <w:rPr/>
      </w:pPr>
      <w:r>
        <w:rPr>
          <w:sz w:val="22"/>
          <w:szCs w:val="22"/>
        </w:rPr>
        <w:t>1 PC administrateur / bastion (VLAN 10 MGMT).</w:t>
      </w:r>
    </w:p>
    <w:p>
      <w:pPr>
        <w:pStyle w:val="ListParagraph"/>
        <w:numPr>
          <w:ilvl w:val="0"/>
          <w:numId w:val="2"/>
        </w:numPr>
        <w:spacing w:before="0" w:after="80"/>
        <w:rPr/>
      </w:pPr>
      <w:r>
        <w:rPr>
          <w:sz w:val="22"/>
          <w:szCs w:val="22"/>
        </w:rPr>
        <w:t>1 PC utilisateur/client (VLAN 20 production).</w:t>
      </w:r>
    </w:p>
    <w:p>
      <w:pPr>
        <w:pStyle w:val="ListParagraph"/>
        <w:numPr>
          <w:ilvl w:val="0"/>
          <w:numId w:val="2"/>
        </w:numPr>
        <w:spacing w:before="0" w:after="80"/>
        <w:rPr/>
      </w:pPr>
      <w:r>
        <w:rPr>
          <w:sz w:val="22"/>
          <w:szCs w:val="22"/>
        </w:rPr>
        <w:t>1 poste NOC Workstation (VLAN 50 supervision).</w:t>
      </w:r>
    </w:p>
    <w:p>
      <w:pPr>
        <w:pStyle w:val="ListParagraph"/>
        <w:numPr>
          <w:ilvl w:val="0"/>
          <w:numId w:val="2"/>
        </w:numPr>
        <w:spacing w:before="0" w:after="80"/>
        <w:rPr/>
      </w:pPr>
      <w:r>
        <w:rPr>
          <w:sz w:val="22"/>
          <w:szCs w:val="22"/>
        </w:rPr>
        <w:t>1 broker MQTT + capteurs simulés (VLAN 70 technique, optionnel).</w:t>
      </w:r>
    </w:p>
    <w:p>
      <w:pPr>
        <w:pStyle w:val="Heading2"/>
        <w:spacing w:before="300" w:after="150"/>
        <w:rPr/>
      </w:pPr>
      <w:r>
        <w:rPr>
          <w:b/>
          <w:bCs/>
          <w:color w:val="2E75B6"/>
          <w:sz w:val="26"/>
          <w:szCs w:val="26"/>
        </w:rPr>
        <w:t>7.5 Zone Technique (documentée, non simulée réseau)</w:t>
      </w:r>
    </w:p>
    <w:p>
      <w:pPr>
        <w:pStyle w:val="ListParagraph"/>
        <w:numPr>
          <w:ilvl w:val="0"/>
          <w:numId w:val="2"/>
        </w:numPr>
        <w:spacing w:before="0" w:after="80"/>
        <w:rPr/>
      </w:pPr>
      <w:r>
        <w:rPr>
          <w:sz w:val="22"/>
          <w:szCs w:val="22"/>
        </w:rPr>
        <w:t>Tableau électrique, onduleurs (UPS) redondants N+1, groupe électrogène.</w:t>
      </w:r>
    </w:p>
    <w:p>
      <w:pPr>
        <w:pStyle w:val="ListParagraph"/>
        <w:numPr>
          <w:ilvl w:val="0"/>
          <w:numId w:val="2"/>
        </w:numPr>
        <w:spacing w:before="0" w:after="80"/>
        <w:rPr/>
      </w:pPr>
      <w:r>
        <w:rPr>
          <w:sz w:val="22"/>
          <w:szCs w:val="22"/>
        </w:rPr>
        <w:t>Unités de climatisation CRAC redondantes.</w:t>
      </w:r>
    </w:p>
    <w:p>
      <w:pPr>
        <w:pStyle w:val="ListParagraph"/>
        <w:numPr>
          <w:ilvl w:val="0"/>
          <w:numId w:val="2"/>
        </w:numPr>
        <w:spacing w:before="0" w:after="80"/>
        <w:rPr/>
      </w:pPr>
      <w:r>
        <w:rPr>
          <w:sz w:val="22"/>
          <w:szCs w:val="22"/>
        </w:rPr>
        <w:t>Détection/extinction incendie automatique.</w:t>
      </w:r>
    </w:p>
    <w:p>
      <w:pPr>
        <w:pStyle w:val="ListParagraph"/>
        <w:numPr>
          <w:ilvl w:val="0"/>
          <w:numId w:val="2"/>
        </w:numPr>
        <w:spacing w:before="0" w:after="80"/>
        <w:rPr/>
      </w:pPr>
      <w:r>
        <w:rPr>
          <w:sz w:val="22"/>
          <w:szCs w:val="22"/>
        </w:rPr>
        <w:t>Capteurs environnementaux (simulation IoT optionnelle, VLAN 70).</w:t>
      </w:r>
    </w:p>
    <w:p>
      <w:pPr>
        <w:pStyle w:val="Heading2"/>
        <w:spacing w:before="300" w:after="150"/>
        <w:rPr/>
      </w:pPr>
      <w:r>
        <w:rPr>
          <w:b/>
          <w:bCs/>
          <w:color w:val="2E75B6"/>
          <w:sz w:val="26"/>
          <w:szCs w:val="26"/>
        </w:rPr>
        <w:t>7.6 Zone Logistique (documentée)</w:t>
      </w:r>
    </w:p>
    <w:p>
      <w:pPr>
        <w:pStyle w:val="ListParagraph"/>
        <w:numPr>
          <w:ilvl w:val="0"/>
          <w:numId w:val="2"/>
        </w:numPr>
        <w:spacing w:before="0" w:after="80"/>
        <w:rPr/>
      </w:pPr>
      <w:r>
        <w:rPr>
          <w:sz w:val="22"/>
          <w:szCs w:val="22"/>
        </w:rPr>
        <w:t>Contrôle d'accès par badge, vidéosurveillance.</w:t>
      </w:r>
    </w:p>
    <w:p>
      <w:pPr>
        <w:pStyle w:val="ListParagraph"/>
        <w:numPr>
          <w:ilvl w:val="0"/>
          <w:numId w:val="2"/>
        </w:numPr>
        <w:spacing w:before="0" w:after="80"/>
        <w:rPr/>
      </w:pPr>
      <w:r>
        <w:rPr>
          <w:sz w:val="22"/>
          <w:szCs w:val="22"/>
        </w:rPr>
        <w:t>Stock de pièces détachées, zone de réception/déchargement.</w:t>
      </w:r>
    </w:p>
    <w:p>
      <w:pPr>
        <w:pStyle w:val="Normal"/>
        <w:rPr/>
      </w:pPr>
      <w:r>
        <w:rPr/>
      </w:r>
      <w:r>
        <w:br w:type="page"/>
      </w:r>
    </w:p>
    <w:p>
      <w:pPr>
        <w:pStyle w:val="Heading1"/>
        <w:spacing w:before="0" w:after="200"/>
        <w:rPr/>
      </w:pPr>
      <w:r>
        <w:rPr>
          <w:b/>
          <w:bCs/>
          <w:color w:val="1F4E79"/>
          <w:sz w:val="32"/>
          <w:szCs w:val="32"/>
        </w:rPr>
        <w:t>8. Dimensionnement physique et électrique</w:t>
      </w:r>
    </w:p>
    <w:p>
      <w:pPr>
        <w:pStyle w:val="Heading2"/>
        <w:spacing w:before="300" w:after="150"/>
        <w:rPr/>
      </w:pPr>
      <w:r>
        <w:rPr>
          <w:b/>
          <w:bCs/>
          <w:color w:val="2E75B6"/>
          <w:sz w:val="26"/>
          <w:szCs w:val="26"/>
        </w:rPr>
        <w:t>8.1 Dimensionnement IT</w:t>
      </w:r>
    </w:p>
    <w:tbl>
      <w:tblPr>
        <w:tblW w:w="9400" w:type="dxa"/>
        <w:jc w:val="start"/>
        <w:tblInd w:w="0" w:type="dxa"/>
        <w:tblLayout w:type="fixed"/>
        <w:tblCellMar>
          <w:top w:w="0" w:type="dxa"/>
          <w:start w:w="108" w:type="dxa"/>
          <w:bottom w:w="0" w:type="dxa"/>
          <w:end w:w="108" w:type="dxa"/>
        </w:tblCellMar>
      </w:tblPr>
      <w:tblGrid>
        <w:gridCol w:w="3998"/>
        <w:gridCol w:w="5402"/>
      </w:tblGrid>
      <w:tr>
        <w:trPr>
          <w:tblHeader w:val="true"/>
        </w:trPr>
        <w:tc>
          <w:tcPr>
            <w:tcW w:w="39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Élément</w:t>
            </w:r>
          </w:p>
        </w:tc>
        <w:tc>
          <w:tcPr>
            <w:tcW w:w="54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Valeur</w:t>
            </w:r>
          </w:p>
        </w:tc>
      </w:tr>
      <w:tr>
        <w:trPr/>
        <w:tc>
          <w:tcPr>
            <w:tcW w:w="3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Baies (racks 42U)</w:t>
            </w:r>
          </w:p>
        </w:tc>
        <w:tc>
          <w:tcPr>
            <w:tcW w:w="5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4 baies : Réseau, Serveurs, Stockage, Backup</w:t>
            </w:r>
          </w:p>
        </w:tc>
      </w:tr>
      <w:tr>
        <w:trPr/>
        <w:tc>
          <w:tcPr>
            <w:tcW w:w="3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Serveurs physiques</w:t>
            </w:r>
          </w:p>
        </w:tc>
        <w:tc>
          <w:tcPr>
            <w:tcW w:w="54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4 à 5 (virtualisés)</w:t>
            </w:r>
          </w:p>
        </w:tc>
      </w:tr>
      <w:tr>
        <w:trPr/>
        <w:tc>
          <w:tcPr>
            <w:tcW w:w="3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VM estimées</w:t>
            </w:r>
          </w:p>
        </w:tc>
        <w:tc>
          <w:tcPr>
            <w:tcW w:w="5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10 à 15</w:t>
            </w:r>
          </w:p>
        </w:tc>
      </w:tr>
      <w:tr>
        <w:trPr/>
        <w:tc>
          <w:tcPr>
            <w:tcW w:w="3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Stockage utile</w:t>
            </w:r>
          </w:p>
        </w:tc>
        <w:tc>
          <w:tcPr>
            <w:tcW w:w="54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10 à 20 To (RAID)</w:t>
            </w:r>
          </w:p>
        </w:tc>
      </w:tr>
    </w:tbl>
    <w:p>
      <w:pPr>
        <w:pStyle w:val="Normal"/>
        <w:spacing w:before="0" w:after="150"/>
        <w:rPr/>
      </w:pPr>
      <w:r>
        <w:rPr/>
      </w:r>
    </w:p>
    <w:p>
      <w:pPr>
        <w:pStyle w:val="Heading2"/>
        <w:spacing w:before="300" w:after="150"/>
        <w:rPr/>
      </w:pPr>
      <w:r>
        <w:rPr>
          <w:b/>
          <w:bCs/>
          <w:color w:val="2E75B6"/>
          <w:sz w:val="26"/>
          <w:szCs w:val="26"/>
        </w:rPr>
        <w:t>8.2 Dimensionnement électrique</w:t>
      </w:r>
    </w:p>
    <w:tbl>
      <w:tblPr>
        <w:tblW w:w="9400" w:type="dxa"/>
        <w:jc w:val="start"/>
        <w:tblInd w:w="0" w:type="dxa"/>
        <w:tblLayout w:type="fixed"/>
        <w:tblCellMar>
          <w:top w:w="0" w:type="dxa"/>
          <w:start w:w="108" w:type="dxa"/>
          <w:bottom w:w="0" w:type="dxa"/>
          <w:end w:w="108" w:type="dxa"/>
        </w:tblCellMar>
      </w:tblPr>
      <w:tblGrid>
        <w:gridCol w:w="3998"/>
        <w:gridCol w:w="5402"/>
      </w:tblGrid>
      <w:tr>
        <w:trPr>
          <w:tblHeader w:val="true"/>
        </w:trPr>
        <w:tc>
          <w:tcPr>
            <w:tcW w:w="3998"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Élément</w:t>
            </w:r>
          </w:p>
        </w:tc>
        <w:tc>
          <w:tcPr>
            <w:tcW w:w="540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Valeur</w:t>
            </w:r>
          </w:p>
        </w:tc>
      </w:tr>
      <w:tr>
        <w:trPr/>
        <w:tc>
          <w:tcPr>
            <w:tcW w:w="3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Puissance IT estimée</w:t>
            </w:r>
          </w:p>
        </w:tc>
        <w:tc>
          <w:tcPr>
            <w:tcW w:w="5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 xml:space="preserve">≈ </w:t>
            </w:r>
            <w:r>
              <w:rPr>
                <w:b w:val="false"/>
                <w:bCs w:val="false"/>
                <w:color w:val="000000"/>
                <w:sz w:val="20"/>
                <w:szCs w:val="20"/>
              </w:rPr>
              <w:t>3 kW</w:t>
            </w:r>
          </w:p>
        </w:tc>
      </w:tr>
      <w:tr>
        <w:trPr/>
        <w:tc>
          <w:tcPr>
            <w:tcW w:w="3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PUE cible</w:t>
            </w:r>
          </w:p>
        </w:tc>
        <w:tc>
          <w:tcPr>
            <w:tcW w:w="54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1,6</w:t>
            </w:r>
          </w:p>
        </w:tc>
      </w:tr>
      <w:tr>
        <w:trPr/>
        <w:tc>
          <w:tcPr>
            <w:tcW w:w="3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Puissance totale</w:t>
            </w:r>
          </w:p>
        </w:tc>
        <w:tc>
          <w:tcPr>
            <w:tcW w:w="5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 xml:space="preserve">≈ </w:t>
            </w:r>
            <w:r>
              <w:rPr>
                <w:b w:val="false"/>
                <w:bCs w:val="false"/>
                <w:color w:val="000000"/>
                <w:sz w:val="20"/>
                <w:szCs w:val="20"/>
              </w:rPr>
              <w:t>4,8 kW</w:t>
            </w:r>
          </w:p>
        </w:tc>
      </w:tr>
      <w:tr>
        <w:trPr/>
        <w:tc>
          <w:tcPr>
            <w:tcW w:w="3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Onduleur (UPS)</w:t>
            </w:r>
          </w:p>
        </w:tc>
        <w:tc>
          <w:tcPr>
            <w:tcW w:w="54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5 kW, autonomie 20-30 min</w:t>
            </w:r>
          </w:p>
        </w:tc>
      </w:tr>
      <w:tr>
        <w:trPr/>
        <w:tc>
          <w:tcPr>
            <w:tcW w:w="39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Groupe électrogène</w:t>
            </w:r>
          </w:p>
        </w:tc>
        <w:tc>
          <w:tcPr>
            <w:tcW w:w="5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Optionnel, démarrage automatique &lt; 15 s</w:t>
            </w:r>
          </w:p>
        </w:tc>
      </w:tr>
      <w:tr>
        <w:trPr/>
        <w:tc>
          <w:tcPr>
            <w:tcW w:w="3998"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Tableau électrique</w:t>
            </w:r>
          </w:p>
        </w:tc>
        <w:tc>
          <w:tcPr>
            <w:tcW w:w="5402"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Double arrivée (redondance N+1)</w:t>
            </w:r>
          </w:p>
        </w:tc>
      </w:tr>
    </w:tbl>
    <w:p>
      <w:pPr>
        <w:pStyle w:val="Normal"/>
        <w:rPr/>
      </w:pPr>
      <w:r>
        <w:rPr/>
      </w:r>
      <w:r>
        <w:br w:type="page"/>
      </w:r>
    </w:p>
    <w:p>
      <w:pPr>
        <w:pStyle w:val="Heading1"/>
        <w:spacing w:before="0" w:after="200"/>
        <w:rPr/>
      </w:pPr>
      <w:r>
        <w:rPr>
          <w:b/>
          <w:bCs/>
          <w:color w:val="1F4E79"/>
          <w:sz w:val="32"/>
          <w:szCs w:val="32"/>
        </w:rPr>
        <w:t>9. Procédure de mise en œuvre dans GNS3</w:t>
      </w:r>
    </w:p>
    <w:p>
      <w:pPr>
        <w:pStyle w:val="Normal"/>
        <w:spacing w:before="0" w:after="150"/>
        <w:rPr/>
      </w:pPr>
      <w:r>
        <w:rPr>
          <w:sz w:val="22"/>
          <w:szCs w:val="22"/>
        </w:rPr>
        <w:t>Ordre recommandé de configuration, à suivre strictement pour éviter les erreurs de dépendance entre équipements.</w:t>
      </w:r>
    </w:p>
    <w:p>
      <w:pPr>
        <w:pStyle w:val="ListParagraph"/>
        <w:numPr>
          <w:ilvl w:val="0"/>
          <w:numId w:val="2"/>
        </w:numPr>
        <w:spacing w:before="0" w:after="80"/>
        <w:rPr/>
      </w:pPr>
      <w:r>
        <w:rPr>
          <w:sz w:val="22"/>
          <w:szCs w:val="22"/>
        </w:rPr>
        <w:t>1. Configurer pfSense : créer les interfaces VLAN sur em0 (Interfaces → VLANs), les assigner (Interface Assignments), puis attribuer IP/passerelle à chacune.</w:t>
      </w:r>
    </w:p>
    <w:p>
      <w:pPr>
        <w:pStyle w:val="ListParagraph"/>
        <w:numPr>
          <w:ilvl w:val="0"/>
          <w:numId w:val="2"/>
        </w:numPr>
        <w:spacing w:before="0" w:after="80"/>
        <w:rPr/>
      </w:pPr>
      <w:r>
        <w:rPr>
          <w:sz w:val="22"/>
          <w:szCs w:val="22"/>
        </w:rPr>
        <w:t>2. Configurer CORE-SW1 : créer les VLANs, configurer les trunks 802.1Q vers pfSense, SW-SRV, SW-SAN-BKP et SW-DMZ, puis sauvegarder (write memory).</w:t>
      </w:r>
    </w:p>
    <w:p>
      <w:pPr>
        <w:pStyle w:val="ListParagraph"/>
        <w:numPr>
          <w:ilvl w:val="0"/>
          <w:numId w:val="2"/>
        </w:numPr>
        <w:spacing w:before="0" w:after="80"/>
        <w:rPr/>
      </w:pPr>
      <w:r>
        <w:rPr>
          <w:sz w:val="22"/>
          <w:szCs w:val="22"/>
        </w:rPr>
        <w:t>3. Configurer SW-SRV : port montant en trunk, ports descendants en access selon le VLAN de chaque serveur.</w:t>
      </w:r>
    </w:p>
    <w:p>
      <w:pPr>
        <w:pStyle w:val="ListParagraph"/>
        <w:numPr>
          <w:ilvl w:val="0"/>
          <w:numId w:val="2"/>
        </w:numPr>
        <w:spacing w:before="0" w:after="80"/>
        <w:rPr/>
      </w:pPr>
      <w:r>
        <w:rPr>
          <w:sz w:val="22"/>
          <w:szCs w:val="22"/>
        </w:rPr>
        <w:t>4. Configurer SW-SAN-BKP : ports access séparés pour VLAN 30 (SAN) et VLAN 40 (Backup).</w:t>
      </w:r>
    </w:p>
    <w:p>
      <w:pPr>
        <w:pStyle w:val="ListParagraph"/>
        <w:numPr>
          <w:ilvl w:val="0"/>
          <w:numId w:val="2"/>
        </w:numPr>
        <w:spacing w:before="0" w:after="80"/>
        <w:rPr/>
      </w:pPr>
      <w:r>
        <w:rPr>
          <w:sz w:val="22"/>
          <w:szCs w:val="22"/>
        </w:rPr>
        <w:t>5. Configurer SW-DMZ : port access VLAN 60 pour le serveur web.</w:t>
      </w:r>
    </w:p>
    <w:p>
      <w:pPr>
        <w:pStyle w:val="ListParagraph"/>
        <w:numPr>
          <w:ilvl w:val="0"/>
          <w:numId w:val="2"/>
        </w:numPr>
        <w:spacing w:before="0" w:after="80"/>
        <w:rPr/>
      </w:pPr>
      <w:r>
        <w:rPr>
          <w:sz w:val="22"/>
          <w:szCs w:val="22"/>
        </w:rPr>
        <w:t>6. Installer et adresser statiquement chaque VM serveur selon le plan d'adressage (section 5).</w:t>
      </w:r>
    </w:p>
    <w:p>
      <w:pPr>
        <w:pStyle w:val="ListParagraph"/>
        <w:numPr>
          <w:ilvl w:val="0"/>
          <w:numId w:val="2"/>
        </w:numPr>
        <w:spacing w:before="0" w:after="80"/>
        <w:rPr/>
      </w:pPr>
      <w:r>
        <w:rPr>
          <w:sz w:val="22"/>
          <w:szCs w:val="22"/>
        </w:rPr>
        <w:t>7. Mettre en place les règles de pare-feu sur pfSense selon la matrice de flux (section 6).</w:t>
      </w:r>
    </w:p>
    <w:p>
      <w:pPr>
        <w:pStyle w:val="ListParagraph"/>
        <w:numPr>
          <w:ilvl w:val="0"/>
          <w:numId w:val="2"/>
        </w:numPr>
        <w:spacing w:before="0" w:after="80"/>
        <w:rPr/>
      </w:pPr>
      <w:r>
        <w:rPr>
          <w:sz w:val="22"/>
          <w:szCs w:val="22"/>
        </w:rPr>
        <w:t>8. Déployer les services : AD/DNS/DHCP sur Server1-DC, base de données sur Server-SQL, cible iSCSI sur le NAS, portail sur Server-Web-DMZ.</w:t>
      </w:r>
    </w:p>
    <w:p>
      <w:pPr>
        <w:pStyle w:val="ListParagraph"/>
        <w:numPr>
          <w:ilvl w:val="0"/>
          <w:numId w:val="2"/>
        </w:numPr>
        <w:spacing w:before="0" w:after="80"/>
        <w:rPr/>
      </w:pPr>
      <w:r>
        <w:rPr>
          <w:sz w:val="22"/>
          <w:szCs w:val="22"/>
        </w:rPr>
        <w:t>9. Configurer la supervision (Zabbix/Nagios) et relier le poste NOC.</w:t>
      </w:r>
    </w:p>
    <w:p>
      <w:pPr>
        <w:pStyle w:val="ListParagraph"/>
        <w:numPr>
          <w:ilvl w:val="0"/>
          <w:numId w:val="2"/>
        </w:numPr>
        <w:spacing w:before="0" w:after="80"/>
        <w:rPr>
          <w:sz w:val="22"/>
          <w:szCs w:val="22"/>
        </w:rPr>
      </w:pPr>
      <w:r>
        <w:rPr>
          <w:sz w:val="22"/>
          <w:szCs w:val="22"/>
        </w:rPr>
        <w:t>10. Ajouter en dernier le VLAN 50 (supervision) et le VLAN 70 (capteurs, optionnel).</w:t>
      </w:r>
    </w:p>
    <w:p>
      <w:pPr>
        <w:pStyle w:val="ListParagraph"/>
        <w:spacing w:before="0" w:after="80"/>
        <w:rPr>
          <w:sz w:val="22"/>
          <w:szCs w:val="22"/>
        </w:rPr>
      </w:pPr>
      <w:r>
        <w:rPr>
          <w:sz w:val="22"/>
          <w:szCs w:val="22"/>
        </w:rPr>
      </w:r>
    </w:p>
    <w:p>
      <w:pPr>
        <w:pStyle w:val="ListParagraph"/>
        <w:spacing w:before="0" w:after="80"/>
        <w:rPr>
          <w:sz w:val="22"/>
          <w:szCs w:val="22"/>
        </w:rPr>
      </w:pPr>
      <w:r>
        <w:rPr>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68265" cy="37134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168265" cy="3713480"/>
                    </a:xfrm>
                    <a:prstGeom prst="rect">
                      <a:avLst/>
                    </a:prstGeom>
                    <a:noFill/>
                  </pic:spPr>
                </pic:pic>
              </a:graphicData>
            </a:graphic>
          </wp:anchor>
        </w:drawing>
      </w:r>
    </w:p>
    <w:p>
      <w:pPr>
        <w:pStyle w:val="Heading2"/>
        <w:spacing w:before="300" w:after="150"/>
        <w:rPr/>
      </w:pPr>
      <w:r>
        <w:rPr>
          <w:b/>
          <w:bCs/>
          <w:color w:val="2E75B6"/>
          <w:sz w:val="26"/>
          <w:szCs w:val="26"/>
        </w:rPr>
        <w:t>Rappels pratiques</w:t>
      </w:r>
    </w:p>
    <w:p>
      <w:pPr>
        <w:pStyle w:val="ListParagraph"/>
        <w:numPr>
          <w:ilvl w:val="0"/>
          <w:numId w:val="2"/>
        </w:numPr>
        <w:spacing w:before="0" w:after="80"/>
        <w:rPr/>
      </w:pPr>
      <w:r>
        <w:rPr>
          <w:sz w:val="22"/>
          <w:szCs w:val="22"/>
        </w:rPr>
        <w:t>Ordre de démarrage des nœuds GNS3 : pfSense, puis CORE-SW1, puis les VMs.</w:t>
      </w:r>
    </w:p>
    <w:p>
      <w:pPr>
        <w:pStyle w:val="ListParagraph"/>
        <w:numPr>
          <w:ilvl w:val="0"/>
          <w:numId w:val="2"/>
        </w:numPr>
        <w:spacing w:before="0" w:after="80"/>
        <w:rPr/>
      </w:pPr>
      <w:r>
        <w:rPr>
          <w:sz w:val="22"/>
          <w:szCs w:val="22"/>
        </w:rPr>
        <w:t>Toujours exécuter write memory sur les switches avant extinction.</w:t>
      </w:r>
    </w:p>
    <w:p>
      <w:pPr>
        <w:pStyle w:val="ListParagraph"/>
        <w:numPr>
          <w:ilvl w:val="0"/>
          <w:numId w:val="2"/>
        </w:numPr>
        <w:spacing w:before="0" w:after="80"/>
        <w:rPr>
          <w:sz w:val="22"/>
          <w:szCs w:val="22"/>
        </w:rPr>
      </w:pPr>
      <w:r>
        <w:rPr>
          <w:sz w:val="22"/>
          <w:szCs w:val="22"/>
        </w:rPr>
        <w:t>Préférer des commandes courtes via console (le copier-coller VNC est peu fiable).</w:t>
      </w:r>
    </w:p>
    <w:p>
      <w:pPr>
        <w:pStyle w:val="ListParagraph"/>
        <w:numPr>
          <w:ilvl w:val="0"/>
          <w:numId w:val="0"/>
        </w:numPr>
        <w:spacing w:before="0" w:after="80"/>
        <w:ind w:hanging="0" w:start="504"/>
        <w:rPr>
          <w:b/>
          <w:bCs/>
          <w:color w:val="1F4E79"/>
          <w:sz w:val="32"/>
          <w:szCs w:val="32"/>
        </w:rPr>
      </w:pPr>
      <w:r>
        <w:rPr>
          <w:b/>
          <w:bCs/>
          <w:color w:val="1F4E79"/>
          <w:sz w:val="32"/>
          <w:szCs w:val="32"/>
        </w:rPr>
      </w:r>
    </w:p>
    <w:p>
      <w:pPr>
        <w:pStyle w:val="ListParagraph"/>
        <w:numPr>
          <w:ilvl w:val="0"/>
          <w:numId w:val="0"/>
        </w:numPr>
        <w:spacing w:before="0" w:after="80"/>
        <w:ind w:hanging="0" w:start="504"/>
        <w:rPr>
          <w:b/>
          <w:bCs/>
          <w:color w:val="1F4E79"/>
          <w:sz w:val="32"/>
          <w:szCs w:val="32"/>
        </w:rPr>
      </w:pPr>
      <w:r>
        <w:rPr>
          <w:b/>
          <w:bCs/>
          <w:color w:val="1F4E79"/>
          <w:sz w:val="32"/>
          <w:szCs w:val="32"/>
        </w:rPr>
        <w:t>10. Tests et validation</w:t>
      </w:r>
    </w:p>
    <w:p>
      <w:pPr>
        <w:pStyle w:val="Normal"/>
        <w:spacing w:before="0" w:after="150"/>
        <w:rPr/>
      </w:pPr>
      <w:r>
        <w:rPr>
          <w:sz w:val="22"/>
          <w:szCs w:val="22"/>
        </w:rPr>
        <w:t>Chaque test doit être documenté par une capture d'écran pour la soutenance.</w:t>
      </w:r>
    </w:p>
    <w:tbl>
      <w:tblPr>
        <w:tblW w:w="9400" w:type="dxa"/>
        <w:jc w:val="start"/>
        <w:tblInd w:w="0" w:type="dxa"/>
        <w:tblLayout w:type="fixed"/>
        <w:tblCellMar>
          <w:top w:w="0" w:type="dxa"/>
          <w:start w:w="108" w:type="dxa"/>
          <w:bottom w:w="0" w:type="dxa"/>
          <w:end w:w="108" w:type="dxa"/>
        </w:tblCellMar>
      </w:tblPr>
      <w:tblGrid>
        <w:gridCol w:w="5200"/>
        <w:gridCol w:w="4200"/>
      </w:tblGrid>
      <w:tr>
        <w:trPr>
          <w:tblHeader w:val="true"/>
        </w:trPr>
        <w:tc>
          <w:tcPr>
            <w:tcW w:w="52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Test</w:t>
            </w:r>
          </w:p>
        </w:tc>
        <w:tc>
          <w:tcPr>
            <w:tcW w:w="4200"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rPr/>
            </w:pPr>
            <w:r>
              <w:rPr>
                <w:b/>
                <w:bCs/>
                <w:color w:val="FFFFFF"/>
                <w:sz w:val="20"/>
                <w:szCs w:val="20"/>
              </w:rPr>
              <w:t>Résultat attendu</w:t>
            </w:r>
          </w:p>
        </w:tc>
      </w:tr>
      <w:tr>
        <w:trPr/>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Ping Server1-DC → passerelle VLAN 20</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Succès</w:t>
            </w:r>
          </w:p>
        </w:tc>
      </w:tr>
      <w:tr>
        <w:trPr/>
        <w:tc>
          <w:tcPr>
            <w:tcW w:w="5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Ping SRV_PROD → SAN (port 3260)</w:t>
            </w:r>
          </w:p>
        </w:tc>
        <w:tc>
          <w:tcPr>
            <w:tcW w:w="4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Succès</w:t>
            </w:r>
          </w:p>
        </w:tc>
      </w:tr>
      <w:tr>
        <w:trPr/>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Ping direct Internet → SRV_PROD</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Échec (bloqué par pfSense)</w:t>
            </w:r>
          </w:p>
        </w:tc>
      </w:tr>
      <w:tr>
        <w:trPr/>
        <w:tc>
          <w:tcPr>
            <w:tcW w:w="5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Accès HTTPS Internet → Server-Web-DMZ</w:t>
            </w:r>
          </w:p>
        </w:tc>
        <w:tc>
          <w:tcPr>
            <w:tcW w:w="4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Succès</w:t>
            </w:r>
          </w:p>
        </w:tc>
      </w:tr>
      <w:tr>
        <w:trPr/>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Connexion SSH via bastion (Server-Admin)</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000000"/>
                <w:sz w:val="20"/>
                <w:szCs w:val="20"/>
              </w:rPr>
              <w:t>Succès</w:t>
            </w:r>
          </w:p>
        </w:tc>
      </w:tr>
      <w:tr>
        <w:trPr/>
        <w:tc>
          <w:tcPr>
            <w:tcW w:w="5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Bascule UPS lors d'une coupure simulée (sur schéma)</w:t>
            </w:r>
          </w:p>
        </w:tc>
        <w:tc>
          <w:tcPr>
            <w:tcW w:w="4200" w:type="dxa"/>
            <w:tcBorders>
              <w:top w:val="single" w:sz="4" w:space="0" w:color="000000"/>
              <w:start w:val="single" w:sz="4" w:space="0" w:color="000000"/>
              <w:bottom w:val="single" w:sz="4" w:space="0" w:color="000000"/>
              <w:end w:val="single" w:sz="4" w:space="0" w:color="000000"/>
            </w:tcBorders>
            <w:shd w:fill="F2F6FA" w:val="clear"/>
            <w:vAlign w:val="center"/>
          </w:tcPr>
          <w:p>
            <w:pPr>
              <w:pStyle w:val="Normal"/>
              <w:rPr/>
            </w:pPr>
            <w:r>
              <w:rPr>
                <w:b w:val="false"/>
                <w:bCs w:val="false"/>
                <w:color w:val="000000"/>
                <w:sz w:val="20"/>
                <w:szCs w:val="20"/>
              </w:rPr>
              <w:t>Continuité de service documentée</w:t>
            </w:r>
          </w:p>
        </w:tc>
      </w:tr>
    </w:tbl>
    <w:p>
      <w:pPr>
        <w:pStyle w:val="Normal"/>
        <w:spacing w:before="0" w:after="150"/>
        <w:rPr/>
      </w:pPr>
      <w:r>
        <w:rPr/>
      </w:r>
    </w:p>
    <w:p>
      <w:pPr>
        <w:pStyle w:val="Normal"/>
        <w:spacing w:before="0" w:after="150"/>
        <w:rPr/>
      </w:pPr>
      <w:r>
        <w:rPr>
          <w:sz w:val="22"/>
          <w:szCs w:val="22"/>
        </w:rPr>
        <w:t>Les logs de pfSense (Status → System Logs → Firewall) doivent être présentés en soutenance pour illustrer les tentatives de connexion bloquées, en complément d'une capture Wireshark sur un flux autorisé.</w:t>
      </w:r>
    </w:p>
    <w:p>
      <w:pPr>
        <w:pStyle w:val="Normal"/>
        <w:rPr/>
      </w:pPr>
      <w:r>
        <w:rPr/>
      </w:r>
      <w:r>
        <w:br w:type="page"/>
      </w:r>
    </w:p>
    <w:p>
      <w:pPr>
        <w:pStyle w:val="Heading1"/>
        <w:spacing w:before="0" w:after="200"/>
        <w:rPr/>
      </w:pPr>
      <w:r>
        <w:rPr>
          <w:b/>
          <w:bCs/>
          <w:color w:val="1F4E79"/>
          <w:sz w:val="32"/>
          <w:szCs w:val="32"/>
        </w:rPr>
        <w:t>11. Limites et perspectives d'amélioration</w:t>
      </w:r>
    </w:p>
    <w:p>
      <w:pPr>
        <w:pStyle w:val="ListParagraph"/>
        <w:numPr>
          <w:ilvl w:val="0"/>
          <w:numId w:val="2"/>
        </w:numPr>
        <w:spacing w:before="0" w:after="80"/>
        <w:rPr/>
      </w:pPr>
      <w:r>
        <w:rPr>
          <w:sz w:val="22"/>
          <w:szCs w:val="22"/>
        </w:rPr>
        <w:t>Le VLAN SAN est routé pour les besoins de la simulation ; en production, il devrait être isolé au niveau 2 avec des cartes réseau dédiées par serveur (multipathing).</w:t>
      </w:r>
    </w:p>
    <w:p>
      <w:pPr>
        <w:pStyle w:val="ListParagraph"/>
        <w:numPr>
          <w:ilvl w:val="0"/>
          <w:numId w:val="2"/>
        </w:numPr>
        <w:spacing w:before="0" w:after="80"/>
        <w:rPr/>
      </w:pPr>
      <w:r>
        <w:rPr>
          <w:sz w:val="22"/>
          <w:szCs w:val="22"/>
        </w:rPr>
        <w:t>Absence de site de secours distant (reprise d'activité) — perspective d'évolution vers une architecture à deux sites avec réplication.</w:t>
      </w:r>
    </w:p>
    <w:p>
      <w:pPr>
        <w:pStyle w:val="ListParagraph"/>
        <w:numPr>
          <w:ilvl w:val="0"/>
          <w:numId w:val="2"/>
        </w:numPr>
        <w:spacing w:before="0" w:after="80"/>
        <w:rPr/>
      </w:pPr>
      <w:r>
        <w:rPr>
          <w:sz w:val="22"/>
          <w:szCs w:val="22"/>
        </w:rPr>
        <w:t>La règle de sauvegarde 3-2-1 (3 copies, 2 supports différents, 1 copie hors site) est recommandée mais non simulable intégralement sous GNS3.</w:t>
      </w:r>
    </w:p>
    <w:p>
      <w:pPr>
        <w:pStyle w:val="ListParagraph"/>
        <w:numPr>
          <w:ilvl w:val="0"/>
          <w:numId w:val="2"/>
        </w:numPr>
        <w:spacing w:before="0" w:after="80"/>
        <w:rPr/>
      </w:pPr>
      <w:r>
        <w:rPr>
          <w:sz w:val="22"/>
          <w:szCs w:val="22"/>
        </w:rPr>
        <w:t>La zone Technique (électrique, climatisation) reste au stade de la documentation et pourrait faire l'objet d'une simulation IoT complémentaire (capteurs via Node-RED).</w:t>
      </w:r>
    </w:p>
    <w:p>
      <w:pPr>
        <w:pStyle w:val="ListParagraph"/>
        <w:numPr>
          <w:ilvl w:val="0"/>
          <w:numId w:val="2"/>
        </w:numPr>
        <w:spacing w:before="0" w:after="80"/>
        <w:rPr/>
      </w:pPr>
      <w:r>
        <w:rPr>
          <w:sz w:val="22"/>
          <w:szCs w:val="22"/>
        </w:rPr>
        <w:t>Un second firewall en haute disponibilité (CARP sur pfSense) renforcerait la tolérance de panne de la zone Informatique.</w:t>
      </w:r>
    </w:p>
    <w:p>
      <w:pPr>
        <w:pStyle w:val="Normal"/>
        <w:pBdr>
          <w:bottom w:val="single" w:sz="6" w:space="1" w:color="2E75B6"/>
        </w:pBdr>
        <w:spacing w:before="0" w:after="200"/>
        <w:rPr/>
      </w:pPr>
      <w:r>
        <w:rPr/>
      </w:r>
    </w:p>
    <w:p>
      <w:pPr>
        <w:pStyle w:val="Normal"/>
        <w:spacing w:before="0" w:after="150"/>
        <w:rPr/>
      </w:pPr>
      <w:r>
        <w:rPr>
          <w:i/>
          <w:iCs/>
          <w:sz w:val="18"/>
          <w:szCs w:val="18"/>
        </w:rPr>
        <w:t>Fin du rapport — AssurVie SA, projet mini-datacenter privé.</w:t>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2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LibreOffice/26.2.4.2$Linux_X86_64 LibreOffice_project/620$Build-2</Application>
  <AppVersion>15.0000</AppVersion>
  <Pages>13</Pages>
  <Words>2185</Words>
  <Characters>12804</Characters>
  <CharactersWithSpaces>14545</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2026-10-06T23:28:15Z</dcterms:created>
  <dc:creator>Un-named</dc:creator>
  <dc:description/>
  <dc:language>en-US</dc:language>
  <cp:lastModifiedBy/>
  <dcterms:modified xsi:type="dcterms:W3CDTF">2026-10-07T00:43:37Z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