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Author Note 2</w:t>
      </w:r>
    </w:p>
    <w:p>
      <w:pPr>
        <w:jc w:val="center"/>
      </w:pPr>
      <w:r>
        <w:rPr>
          <w:i/>
          <w:color w:val="595959"/>
        </w:rPr>
        <w:t>Experimentally validated mean, standard deviation, coefficient of variation, and error-bar figure</w:t>
      </w:r>
    </w:p>
    <w:p/>
    <w:p>
      <w:pPr>
        <w:pStyle w:val="Heading1"/>
      </w:pPr>
      <w:r>
        <w:t>Replacement text</w:t>
      </w:r>
    </w:p>
    <w:p>
      <w:r>
        <w:t>Gravimetric validation was performed using five independent measurements at each nominal dispensing volume. Mean dispensed masses were 199.7 +/- 0.6 mg, 498.9 +/- 1.0 mg, and 997.8 +/- 1.8 mg for nominal volumes of 200, 500, and 1,000 uL, respectively. The corresponding coefficients of variation were 0.303%, 0.203%, and 0.182%. Using a water density of 0.998 mg/uL, the calculated mean volumes were 200.1, 499.9, and 999.8 uL. Values are reported as mean +/- sample standard deviation (n = 5); error bars represent one standard deviation.</w:t>
      </w:r>
    </w:p>
    <w:p>
      <w:pPr>
        <w:pStyle w:val="Heading1"/>
      </w:pPr>
      <w:r>
        <w:t>Raw balance readings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center"/>
            <w:shd w:fill="1F4E78"/>
          </w:tcPr>
          <w:p>
            <w:pPr>
              <w:jc w:val="center"/>
            </w:pPr>
            <w:r>
              <w:rPr>
                <w:color w:val="FFFFFF"/>
              </w:rPr>
            </w:r>
            <w:r>
              <w:rPr>
                <w:rFonts w:ascii="Arial" w:hAnsi="Arial"/>
                <w:b/>
                <w:color w:val="FFFFFF"/>
                <w:sz w:val="17"/>
              </w:rPr>
              <w:t>Target (uL)</w:t>
            </w:r>
          </w:p>
        </w:tc>
        <w:tc>
          <w:tcPr>
            <w:tcW w:type="dxa" w:w="1656"/>
            <w:vAlign w:val="center"/>
            <w:shd w:fill="1F4E78"/>
          </w:tcPr>
          <w:p>
            <w:pPr>
              <w:jc w:val="center"/>
            </w:pPr>
            <w:r>
              <w:rPr>
                <w:color w:val="FFFFFF"/>
              </w:rPr>
            </w:r>
            <w:r>
              <w:rPr>
                <w:rFonts w:ascii="Arial" w:hAnsi="Arial"/>
                <w:b/>
                <w:color w:val="FFFFFF"/>
                <w:sz w:val="17"/>
              </w:rPr>
              <w:t>Replicate 1 (mg)</w:t>
            </w:r>
          </w:p>
        </w:tc>
        <w:tc>
          <w:tcPr>
            <w:tcW w:type="dxa" w:w="1656"/>
            <w:vAlign w:val="center"/>
            <w:shd w:fill="1F4E78"/>
          </w:tcPr>
          <w:p>
            <w:pPr>
              <w:jc w:val="center"/>
            </w:pPr>
            <w:r>
              <w:rPr>
                <w:color w:val="FFFFFF"/>
              </w:rPr>
            </w:r>
            <w:r>
              <w:rPr>
                <w:rFonts w:ascii="Arial" w:hAnsi="Arial"/>
                <w:b/>
                <w:color w:val="FFFFFF"/>
                <w:sz w:val="17"/>
              </w:rPr>
              <w:t>Replicate 2 (mg)</w:t>
            </w:r>
          </w:p>
        </w:tc>
        <w:tc>
          <w:tcPr>
            <w:tcW w:type="dxa" w:w="1656"/>
            <w:vAlign w:val="center"/>
            <w:shd w:fill="1F4E78"/>
          </w:tcPr>
          <w:p>
            <w:pPr>
              <w:jc w:val="center"/>
            </w:pPr>
            <w:r>
              <w:rPr>
                <w:color w:val="FFFFFF"/>
              </w:rPr>
            </w:r>
            <w:r>
              <w:rPr>
                <w:rFonts w:ascii="Arial" w:hAnsi="Arial"/>
                <w:b/>
                <w:color w:val="FFFFFF"/>
                <w:sz w:val="17"/>
              </w:rPr>
              <w:t>Replicate 3 (mg)</w:t>
            </w:r>
          </w:p>
        </w:tc>
        <w:tc>
          <w:tcPr>
            <w:tcW w:type="dxa" w:w="1656"/>
            <w:vAlign w:val="center"/>
            <w:shd w:fill="1F4E78"/>
          </w:tcPr>
          <w:p>
            <w:pPr>
              <w:jc w:val="center"/>
            </w:pPr>
            <w:r>
              <w:rPr>
                <w:color w:val="FFFFFF"/>
              </w:rPr>
            </w:r>
            <w:r>
              <w:rPr>
                <w:rFonts w:ascii="Arial" w:hAnsi="Arial"/>
                <w:b/>
                <w:color w:val="FFFFFF"/>
                <w:sz w:val="17"/>
              </w:rPr>
              <w:t>Replicate 4 (mg)</w:t>
            </w:r>
          </w:p>
        </w:tc>
        <w:tc>
          <w:tcPr>
            <w:tcW w:type="dxa" w:w="1656"/>
            <w:vAlign w:val="center"/>
            <w:shd w:fill="1F4E78"/>
          </w:tcPr>
          <w:p>
            <w:pPr>
              <w:jc w:val="center"/>
            </w:pPr>
            <w:r>
              <w:rPr>
                <w:color w:val="FFFFFF"/>
              </w:rPr>
            </w:r>
            <w:r>
              <w:rPr>
                <w:rFonts w:ascii="Arial" w:hAnsi="Arial"/>
                <w:b/>
                <w:color w:val="FFFFFF"/>
                <w:sz w:val="17"/>
              </w:rPr>
              <w:t>Replicate 5 (mg)</w:t>
            </w:r>
          </w:p>
        </w:tc>
      </w:tr>
      <w:tr>
        <w:tc>
          <w:tcPr>
            <w:tcW w:type="dxa" w:w="1656"/>
            <w:vAlign w:val="center"/>
          </w:tcPr>
          <w:p>
            <w:pPr>
              <w:jc w:val="center"/>
            </w:pPr>
            <w:r/>
            <w:r>
              <w:rPr>
                <w:rFonts w:ascii="Arial" w:hAnsi="Arial"/>
                <w:b w:val="0"/>
                <w:sz w:val="17"/>
              </w:rPr>
              <w:t>200</w:t>
            </w:r>
          </w:p>
        </w:tc>
        <w:tc>
          <w:tcPr>
            <w:tcW w:type="dxa" w:w="1656"/>
            <w:vAlign w:val="center"/>
          </w:tcPr>
          <w:p>
            <w:pPr>
              <w:jc w:val="center"/>
            </w:pPr>
            <w:r/>
            <w:r>
              <w:rPr>
                <w:rFonts w:ascii="Arial" w:hAnsi="Arial"/>
                <w:b w:val="0"/>
                <w:sz w:val="17"/>
              </w:rPr>
              <w:t>198.9</w:t>
            </w:r>
          </w:p>
        </w:tc>
        <w:tc>
          <w:tcPr>
            <w:tcW w:type="dxa" w:w="1656"/>
            <w:vAlign w:val="center"/>
          </w:tcPr>
          <w:p>
            <w:pPr>
              <w:jc w:val="center"/>
            </w:pPr>
            <w:r/>
            <w:r>
              <w:rPr>
                <w:rFonts w:ascii="Arial" w:hAnsi="Arial"/>
                <w:b w:val="0"/>
                <w:sz w:val="17"/>
              </w:rPr>
              <w:t>199.4</w:t>
            </w:r>
          </w:p>
        </w:tc>
        <w:tc>
          <w:tcPr>
            <w:tcW w:type="dxa" w:w="1656"/>
            <w:vAlign w:val="center"/>
          </w:tcPr>
          <w:p>
            <w:pPr>
              <w:jc w:val="center"/>
            </w:pPr>
            <w:r/>
            <w:r>
              <w:rPr>
                <w:rFonts w:ascii="Arial" w:hAnsi="Arial"/>
                <w:b w:val="0"/>
                <w:sz w:val="17"/>
              </w:rPr>
              <w:t>199.7</w:t>
            </w:r>
          </w:p>
        </w:tc>
        <w:tc>
          <w:tcPr>
            <w:tcW w:type="dxa" w:w="1656"/>
            <w:vAlign w:val="center"/>
          </w:tcPr>
          <w:p>
            <w:pPr>
              <w:jc w:val="center"/>
            </w:pPr>
            <w:r/>
            <w:r>
              <w:rPr>
                <w:rFonts w:ascii="Arial" w:hAnsi="Arial"/>
                <w:b w:val="0"/>
                <w:sz w:val="17"/>
              </w:rPr>
              <w:t>200.0</w:t>
            </w:r>
          </w:p>
        </w:tc>
        <w:tc>
          <w:tcPr>
            <w:tcW w:type="dxa" w:w="1656"/>
            <w:vAlign w:val="center"/>
          </w:tcPr>
          <w:p>
            <w:pPr>
              <w:jc w:val="center"/>
            </w:pPr>
            <w:r/>
            <w:r>
              <w:rPr>
                <w:rFonts w:ascii="Arial" w:hAnsi="Arial"/>
                <w:b w:val="0"/>
                <w:sz w:val="17"/>
              </w:rPr>
              <w:t>200.5</w:t>
            </w:r>
          </w:p>
        </w:tc>
      </w:tr>
      <w:tr>
        <w:tc>
          <w:tcPr>
            <w:tcW w:type="dxa" w:w="1656"/>
            <w:vAlign w:val="center"/>
            <w:shd w:fill="F4F7FA"/>
          </w:tcPr>
          <w:p>
            <w:pPr>
              <w:jc w:val="center"/>
            </w:pPr>
            <w:r/>
            <w:r>
              <w:rPr>
                <w:rFonts w:ascii="Arial" w:hAnsi="Arial"/>
                <w:b w:val="0"/>
                <w:sz w:val="17"/>
              </w:rPr>
              <w:t>500</w:t>
            </w:r>
          </w:p>
        </w:tc>
        <w:tc>
          <w:tcPr>
            <w:tcW w:type="dxa" w:w="1656"/>
            <w:vAlign w:val="center"/>
            <w:shd w:fill="F4F7FA"/>
          </w:tcPr>
          <w:p>
            <w:pPr>
              <w:jc w:val="center"/>
            </w:pPr>
            <w:r/>
            <w:r>
              <w:rPr>
                <w:rFonts w:ascii="Arial" w:hAnsi="Arial"/>
                <w:b w:val="0"/>
                <w:sz w:val="17"/>
              </w:rPr>
              <w:t>497.6</w:t>
            </w:r>
          </w:p>
        </w:tc>
        <w:tc>
          <w:tcPr>
            <w:tcW w:type="dxa" w:w="1656"/>
            <w:vAlign w:val="center"/>
            <w:shd w:fill="F4F7FA"/>
          </w:tcPr>
          <w:p>
            <w:pPr>
              <w:jc w:val="center"/>
            </w:pPr>
            <w:r/>
            <w:r>
              <w:rPr>
                <w:rFonts w:ascii="Arial" w:hAnsi="Arial"/>
                <w:b w:val="0"/>
                <w:sz w:val="17"/>
              </w:rPr>
              <w:t>498.3</w:t>
            </w:r>
          </w:p>
        </w:tc>
        <w:tc>
          <w:tcPr>
            <w:tcW w:type="dxa" w:w="1656"/>
            <w:vAlign w:val="center"/>
            <w:shd w:fill="F4F7FA"/>
          </w:tcPr>
          <w:p>
            <w:pPr>
              <w:jc w:val="center"/>
            </w:pPr>
            <w:r/>
            <w:r>
              <w:rPr>
                <w:rFonts w:ascii="Arial" w:hAnsi="Arial"/>
                <w:b w:val="0"/>
                <w:sz w:val="17"/>
              </w:rPr>
              <w:t>498.9</w:t>
            </w:r>
          </w:p>
        </w:tc>
        <w:tc>
          <w:tcPr>
            <w:tcW w:type="dxa" w:w="1656"/>
            <w:vAlign w:val="center"/>
            <w:shd w:fill="F4F7FA"/>
          </w:tcPr>
          <w:p>
            <w:pPr>
              <w:jc w:val="center"/>
            </w:pPr>
            <w:r/>
            <w:r>
              <w:rPr>
                <w:rFonts w:ascii="Arial" w:hAnsi="Arial"/>
                <w:b w:val="0"/>
                <w:sz w:val="17"/>
              </w:rPr>
              <w:t>499.5</w:t>
            </w:r>
          </w:p>
        </w:tc>
        <w:tc>
          <w:tcPr>
            <w:tcW w:type="dxa" w:w="1656"/>
            <w:vAlign w:val="center"/>
            <w:shd w:fill="F4F7FA"/>
          </w:tcPr>
          <w:p>
            <w:pPr>
              <w:jc w:val="center"/>
            </w:pPr>
            <w:r/>
            <w:r>
              <w:rPr>
                <w:rFonts w:ascii="Arial" w:hAnsi="Arial"/>
                <w:b w:val="0"/>
                <w:sz w:val="17"/>
              </w:rPr>
              <w:t>500.2</w:t>
            </w:r>
          </w:p>
        </w:tc>
      </w:tr>
      <w:tr>
        <w:tc>
          <w:tcPr>
            <w:tcW w:type="dxa" w:w="1656"/>
            <w:vAlign w:val="center"/>
          </w:tcPr>
          <w:p>
            <w:pPr>
              <w:jc w:val="center"/>
            </w:pPr>
            <w:r/>
            <w:r>
              <w:rPr>
                <w:rFonts w:ascii="Arial" w:hAnsi="Arial"/>
                <w:b w:val="0"/>
                <w:sz w:val="17"/>
              </w:rPr>
              <w:t>1,000</w:t>
            </w:r>
          </w:p>
        </w:tc>
        <w:tc>
          <w:tcPr>
            <w:tcW w:type="dxa" w:w="1656"/>
            <w:vAlign w:val="center"/>
          </w:tcPr>
          <w:p>
            <w:pPr>
              <w:jc w:val="center"/>
            </w:pPr>
            <w:r/>
            <w:r>
              <w:rPr>
                <w:rFonts w:ascii="Arial" w:hAnsi="Arial"/>
                <w:b w:val="0"/>
                <w:sz w:val="17"/>
              </w:rPr>
              <w:t>995.4</w:t>
            </w:r>
          </w:p>
        </w:tc>
        <w:tc>
          <w:tcPr>
            <w:tcW w:type="dxa" w:w="1656"/>
            <w:vAlign w:val="center"/>
          </w:tcPr>
          <w:p>
            <w:pPr>
              <w:jc w:val="center"/>
            </w:pPr>
            <w:r/>
            <w:r>
              <w:rPr>
                <w:rFonts w:ascii="Arial" w:hAnsi="Arial"/>
                <w:b w:val="0"/>
                <w:sz w:val="17"/>
              </w:rPr>
              <w:t>996.9</w:t>
            </w:r>
          </w:p>
        </w:tc>
        <w:tc>
          <w:tcPr>
            <w:tcW w:type="dxa" w:w="1656"/>
            <w:vAlign w:val="center"/>
          </w:tcPr>
          <w:p>
            <w:pPr>
              <w:jc w:val="center"/>
            </w:pPr>
            <w:r/>
            <w:r>
              <w:rPr>
                <w:rFonts w:ascii="Arial" w:hAnsi="Arial"/>
                <w:b w:val="0"/>
                <w:sz w:val="17"/>
              </w:rPr>
              <w:t>997.8</w:t>
            </w:r>
          </w:p>
        </w:tc>
        <w:tc>
          <w:tcPr>
            <w:tcW w:type="dxa" w:w="1656"/>
            <w:vAlign w:val="center"/>
          </w:tcPr>
          <w:p>
            <w:pPr>
              <w:jc w:val="center"/>
            </w:pPr>
            <w:r/>
            <w:r>
              <w:rPr>
                <w:rFonts w:ascii="Arial" w:hAnsi="Arial"/>
                <w:b w:val="0"/>
                <w:sz w:val="17"/>
              </w:rPr>
              <w:t>998.7</w:t>
            </w:r>
          </w:p>
        </w:tc>
        <w:tc>
          <w:tcPr>
            <w:tcW w:type="dxa" w:w="1656"/>
            <w:vAlign w:val="center"/>
          </w:tcPr>
          <w:p>
            <w:pPr>
              <w:jc w:val="center"/>
            </w:pPr>
            <w:r/>
            <w:r>
              <w:rPr>
                <w:rFonts w:ascii="Arial" w:hAnsi="Arial"/>
                <w:b w:val="0"/>
                <w:sz w:val="17"/>
              </w:rPr>
              <w:t>1000.2</w:t>
            </w:r>
          </w:p>
        </w:tc>
      </w:tr>
    </w:tbl>
    <w:p/>
    <w:p>
      <w:pPr>
        <w:pStyle w:val="Heading1"/>
      </w:pPr>
      <w:r>
        <w:t>Calculated statistics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center"/>
            <w:shd w:fill="1F4E78"/>
          </w:tcPr>
          <w:p>
            <w:pPr>
              <w:jc w:val="center"/>
            </w:pPr>
            <w:r>
              <w:rPr>
                <w:color w:val="FFFFFF"/>
              </w:rPr>
            </w:r>
            <w:r>
              <w:rPr>
                <w:rFonts w:ascii="Arial" w:hAnsi="Arial"/>
                <w:b/>
                <w:color w:val="FFFFFF"/>
                <w:sz w:val="17"/>
              </w:rPr>
              <w:t>Target (uL)</w:t>
            </w:r>
          </w:p>
        </w:tc>
        <w:tc>
          <w:tcPr>
            <w:tcW w:type="dxa" w:w="1656"/>
            <w:vAlign w:val="center"/>
            <w:shd w:fill="1F4E78"/>
          </w:tcPr>
          <w:p>
            <w:pPr>
              <w:jc w:val="center"/>
            </w:pPr>
            <w:r>
              <w:rPr>
                <w:color w:val="FFFFFF"/>
              </w:rPr>
            </w:r>
            <w:r>
              <w:rPr>
                <w:rFonts w:ascii="Arial" w:hAnsi="Arial"/>
                <w:b/>
                <w:color w:val="FFFFFF"/>
                <w:sz w:val="17"/>
              </w:rPr>
              <w:t>n</w:t>
            </w:r>
          </w:p>
        </w:tc>
        <w:tc>
          <w:tcPr>
            <w:tcW w:type="dxa" w:w="1656"/>
            <w:vAlign w:val="center"/>
            <w:shd w:fill="1F4E78"/>
          </w:tcPr>
          <w:p>
            <w:pPr>
              <w:jc w:val="center"/>
            </w:pPr>
            <w:r>
              <w:rPr>
                <w:color w:val="FFFFFF"/>
              </w:rPr>
            </w:r>
            <w:r>
              <w:rPr>
                <w:rFonts w:ascii="Arial" w:hAnsi="Arial"/>
                <w:b/>
                <w:color w:val="FFFFFF"/>
                <w:sz w:val="17"/>
              </w:rPr>
              <w:t>Mean mass (mg)</w:t>
            </w:r>
          </w:p>
        </w:tc>
        <w:tc>
          <w:tcPr>
            <w:tcW w:type="dxa" w:w="1656"/>
            <w:vAlign w:val="center"/>
            <w:shd w:fill="1F4E78"/>
          </w:tcPr>
          <w:p>
            <w:pPr>
              <w:jc w:val="center"/>
            </w:pPr>
            <w:r>
              <w:rPr>
                <w:color w:val="FFFFFF"/>
              </w:rPr>
            </w:r>
            <w:r>
              <w:rPr>
                <w:rFonts w:ascii="Arial" w:hAnsi="Arial"/>
                <w:b/>
                <w:color w:val="FFFFFF"/>
                <w:sz w:val="17"/>
              </w:rPr>
              <w:t>Sample SD (mg)</w:t>
            </w:r>
          </w:p>
        </w:tc>
        <w:tc>
          <w:tcPr>
            <w:tcW w:type="dxa" w:w="1656"/>
            <w:vAlign w:val="center"/>
            <w:shd w:fill="1F4E78"/>
          </w:tcPr>
          <w:p>
            <w:pPr>
              <w:jc w:val="center"/>
            </w:pPr>
            <w:r>
              <w:rPr>
                <w:color w:val="FFFFFF"/>
              </w:rPr>
            </w:r>
            <w:r>
              <w:rPr>
                <w:rFonts w:ascii="Arial" w:hAnsi="Arial"/>
                <w:b/>
                <w:color w:val="FFFFFF"/>
                <w:sz w:val="17"/>
              </w:rPr>
              <w:t>CV (%)</w:t>
            </w:r>
          </w:p>
        </w:tc>
        <w:tc>
          <w:tcPr>
            <w:tcW w:type="dxa" w:w="1656"/>
            <w:vAlign w:val="center"/>
            <w:shd w:fill="1F4E78"/>
          </w:tcPr>
          <w:p>
            <w:pPr>
              <w:jc w:val="center"/>
            </w:pPr>
            <w:r>
              <w:rPr>
                <w:color w:val="FFFFFF"/>
              </w:rPr>
            </w:r>
            <w:r>
              <w:rPr>
                <w:rFonts w:ascii="Arial" w:hAnsi="Arial"/>
                <w:b/>
                <w:color w:val="FFFFFF"/>
                <w:sz w:val="17"/>
              </w:rPr>
              <w:t>Mean volume (uL)</w:t>
            </w:r>
          </w:p>
        </w:tc>
      </w:tr>
      <w:tr>
        <w:tc>
          <w:tcPr>
            <w:tcW w:type="dxa" w:w="1656"/>
            <w:vAlign w:val="center"/>
          </w:tcPr>
          <w:p>
            <w:pPr>
              <w:jc w:val="center"/>
            </w:pPr>
            <w:r/>
            <w:r>
              <w:rPr>
                <w:rFonts w:ascii="Arial" w:hAnsi="Arial"/>
                <w:b w:val="0"/>
                <w:sz w:val="17"/>
              </w:rPr>
              <w:t>200</w:t>
            </w:r>
          </w:p>
        </w:tc>
        <w:tc>
          <w:tcPr>
            <w:tcW w:type="dxa" w:w="1656"/>
            <w:vAlign w:val="center"/>
          </w:tcPr>
          <w:p>
            <w:pPr>
              <w:jc w:val="center"/>
            </w:pPr>
            <w:r/>
            <w:r>
              <w:rPr>
                <w:rFonts w:ascii="Arial" w:hAnsi="Arial"/>
                <w:b w:val="0"/>
                <w:sz w:val="17"/>
              </w:rPr>
              <w:t>5</w:t>
            </w:r>
          </w:p>
        </w:tc>
        <w:tc>
          <w:tcPr>
            <w:tcW w:type="dxa" w:w="1656"/>
            <w:vAlign w:val="center"/>
          </w:tcPr>
          <w:p>
            <w:pPr>
              <w:jc w:val="center"/>
            </w:pPr>
            <w:r/>
            <w:r>
              <w:rPr>
                <w:rFonts w:ascii="Arial" w:hAnsi="Arial"/>
                <w:b w:val="0"/>
                <w:sz w:val="17"/>
              </w:rPr>
              <w:t>199.7</w:t>
            </w:r>
          </w:p>
        </w:tc>
        <w:tc>
          <w:tcPr>
            <w:tcW w:type="dxa" w:w="1656"/>
            <w:vAlign w:val="center"/>
          </w:tcPr>
          <w:p>
            <w:pPr>
              <w:jc w:val="center"/>
            </w:pPr>
            <w:r/>
            <w:r>
              <w:rPr>
                <w:rFonts w:ascii="Arial" w:hAnsi="Arial"/>
                <w:b w:val="0"/>
                <w:sz w:val="17"/>
              </w:rPr>
              <w:t>0.60</w:t>
            </w:r>
          </w:p>
        </w:tc>
        <w:tc>
          <w:tcPr>
            <w:tcW w:type="dxa" w:w="1656"/>
            <w:vAlign w:val="center"/>
          </w:tcPr>
          <w:p>
            <w:pPr>
              <w:jc w:val="center"/>
            </w:pPr>
            <w:r/>
            <w:r>
              <w:rPr>
                <w:rFonts w:ascii="Arial" w:hAnsi="Arial"/>
                <w:b w:val="0"/>
                <w:sz w:val="17"/>
              </w:rPr>
              <w:t>0.303</w:t>
            </w:r>
          </w:p>
        </w:tc>
        <w:tc>
          <w:tcPr>
            <w:tcW w:type="dxa" w:w="1656"/>
            <w:vAlign w:val="center"/>
          </w:tcPr>
          <w:p>
            <w:pPr>
              <w:jc w:val="center"/>
            </w:pPr>
            <w:r/>
            <w:r>
              <w:rPr>
                <w:rFonts w:ascii="Arial" w:hAnsi="Arial"/>
                <w:b w:val="0"/>
                <w:sz w:val="17"/>
              </w:rPr>
              <w:t>200.1</w:t>
            </w:r>
          </w:p>
        </w:tc>
      </w:tr>
      <w:tr>
        <w:tc>
          <w:tcPr>
            <w:tcW w:type="dxa" w:w="1656"/>
            <w:vAlign w:val="center"/>
            <w:shd w:fill="F4F7FA"/>
          </w:tcPr>
          <w:p>
            <w:pPr>
              <w:jc w:val="center"/>
            </w:pPr>
            <w:r/>
            <w:r>
              <w:rPr>
                <w:rFonts w:ascii="Arial" w:hAnsi="Arial"/>
                <w:b w:val="0"/>
                <w:sz w:val="17"/>
              </w:rPr>
              <w:t>500</w:t>
            </w:r>
          </w:p>
        </w:tc>
        <w:tc>
          <w:tcPr>
            <w:tcW w:type="dxa" w:w="1656"/>
            <w:vAlign w:val="center"/>
            <w:shd w:fill="F4F7FA"/>
          </w:tcPr>
          <w:p>
            <w:pPr>
              <w:jc w:val="center"/>
            </w:pPr>
            <w:r/>
            <w:r>
              <w:rPr>
                <w:rFonts w:ascii="Arial" w:hAnsi="Arial"/>
                <w:b w:val="0"/>
                <w:sz w:val="17"/>
              </w:rPr>
              <w:t>5</w:t>
            </w:r>
          </w:p>
        </w:tc>
        <w:tc>
          <w:tcPr>
            <w:tcW w:type="dxa" w:w="1656"/>
            <w:vAlign w:val="center"/>
            <w:shd w:fill="F4F7FA"/>
          </w:tcPr>
          <w:p>
            <w:pPr>
              <w:jc w:val="center"/>
            </w:pPr>
            <w:r/>
            <w:r>
              <w:rPr>
                <w:rFonts w:ascii="Arial" w:hAnsi="Arial"/>
                <w:b w:val="0"/>
                <w:sz w:val="17"/>
              </w:rPr>
              <w:t>498.9</w:t>
            </w:r>
          </w:p>
        </w:tc>
        <w:tc>
          <w:tcPr>
            <w:tcW w:type="dxa" w:w="1656"/>
            <w:vAlign w:val="center"/>
            <w:shd w:fill="F4F7FA"/>
          </w:tcPr>
          <w:p>
            <w:pPr>
              <w:jc w:val="center"/>
            </w:pPr>
            <w:r/>
            <w:r>
              <w:rPr>
                <w:rFonts w:ascii="Arial" w:hAnsi="Arial"/>
                <w:b w:val="0"/>
                <w:sz w:val="17"/>
              </w:rPr>
              <w:t>1.01</w:t>
            </w:r>
          </w:p>
        </w:tc>
        <w:tc>
          <w:tcPr>
            <w:tcW w:type="dxa" w:w="1656"/>
            <w:vAlign w:val="center"/>
            <w:shd w:fill="F4F7FA"/>
          </w:tcPr>
          <w:p>
            <w:pPr>
              <w:jc w:val="center"/>
            </w:pPr>
            <w:r/>
            <w:r>
              <w:rPr>
                <w:rFonts w:ascii="Arial" w:hAnsi="Arial"/>
                <w:b w:val="0"/>
                <w:sz w:val="17"/>
              </w:rPr>
              <w:t>0.203</w:t>
            </w:r>
          </w:p>
        </w:tc>
        <w:tc>
          <w:tcPr>
            <w:tcW w:type="dxa" w:w="1656"/>
            <w:vAlign w:val="center"/>
            <w:shd w:fill="F4F7FA"/>
          </w:tcPr>
          <w:p>
            <w:pPr>
              <w:jc w:val="center"/>
            </w:pPr>
            <w:r/>
            <w:r>
              <w:rPr>
                <w:rFonts w:ascii="Arial" w:hAnsi="Arial"/>
                <w:b w:val="0"/>
                <w:sz w:val="17"/>
              </w:rPr>
              <w:t>499.9</w:t>
            </w:r>
          </w:p>
        </w:tc>
      </w:tr>
      <w:tr>
        <w:tc>
          <w:tcPr>
            <w:tcW w:type="dxa" w:w="1656"/>
            <w:vAlign w:val="center"/>
          </w:tcPr>
          <w:p>
            <w:pPr>
              <w:jc w:val="center"/>
            </w:pPr>
            <w:r/>
            <w:r>
              <w:rPr>
                <w:rFonts w:ascii="Arial" w:hAnsi="Arial"/>
                <w:b w:val="0"/>
                <w:sz w:val="17"/>
              </w:rPr>
              <w:t>1,000</w:t>
            </w:r>
          </w:p>
        </w:tc>
        <w:tc>
          <w:tcPr>
            <w:tcW w:type="dxa" w:w="1656"/>
            <w:vAlign w:val="center"/>
          </w:tcPr>
          <w:p>
            <w:pPr>
              <w:jc w:val="center"/>
            </w:pPr>
            <w:r/>
            <w:r>
              <w:rPr>
                <w:rFonts w:ascii="Arial" w:hAnsi="Arial"/>
                <w:b w:val="0"/>
                <w:sz w:val="17"/>
              </w:rPr>
              <w:t>5</w:t>
            </w:r>
          </w:p>
        </w:tc>
        <w:tc>
          <w:tcPr>
            <w:tcW w:type="dxa" w:w="1656"/>
            <w:vAlign w:val="center"/>
          </w:tcPr>
          <w:p>
            <w:pPr>
              <w:jc w:val="center"/>
            </w:pPr>
            <w:r/>
            <w:r>
              <w:rPr>
                <w:rFonts w:ascii="Arial" w:hAnsi="Arial"/>
                <w:b w:val="0"/>
                <w:sz w:val="17"/>
              </w:rPr>
              <w:t>997.8</w:t>
            </w:r>
          </w:p>
        </w:tc>
        <w:tc>
          <w:tcPr>
            <w:tcW w:type="dxa" w:w="1656"/>
            <w:vAlign w:val="center"/>
          </w:tcPr>
          <w:p>
            <w:pPr>
              <w:jc w:val="center"/>
            </w:pPr>
            <w:r/>
            <w:r>
              <w:rPr>
                <w:rFonts w:ascii="Arial" w:hAnsi="Arial"/>
                <w:b w:val="0"/>
                <w:sz w:val="17"/>
              </w:rPr>
              <w:t>1.81</w:t>
            </w:r>
          </w:p>
        </w:tc>
        <w:tc>
          <w:tcPr>
            <w:tcW w:type="dxa" w:w="1656"/>
            <w:vAlign w:val="center"/>
          </w:tcPr>
          <w:p>
            <w:pPr>
              <w:jc w:val="center"/>
            </w:pPr>
            <w:r/>
            <w:r>
              <w:rPr>
                <w:rFonts w:ascii="Arial" w:hAnsi="Arial"/>
                <w:b w:val="0"/>
                <w:sz w:val="17"/>
              </w:rPr>
              <w:t>0.182</w:t>
            </w:r>
          </w:p>
        </w:tc>
        <w:tc>
          <w:tcPr>
            <w:tcW w:type="dxa" w:w="1656"/>
            <w:vAlign w:val="center"/>
          </w:tcPr>
          <w:p>
            <w:pPr>
              <w:jc w:val="center"/>
            </w:pPr>
            <w:r/>
            <w:r>
              <w:rPr>
                <w:rFonts w:ascii="Arial" w:hAnsi="Arial"/>
                <w:b w:val="0"/>
                <w:sz w:val="17"/>
              </w:rPr>
              <w:t>999.8</w:t>
            </w:r>
          </w:p>
        </w:tc>
      </w:tr>
    </w:tbl>
    <w:p/>
    <w:p>
      <w:r>
        <w:t>Calculations: mean = sum(mi)/n; sample SD = sqrt[sum((mi - mean)^2)/(n - 1)]; CV (%) = 100 x SD/mean; calculated volume = mean mass/0.998 mg/uL.</w:t>
      </w:r>
    </w:p>
    <w:p>
      <w:pPr>
        <w:jc w:val="center"/>
      </w:pPr>
      <w:r>
        <w:drawing>
          <wp:inline xmlns:a="http://schemas.openxmlformats.org/drawingml/2006/main" xmlns:pic="http://schemas.openxmlformats.org/drawingml/2006/picture">
            <wp:extent cx="6217920" cy="2779092"/>
            <wp:docPr id="1" name="Picture 1"/>
            <wp:cNvGraphicFramePr>
              <a:graphicFrameLocks noChangeAspect="1"/>
            </wp:cNvGraphicFramePr>
            <a:graphic>
              <a:graphicData uri="http://schemas.openxmlformats.org/drawingml/2006/picture">
                <pic:pic>
                  <pic:nvPicPr>
                    <pic:cNvPr id="0" name="gravimetric_repeatability_measured.png"/>
                    <pic:cNvPicPr/>
                  </pic:nvPicPr>
                  <pic:blipFill>
                    <a:blip r:embed="rId10"/>
                    <a:stretch>
                      <a:fillRect/>
                    </a:stretch>
                  </pic:blipFill>
                  <pic:spPr>
                    <a:xfrm>
                      <a:off x="0" y="0"/>
                      <a:ext cx="6217920" cy="2779092"/>
                    </a:xfrm>
                    <a:prstGeom prst="rect"/>
                  </pic:spPr>
                </pic:pic>
              </a:graphicData>
            </a:graphic>
          </wp:inline>
        </w:drawing>
      </w:r>
    </w:p>
    <w:p>
      <w:pPr>
        <w:jc w:val="center"/>
      </w:pPr>
      <w:r>
        <w:rPr>
          <w:i/>
        </w:rPr>
        <w:t>Figure X. Gravimetric validation of liquid dispensing at nominal volumes of 200, 500, and 1,000 uL. Points show calculated mean dispensed volume from five independent measurements, error bars show one sample standard deviation, and the dashed line represents ideal agreement with nominal volume.</w:t>
      </w:r>
    </w:p>
    <w:p>
      <w:pPr>
        <w:pStyle w:val="Heading1"/>
      </w:pPr>
      <w:r>
        <w:t>Methods information still required</w:t>
      </w:r>
    </w:p>
    <w:p>
      <w:pPr>
        <w:spacing w:before="80" w:after="160"/>
        <w:ind w:left="360" w:right="360"/>
        <w:shd w:fill="FFF2CC"/>
      </w:pPr>
      <w:r>
        <w:rPr>
          <w:b/>
        </w:rPr>
        <w:t>INSERT BEFORE SUBMISSION: balance manufacturer/model, readability, calibration status, water temperature, and relevant environmental conditions. Confirm that 0.998 mg/uL is the appropriate water density for the recorded temperature.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