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Author Note 5</w:t>
      </w:r>
    </w:p>
    <w:p>
      <w:pPr>
        <w:jc w:val="center"/>
      </w:pPr>
      <w:r>
        <w:rPr>
          <w:i/>
          <w:color w:val="595959"/>
        </w:rPr>
        <w:t>Reviewer-accessible WebGL binary and controlled CEID/hardware access</w:t>
      </w:r>
    </w:p>
    <w:p/>
    <w:p>
      <w:pPr>
        <w:pStyle w:val="Heading1"/>
      </w:pPr>
      <w:r>
        <w:t>Replacement text after deployment</w:t>
      </w:r>
    </w:p>
    <w:p>
      <w:r>
        <w:t>A reviewer-accessible binary of the digital twin is available as a browser-based WebGL build at [REVIEWER URL]. No installation is required. Reviewers can open the URL in a WebGL-compatible desktop browser and use [ACCESS CODE, IF APPLICABLE]. The demonstration includes the digital-twin interface and a representative closed-loop workflow but does not provide unrestricted access to the proprietary CEID service or physical robotic hardware. Requests for supervised access to those components may be directed to [CONTACT EMAIL].</w:t>
      </w:r>
    </w:p>
    <w:p>
      <w:pPr>
        <w:spacing w:before="80" w:after="160"/>
        <w:ind w:left="360" w:right="360"/>
        <w:shd w:fill="FFF2CC"/>
      </w:pPr>
      <w:r>
        <w:rPr>
          <w:b/>
        </w:rPr>
        <w:t>STATUS: PENDING. Do not replace the manuscript's author note with the paragraph above until the WebGL URL has been deployed and independently tested.</w:t>
      </w:r>
    </w:p>
    <w:p>
      <w:pPr>
        <w:pStyle w:val="Heading1"/>
      </w:pPr>
      <w:r>
        <w:t>Reviewer access checklist</w:t>
      </w:r>
    </w:p>
    <w:p>
      <w:pPr>
        <w:pStyle w:val="ListBullet"/>
      </w:pPr>
      <w:r>
        <w:t>Build the Unity project for WebGL using the manuscript release commit.</w:t>
      </w:r>
    </w:p>
    <w:p>
      <w:pPr>
        <w:pStyle w:val="ListBullet"/>
      </w:pPr>
      <w:r>
        <w:t>Deploy the build to a stable HTTPS endpoint.</w:t>
      </w:r>
    </w:p>
    <w:p>
      <w:pPr>
        <w:pStyle w:val="ListBullet"/>
      </w:pPr>
      <w:r>
        <w:t>Open the link in a clean browser session on a second computer.</w:t>
      </w:r>
    </w:p>
    <w:p>
      <w:pPr>
        <w:pStyle w:val="ListBullet"/>
      </w:pPr>
      <w:r>
        <w:t>Verify scene loading, navigation, objective entry, control-panel actions, and representative workflow playback.</w:t>
      </w:r>
    </w:p>
    <w:p>
      <w:pPr>
        <w:pStyle w:val="ListBullet"/>
      </w:pPr>
      <w:r>
        <w:t>Confirm that no API secret, LiveKit secret, or permanent participant token is embedded in the build.</w:t>
      </w:r>
    </w:p>
    <w:p>
      <w:pPr>
        <w:pStyle w:val="ListBullet"/>
      </w:pPr>
      <w:r>
        <w:t>Create short reviewer instructions and an access code if authentication is enabled.</w:t>
      </w:r>
    </w:p>
    <w:p>
      <w:pPr>
        <w:pStyle w:val="ListBullet"/>
      </w:pPr>
      <w:r>
        <w:t>Record the tested URL, release version, test date, and support contact.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