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Author Note 1</w:t>
      </w:r>
    </w:p>
    <w:p>
      <w:pPr>
        <w:jc w:val="center"/>
      </w:pPr>
      <w:r>
        <w:rPr>
          <w:i/>
          <w:color w:val="595959"/>
        </w:rPr>
        <w:t>CEID algorithmic description, convergence, quantitative results, and supplementary pseudocode</w:t>
      </w:r>
    </w:p>
    <w:p/>
    <w:p>
      <w:pPr>
        <w:pStyle w:val="Heading1"/>
      </w:pPr>
      <w:r>
        <w:t>Replacement text</w:t>
      </w:r>
    </w:p>
    <w:p>
      <w:r>
        <w:t>CEID was implemented as a constrained, closed-loop optimisation engine for autonomous colour formulation. A candidate formulation was represented by x = (vR, vY, vB, vW), where the variables are discrete transfer units of red, yellow, blue, and water. Each variable was restricted to an integer from 1 to 5, each unit represented 100 uL, and the total formulation was constrained by vR + vY + vB + vW &lt;= 13, corresponding to a maximum mixture volume of 1,300 uL.</w:t>
      </w:r>
    </w:p>
    <w:p>
      <w:r>
        <w:t>The experimentally captured target was prepared in well A1 using four red units, three yellow units, four blue units, and two water units. Its calibrated RGB response was R = 18, G = 20, and B = 11. Optimisation used the normalized eight-channel AS7341 spectrum rather than RGB alone.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rPr>
          <w:tblHeader w:val="true"/>
        </w:trPr>
        <w:tc>
          <w:tcPr>
            <w:tcW w:type="dxa" w:w="1104"/>
            <w:vAlign w:val="center"/>
            <w:shd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Wavelength (nm)</w:t>
            </w:r>
          </w:p>
        </w:tc>
        <w:tc>
          <w:tcPr>
            <w:tcW w:type="dxa" w:w="1104"/>
            <w:vAlign w:val="center"/>
            <w:shd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415</w:t>
            </w:r>
          </w:p>
        </w:tc>
        <w:tc>
          <w:tcPr>
            <w:tcW w:type="dxa" w:w="1104"/>
            <w:vAlign w:val="center"/>
            <w:shd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445</w:t>
            </w:r>
          </w:p>
        </w:tc>
        <w:tc>
          <w:tcPr>
            <w:tcW w:type="dxa" w:w="1104"/>
            <w:vAlign w:val="center"/>
            <w:shd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480</w:t>
            </w:r>
          </w:p>
        </w:tc>
        <w:tc>
          <w:tcPr>
            <w:tcW w:type="dxa" w:w="1104"/>
            <w:vAlign w:val="center"/>
            <w:shd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515</w:t>
            </w:r>
          </w:p>
        </w:tc>
        <w:tc>
          <w:tcPr>
            <w:tcW w:type="dxa" w:w="1104"/>
            <w:vAlign w:val="center"/>
            <w:shd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555</w:t>
            </w:r>
          </w:p>
        </w:tc>
        <w:tc>
          <w:tcPr>
            <w:tcW w:type="dxa" w:w="1104"/>
            <w:vAlign w:val="center"/>
            <w:shd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590</w:t>
            </w:r>
          </w:p>
        </w:tc>
        <w:tc>
          <w:tcPr>
            <w:tcW w:type="dxa" w:w="1104"/>
            <w:vAlign w:val="center"/>
            <w:shd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630</w:t>
            </w:r>
          </w:p>
        </w:tc>
        <w:tc>
          <w:tcPr>
            <w:tcW w:type="dxa" w:w="1104"/>
            <w:vAlign w:val="center"/>
            <w:shd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680</w:t>
            </w:r>
          </w:p>
        </w:tc>
      </w:tr>
      <w:tr>
        <w:tc>
          <w:tcPr>
            <w:tcW w:type="dxa" w:w="110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Normalized target</w:t>
            </w:r>
          </w:p>
        </w:tc>
        <w:tc>
          <w:tcPr>
            <w:tcW w:type="dxa" w:w="110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0.039722</w:t>
            </w:r>
          </w:p>
        </w:tc>
        <w:tc>
          <w:tcPr>
            <w:tcW w:type="dxa" w:w="110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0.319000</w:t>
            </w:r>
          </w:p>
        </w:tc>
        <w:tc>
          <w:tcPr>
            <w:tcW w:type="dxa" w:w="110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0.211944</w:t>
            </w:r>
          </w:p>
        </w:tc>
        <w:tc>
          <w:tcPr>
            <w:tcW w:type="dxa" w:w="110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0.242250</w:t>
            </w:r>
          </w:p>
        </w:tc>
        <w:tc>
          <w:tcPr>
            <w:tcW w:type="dxa" w:w="110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0.324583</w:t>
            </w:r>
          </w:p>
        </w:tc>
        <w:tc>
          <w:tcPr>
            <w:tcW w:type="dxa" w:w="110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0.391861</w:t>
            </w:r>
          </w:p>
        </w:tc>
        <w:tc>
          <w:tcPr>
            <w:tcW w:type="dxa" w:w="110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0.356694</w:t>
            </w:r>
          </w:p>
        </w:tc>
        <w:tc>
          <w:tcPr>
            <w:tcW w:type="dxa" w:w="110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0.182056</w:t>
            </w:r>
          </w:p>
        </w:tc>
      </w:tr>
    </w:tbl>
    <w:p/>
    <w:p>
      <w:r>
        <w:t>For each candidate x, the robotic platform prepared the formulation, collected and normalized the AS7341 spectrum, and represented it as Px = {(lambda_i, s_i(x))}. The scalar objective was f(x) = dF(Px, P*), the discrete Frechet distance between the measured and target spectral curves. The recurrence used was c(i,j) = max[d(pi,qj), min{c(i-1,j), c(i-1,j-1), c(i,j-1)}], with conventional boundary conditions. Smaller values indicate closer spectral agreement.</w:t>
      </w:r>
    </w:p>
    <w:p>
      <w:r>
        <w:t>The search began with eight space-filling initial formulations. CEID then updated a probabilistic surrogate from completed experiments and selected 16 additional feasible formulations using a model-based acquisition policy. Experiments were executed in batches of four for a fixed budget of 24 physical experiments.</w:t>
      </w:r>
    </w:p>
    <w:p>
      <w:r>
        <w:t>The production configuration did not implement numerical early stopping. Its operational stopping criterion was completion of the 24-experiment budget. The final incumbent was first discovered at trial 16. The best-so-far distance first fell below 0.03 at trial 14 and below 0.02 at trial 16; the remaining eight experiments did not improve the incumbent.</w:t>
      </w:r>
    </w:p>
    <w:p>
      <w:pPr>
        <w:pStyle w:val="Heading1"/>
      </w:pPr>
      <w:r>
        <w:t>Closed-loop result</w:t>
      </w:r>
    </w:p>
    <w:p>
      <w:r>
        <w:t>CEID obtained its final best formulation at trial 16: five red units, one yellow unit, five blue units, and two water units, corresponding to 500, 100, 500, and 200 uL. A confirmatory remeasurement produced the corrected Frechet distance of 0.014524. The result export records the original trial-16 value as 0.022929 and identifies 0.014524 as the corrected remeasurement value. The formulation remained the incumbent through trial 24.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 w:val="true"/>
        </w:trPr>
        <w:tc>
          <w:tcPr>
            <w:tcW w:type="dxa" w:w="1419"/>
            <w:vAlign w:val="center"/>
            <w:shd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Trial</w:t>
            </w:r>
          </w:p>
        </w:tc>
        <w:tc>
          <w:tcPr>
            <w:tcW w:type="dxa" w:w="1419"/>
            <w:vAlign w:val="center"/>
            <w:shd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Red</w:t>
            </w:r>
          </w:p>
        </w:tc>
        <w:tc>
          <w:tcPr>
            <w:tcW w:type="dxa" w:w="1419"/>
            <w:vAlign w:val="center"/>
            <w:shd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Yellow</w:t>
            </w:r>
          </w:p>
        </w:tc>
        <w:tc>
          <w:tcPr>
            <w:tcW w:type="dxa" w:w="1419"/>
            <w:vAlign w:val="center"/>
            <w:shd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Blue</w:t>
            </w:r>
          </w:p>
        </w:tc>
        <w:tc>
          <w:tcPr>
            <w:tcW w:type="dxa" w:w="1419"/>
            <w:vAlign w:val="center"/>
            <w:shd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Water</w:t>
            </w:r>
          </w:p>
        </w:tc>
        <w:tc>
          <w:tcPr>
            <w:tcW w:type="dxa" w:w="1419"/>
            <w:vAlign w:val="center"/>
            <w:shd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Frechet error</w:t>
            </w:r>
          </w:p>
        </w:tc>
        <w:tc>
          <w:tcPr>
            <w:tcW w:type="dxa" w:w="1419"/>
            <w:vAlign w:val="center"/>
            <w:shd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Best so far</w:t>
            </w:r>
          </w:p>
        </w:tc>
      </w:tr>
      <w:tr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0.032444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0.032444</w:t>
            </w:r>
          </w:p>
        </w:tc>
      </w:tr>
      <w:tr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0.036194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0.032444</w:t>
            </w:r>
          </w:p>
        </w:tc>
      </w:tr>
      <w:tr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0.118472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0.032444</w:t>
            </w:r>
          </w:p>
        </w:tc>
      </w:tr>
      <w:tr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0.039752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0.032444</w:t>
            </w:r>
          </w:p>
        </w:tc>
      </w:tr>
      <w:tr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0.082611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0.032444</w:t>
            </w:r>
          </w:p>
        </w:tc>
      </w:tr>
      <w:tr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0.133833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0.032444</w:t>
            </w:r>
          </w:p>
        </w:tc>
      </w:tr>
      <w:tr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0.098694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0.032444</w:t>
            </w:r>
          </w:p>
        </w:tc>
      </w:tr>
      <w:tr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0.087194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0.032444</w:t>
            </w:r>
          </w:p>
        </w:tc>
      </w:tr>
      <w:tr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0.035667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0.032444</w:t>
            </w:r>
          </w:p>
        </w:tc>
      </w:tr>
      <w:tr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0.134722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0.032444</w:t>
            </w:r>
          </w:p>
        </w:tc>
      </w:tr>
      <w:tr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0.141047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0.032444</w:t>
            </w:r>
          </w:p>
        </w:tc>
      </w:tr>
      <w:tr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0.091167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0.032444</w:t>
            </w:r>
          </w:p>
        </w:tc>
      </w:tr>
      <w:tr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0.063194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0.032444</w:t>
            </w:r>
          </w:p>
        </w:tc>
      </w:tr>
      <w:tr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0.024472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0.024472</w:t>
            </w:r>
          </w:p>
        </w:tc>
      </w:tr>
      <w:tr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0.042500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0.024472</w:t>
            </w:r>
          </w:p>
        </w:tc>
      </w:tr>
      <w:tr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0.014524*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0.014524</w:t>
            </w:r>
          </w:p>
        </w:tc>
      </w:tr>
      <w:tr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17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0.069000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0.014524</w:t>
            </w:r>
          </w:p>
        </w:tc>
      </w:tr>
      <w:tr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0.036639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0.014524</w:t>
            </w:r>
          </w:p>
        </w:tc>
      </w:tr>
      <w:tr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19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0.092278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0.014524</w:t>
            </w:r>
          </w:p>
        </w:tc>
      </w:tr>
      <w:tr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20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0.067767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0.014524</w:t>
            </w:r>
          </w:p>
        </w:tc>
      </w:tr>
      <w:tr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21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0.075472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0.014524</w:t>
            </w:r>
          </w:p>
        </w:tc>
      </w:tr>
      <w:tr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22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0.048917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0.014524</w:t>
            </w:r>
          </w:p>
        </w:tc>
      </w:tr>
      <w:tr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23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0.055549</w:t>
            </w:r>
          </w:p>
        </w:tc>
        <w:tc>
          <w:tcPr>
            <w:tcW w:type="dxa" w:w="141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0.014524</w:t>
            </w:r>
          </w:p>
        </w:tc>
      </w:tr>
      <w:tr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0.153694</w:t>
            </w:r>
          </w:p>
        </w:tc>
        <w:tc>
          <w:tcPr>
            <w:tcW w:type="dxa" w:w="1419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0.014524</w:t>
            </w:r>
          </w:p>
        </w:tc>
      </w:tr>
    </w:tbl>
    <w:p/>
    <w:p>
      <w:r>
        <w:t>* Corrected value from confirmatory remeasurement; original exported value = 0.022929.</w:t>
      </w:r>
    </w:p>
    <w:p>
      <w:r>
        <w:t>Under the same reporting framework, the best physical distances were 0.017236 for deterministic grid search, 0.059319 for random search, 0.045000 for the strict-blind language-model-guided run, and 0.017375 for the resumed language-model-guided run. The resumed run contained 18 historical observations and six new physical experiments and must not be interpreted as an independent 24-experiment comparison.</w:t>
      </w:r>
    </w:p>
    <w:p>
      <w:pPr>
        <w:pStyle w:val="Heading1"/>
      </w:pPr>
      <w:r>
        <w:t>Supplementary pseudocode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Algorithm S1: CEID closed-loop spectral optimisation</w:t>
            </w:r>
            <w:r>
              <w:br/>
            </w:r>
            <w:r>
              <w:rPr>
                <w:rFonts w:ascii="Consolas" w:hAnsi="Consolas"/>
                <w:sz w:val="17"/>
              </w:rPr>
              <w:t>Input: target spectrum S*, feasible space X, N0 = 8, N = 24</w:t>
            </w:r>
            <w:r>
              <w:br/>
            </w:r>
            <w:r>
              <w:rPr>
                <w:rFonts w:ascii="Consolas" w:hAnsi="Consolas"/>
                <w:sz w:val="17"/>
              </w:rPr>
              <w:t>1. Generate N0 feasible space-filling formulations X0.</w:t>
            </w:r>
            <w:r>
              <w:br/>
            </w:r>
            <w:r>
              <w:rPr>
                <w:rFonts w:ascii="Consolas" w:hAnsi="Consolas"/>
                <w:sz w:val="17"/>
              </w:rPr>
              <w:t>2. Set experimental dataset D to empty.</w:t>
            </w:r>
            <w:r>
              <w:br/>
            </w:r>
            <w:r>
              <w:rPr>
                <w:rFonts w:ascii="Consolas" w:hAnsi="Consolas"/>
                <w:sz w:val="17"/>
              </w:rPr>
              <w:t>3. For each x in X0: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Prepare x; measure and normalize S(x).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y &lt;- discrete_frechet(S(x), S*).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Append (x, y) to D.</w:t>
            </w:r>
            <w:r>
              <w:br/>
            </w:r>
            <w:r>
              <w:rPr>
                <w:rFonts w:ascii="Consolas" w:hAnsi="Consolas"/>
                <w:sz w:val="17"/>
              </w:rPr>
              <w:t>4. While number_of_physical_experiments(D) &lt; N: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Fit or update the CEID probabilistic surrogate using D.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Score feasible unevaluated formulations with the acquisition policy.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Select the next constrained batch.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For each selected x: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Prepare x; measure and normalize S(x).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y &lt;- discrete_frechet(S(x), S*).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Append (x, y) to D.</w:t>
            </w:r>
            <w:r>
              <w:br/>
            </w:r>
            <w:r>
              <w:rPr>
                <w:rFonts w:ascii="Consolas" w:hAnsi="Consolas"/>
                <w:sz w:val="17"/>
              </w:rPr>
              <w:t>5. Return x_best = argmin(D.y), f_best = min(D.y), and D.</w:t>
            </w:r>
          </w:p>
        </w:tc>
      </w:tr>
    </w:tbl>
    <w:p/>
    <w:p>
      <w:r>
        <w:rPr>
          <w:b/>
        </w:rPr>
        <w:t xml:space="preserve">Reviewer binary: </w:t>
      </w:r>
      <w:r>
        <w:t>The reviewer-accessible WebGL binary and access statement are provided in Author Note 5.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