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Author Note 3</w:t>
      </w:r>
    </w:p>
    <w:p>
      <w:pPr>
        <w:jc w:val="center"/>
      </w:pPr>
      <w:r>
        <w:rPr>
          <w:i/>
          <w:color w:val="595959"/>
        </w:rPr>
        <w:t>Related patents and patent applications</w:t>
      </w:r>
    </w:p>
    <w:p/>
    <w:p>
      <w:pPr>
        <w:pStyle w:val="Heading1"/>
      </w:pPr>
      <w:r>
        <w:t>Replacement text</w:t>
      </w:r>
    </w:p>
    <w:p>
      <w:r>
        <w:rPr>
          <w:b/>
        </w:rPr>
        <w:t>The authors declare that there are no patents or patent applications related to the work reported in this manuscript.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