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D752C8" w14:textId="77777777" w:rsidR="00832F2F" w:rsidRDefault="00000000" w:rsidP="000C5590">
      <w:pPr>
        <w:spacing w:line="480" w:lineRule="auto"/>
        <w:jc w:val="center"/>
      </w:pPr>
      <w:r>
        <w:rPr>
          <w:b/>
        </w:rPr>
        <w:t>Agentic AI and Pattern Recognition for Healthcare Claim Review</w:t>
      </w:r>
    </w:p>
    <w:p w14:paraId="098FA44B" w14:textId="77777777" w:rsidR="00832F2F" w:rsidRDefault="00000000" w:rsidP="000C5590">
      <w:pPr>
        <w:spacing w:line="480" w:lineRule="auto"/>
        <w:jc w:val="center"/>
      </w:pPr>
      <w:r>
        <w:t>Cotiviti Intern Assessment – Topic 2</w:t>
      </w:r>
    </w:p>
    <w:p w14:paraId="4DCF2DA2" w14:textId="2016745F" w:rsidR="000C5590" w:rsidRPr="000C5590" w:rsidRDefault="00000000" w:rsidP="000C5590">
      <w:pPr>
        <w:spacing w:before="120" w:line="480" w:lineRule="auto"/>
        <w:rPr>
          <w:b/>
        </w:rPr>
      </w:pPr>
      <w:r>
        <w:rPr>
          <w:b/>
        </w:rPr>
        <w:t>Concept and Strategic Relevance</w:t>
      </w:r>
    </w:p>
    <w:p w14:paraId="687C3437" w14:textId="77777777" w:rsidR="00832F2F" w:rsidRDefault="00000000" w:rsidP="000C5590">
      <w:pPr>
        <w:spacing w:line="480" w:lineRule="auto"/>
        <w:ind w:firstLine="720"/>
      </w:pPr>
      <w:r>
        <w:t>Healthcare claim review requires payers to evaluate large volumes of claims against medical records, payment policies, coding requirements, and billing patterns. Agentic artificial intelligence (AI) can support this work by coordinating specialized AI capabilities that retrieve relevant information, identify patterns, verify evidence, and organize findings for human review. The goal is not autonomous denial or medical-necessity determination; it is to reduce manual evidence gathering and improve the consistency and explainability of reviewer decisions. This direction is relevant to Cotiviti because its Payment Accuracy portfolio already includes claim-pattern review, clinical chart validation, coding validation, payment policy management, and other prepay and postpay capabilities that combine analytics, AI, deterministic rules, and human expertise (Cotiviti, n.d.-a; Cotiviti, n.d.-b).</w:t>
      </w:r>
    </w:p>
    <w:p w14:paraId="7FEC172A" w14:textId="77777777" w:rsidR="00832F2F" w:rsidRDefault="00000000" w:rsidP="000C5590">
      <w:pPr>
        <w:spacing w:before="120" w:line="480" w:lineRule="auto"/>
      </w:pPr>
      <w:r>
        <w:rPr>
          <w:b/>
        </w:rPr>
        <w:t>Relevant Trends</w:t>
      </w:r>
    </w:p>
    <w:p w14:paraId="1F41A9C2" w14:textId="77777777" w:rsidR="00832F2F" w:rsidRDefault="00000000" w:rsidP="000C5590">
      <w:pPr>
        <w:spacing w:line="480" w:lineRule="auto"/>
        <w:ind w:firstLine="720"/>
      </w:pPr>
      <w:r>
        <w:t xml:space="preserve">The financial importance of accurate, well-supported payment decisions remains substantial. CMS reported an estimated $28.83 billion in Medicare Fee-for-Service improper payments and $23.67 billion in Medicare Advantage improper payments for fiscal year 2025. CMS also noted that many improper payments occur when documentation is missing, insufficient, or does not substantiate payment requirements (Centers for Medicare &amp; Medicaid Services [CMS], 2026). At the same time, payment-integrity programs are expanding beyond static rules toward machine learning, natural language processing, and AI-assisted review. Cotiviti already uses machine learning to prioritize clinical charts and uses AI and deterministic rules to identify payment and fraud, waste, and abuse patterns, while retaining deeper human </w:t>
      </w:r>
      <w:r>
        <w:lastRenderedPageBreak/>
        <w:t>analysis (Cotiviti, n.d.-a; Cotiviti, n.d.-c). Agentic AI extends this trend by coordinating multiple bounded tasks across structured claims, unstructured records, policies, and coding guidance.</w:t>
      </w:r>
    </w:p>
    <w:p w14:paraId="1DAB17EC" w14:textId="326E2A3C" w:rsidR="000C5590" w:rsidRPr="000C5590" w:rsidRDefault="00000000" w:rsidP="000C5590">
      <w:pPr>
        <w:spacing w:before="120" w:line="480" w:lineRule="auto"/>
        <w:rPr>
          <w:b/>
        </w:rPr>
      </w:pPr>
      <w:r>
        <w:rPr>
          <w:b/>
        </w:rPr>
        <w:t>Opportunities and Threats</w:t>
      </w:r>
    </w:p>
    <w:p w14:paraId="4C6C7095" w14:textId="77777777" w:rsidR="00832F2F" w:rsidRDefault="00000000" w:rsidP="000C5590">
      <w:pPr>
        <w:spacing w:line="480" w:lineRule="auto"/>
        <w:ind w:firstLine="720"/>
      </w:pPr>
      <w:r>
        <w:t>For Cotiviti, the primary opportunity is reviewer productivity. An agentic workflow could gather the claim facts, relevant documentation, payer or coding guidance, and supporting evidence before a specialist performs the final assessment. A second opportunity is stronger traceability: reviewers should be able to move from an AI-generated finding directly to the source document or guidance that supports it. This can improve quality assurance, auditability, and confidence during provider inquiries or appeals. A third opportunity is better investigation of patterns already identified by analytics, because AI can help connect a flagged billing pattern with claim-level documentation and evidence.</w:t>
      </w:r>
    </w:p>
    <w:p w14:paraId="7727DEB7" w14:textId="77777777" w:rsidR="00832F2F" w:rsidRDefault="00000000" w:rsidP="000C5590">
      <w:pPr>
        <w:spacing w:line="480" w:lineRule="auto"/>
        <w:ind w:firstLine="720"/>
      </w:pPr>
      <w:r>
        <w:t>The threats are equally important. Generative AI can hallucinate facts, misinterpret policies, overstate weak evidence, or become overly influential in reimbursement decisions. Healthcare data also creates privacy and cybersecurity concerns, while model drift or bias can reduce reliability over time. NIST's Generative AI Profile recommends risk management across the AI lifecycle, including evaluation, monitoring, transparency, and human oversight (Autio et al., 2024). Cotiviti's responsible-AI approach similarly keeps expert reviewers responsible for decisions and states that AI should support rather than replace human expertise (Cotiviti, n.d.-b).</w:t>
      </w:r>
    </w:p>
    <w:p w14:paraId="4F980379" w14:textId="77777777" w:rsidR="00832F2F" w:rsidRDefault="00000000" w:rsidP="000C5590">
      <w:pPr>
        <w:spacing w:before="120" w:line="480" w:lineRule="auto"/>
      </w:pPr>
      <w:r>
        <w:rPr>
          <w:b/>
        </w:rPr>
        <w:t>Recommended Strategic Options for Cotiviti</w:t>
      </w:r>
    </w:p>
    <w:p w14:paraId="15CA0F81" w14:textId="77777777" w:rsidR="00832F2F" w:rsidRDefault="00000000" w:rsidP="000C5590">
      <w:pPr>
        <w:spacing w:line="480" w:lineRule="auto"/>
        <w:ind w:firstLine="720"/>
      </w:pPr>
      <w:r>
        <w:t xml:space="preserve">Cotiviti should explore agentic AI as an augmentation layer within selected payment-integrity workflows. The initial focus should be a narrow, documentation-intensive claim category in which reviewers routinely compare claim information with clinical records and policy requirements. The system should perform bounded tasks such as retrieving approved guidance, identifying relevant claim facts, locating supporting or missing documentation, and </w:t>
      </w:r>
      <w:r>
        <w:lastRenderedPageBreak/>
        <w:t>producing an evidence-linked advisory summary for a qualified human reviewer. Cotiviti should also pair the workflow with a governance and evaluation layer that checks outputs against source data, records audit trails, protects sensitive information, and monitors model quality. A controlled pilot can be measured using reviewer time saved, agreement with expert reviewers, unsupported-finding rate, false-positive rate, evidence-traceability accuracy, and measurable payment-integrity value.</w:t>
      </w:r>
    </w:p>
    <w:p w14:paraId="03C1737A" w14:textId="77777777" w:rsidR="00832F2F" w:rsidRDefault="00000000" w:rsidP="000C5590">
      <w:pPr>
        <w:spacing w:before="120" w:line="480" w:lineRule="auto"/>
      </w:pPr>
      <w:r>
        <w:rPr>
          <w:b/>
        </w:rPr>
        <w:t>Strategic Position</w:t>
      </w:r>
    </w:p>
    <w:p w14:paraId="2F77B7DC" w14:textId="77777777" w:rsidR="00832F2F" w:rsidRDefault="00000000" w:rsidP="000C5590">
      <w:pPr>
        <w:spacing w:line="480" w:lineRule="auto"/>
        <w:ind w:firstLine="720"/>
      </w:pPr>
      <w:r>
        <w:t>Cotiviti should view agentic AI as an extension of its existing strengths in payment accuracy, analytics, clinical review, pattern detection, and responsible AI. The strategic value is not simply another AI model; it is the ability to coordinate data, policies, evidence, analytics, and human expertise into a more efficient and explainable review process. The CRIP proof of concept demonstrates this direction through a multi-agent claim-review workflow that retrieves guidance, identifies claim findings, verifies evidence, applies objective validation checks, links reviewers to source documents, and keeps the final determination with a human. If a controlled pilot demonstrates measurable improvement, Cotiviti could extend the approach to additional claim categories without compromising reviewer accountability.</w:t>
      </w:r>
    </w:p>
    <w:p w14:paraId="1ED530AA" w14:textId="77777777" w:rsidR="00832F2F" w:rsidRDefault="00000000" w:rsidP="000C5590">
      <w:pPr>
        <w:spacing w:line="480" w:lineRule="auto"/>
      </w:pPr>
      <w:r>
        <w:br w:type="page"/>
      </w:r>
    </w:p>
    <w:p w14:paraId="73B8B702" w14:textId="77777777" w:rsidR="00832F2F" w:rsidRDefault="00000000">
      <w:pPr>
        <w:jc w:val="center"/>
        <w:rPr>
          <w:b/>
        </w:rPr>
      </w:pPr>
      <w:r>
        <w:rPr>
          <w:b/>
        </w:rPr>
        <w:lastRenderedPageBreak/>
        <w:t>References</w:t>
      </w:r>
    </w:p>
    <w:p w14:paraId="0E7BF4FF" w14:textId="77777777" w:rsidR="000C5590" w:rsidRDefault="000C5590">
      <w:pPr>
        <w:jc w:val="center"/>
      </w:pPr>
    </w:p>
    <w:p w14:paraId="1051ABFC" w14:textId="77777777" w:rsidR="00832F2F" w:rsidRDefault="00000000" w:rsidP="000C5590">
      <w:pPr>
        <w:spacing w:line="480" w:lineRule="auto"/>
        <w:ind w:left="720" w:hanging="720"/>
      </w:pPr>
      <w:r>
        <w:t xml:space="preserve">Autio, C., Schwartz, R., Dunietz, J., Jain, S., Stanley, M., Tabassi, E., Hall, P., &amp; Roberts, K. (2024). Artificial intelligence risk management framework: Generative artificial intelligence profile (NIST AI 600-1). National Institute of Standards and Technology. </w:t>
      </w:r>
      <w:hyperlink r:id="rId8">
        <w:r>
          <w:rPr>
            <w:color w:val="0563C1"/>
            <w:u w:val="single"/>
          </w:rPr>
          <w:t>https://doi.org/10.6028/NIST.A</w:t>
        </w:r>
        <w:r>
          <w:rPr>
            <w:color w:val="0563C1"/>
            <w:u w:val="single"/>
          </w:rPr>
          <w:t>I</w:t>
        </w:r>
        <w:r>
          <w:rPr>
            <w:color w:val="0563C1"/>
            <w:u w:val="single"/>
          </w:rPr>
          <w:t>.600-1</w:t>
        </w:r>
      </w:hyperlink>
    </w:p>
    <w:p w14:paraId="283F9760" w14:textId="77777777" w:rsidR="00832F2F" w:rsidRDefault="00000000" w:rsidP="000C5590">
      <w:pPr>
        <w:spacing w:line="480" w:lineRule="auto"/>
        <w:ind w:left="720" w:hanging="720"/>
      </w:pPr>
      <w:r>
        <w:t xml:space="preserve">Centers for Medicare &amp; Medicaid Services. (2026, January 15). Fiscal year 2025 improper payments fact sheet. </w:t>
      </w:r>
      <w:hyperlink r:id="rId9">
        <w:r>
          <w:rPr>
            <w:color w:val="0563C1"/>
            <w:u w:val="single"/>
          </w:rPr>
          <w:t>https://www.cm</w:t>
        </w:r>
        <w:r>
          <w:rPr>
            <w:color w:val="0563C1"/>
            <w:u w:val="single"/>
          </w:rPr>
          <w:t>s</w:t>
        </w:r>
        <w:r>
          <w:rPr>
            <w:color w:val="0563C1"/>
            <w:u w:val="single"/>
          </w:rPr>
          <w:t>.gov/newsroom/fact-sheets/fiscal-year-2025-improper-payments-fact-sheet</w:t>
        </w:r>
      </w:hyperlink>
    </w:p>
    <w:p w14:paraId="2A9EF386" w14:textId="77777777" w:rsidR="00832F2F" w:rsidRDefault="00000000" w:rsidP="000C5590">
      <w:pPr>
        <w:spacing w:line="480" w:lineRule="auto"/>
        <w:ind w:left="720" w:hanging="720"/>
      </w:pPr>
      <w:r>
        <w:t xml:space="preserve">Cotiviti. (n.d.-a). Healthcare claim payment accuracy solutions. </w:t>
      </w:r>
      <w:hyperlink r:id="rId10">
        <w:r>
          <w:rPr>
            <w:color w:val="0563C1"/>
            <w:u w:val="single"/>
          </w:rPr>
          <w:t>https://www.cotiviti.com/soluti</w:t>
        </w:r>
        <w:r>
          <w:rPr>
            <w:color w:val="0563C1"/>
            <w:u w:val="single"/>
          </w:rPr>
          <w:t>o</w:t>
        </w:r>
        <w:r>
          <w:rPr>
            <w:color w:val="0563C1"/>
            <w:u w:val="single"/>
          </w:rPr>
          <w:t>ns/payment-accuracy</w:t>
        </w:r>
      </w:hyperlink>
    </w:p>
    <w:p w14:paraId="2EF1379E" w14:textId="77777777" w:rsidR="00832F2F" w:rsidRDefault="00000000" w:rsidP="000C5590">
      <w:pPr>
        <w:spacing w:line="480" w:lineRule="auto"/>
        <w:ind w:left="720" w:hanging="720"/>
      </w:pPr>
      <w:r>
        <w:t xml:space="preserve">Cotiviti. (n.d.-b). Healthcare AI solutions. </w:t>
      </w:r>
      <w:hyperlink r:id="rId11">
        <w:r>
          <w:rPr>
            <w:color w:val="0563C1"/>
            <w:u w:val="single"/>
          </w:rPr>
          <w:t>https://www.cotiviti.</w:t>
        </w:r>
        <w:r>
          <w:rPr>
            <w:color w:val="0563C1"/>
            <w:u w:val="single"/>
          </w:rPr>
          <w:t>c</w:t>
        </w:r>
        <w:r>
          <w:rPr>
            <w:color w:val="0563C1"/>
            <w:u w:val="single"/>
          </w:rPr>
          <w:t>om/about/responsible-ai-use</w:t>
        </w:r>
      </w:hyperlink>
    </w:p>
    <w:p w14:paraId="76EF7D5D" w14:textId="77777777" w:rsidR="00832F2F" w:rsidRDefault="00000000" w:rsidP="000C5590">
      <w:pPr>
        <w:spacing w:line="480" w:lineRule="auto"/>
        <w:ind w:left="720" w:hanging="720"/>
      </w:pPr>
      <w:r>
        <w:t xml:space="preserve">Cotiviti. (n.d.-c). Clinical chart validation. </w:t>
      </w:r>
      <w:hyperlink r:id="rId12">
        <w:r>
          <w:rPr>
            <w:color w:val="0563C1"/>
            <w:u w:val="single"/>
          </w:rPr>
          <w:t>https://www</w:t>
        </w:r>
        <w:r>
          <w:rPr>
            <w:color w:val="0563C1"/>
            <w:u w:val="single"/>
          </w:rPr>
          <w:t>.</w:t>
        </w:r>
        <w:r>
          <w:rPr>
            <w:color w:val="0563C1"/>
            <w:u w:val="single"/>
          </w:rPr>
          <w:t>cotiviti.com/solutions/payment-accuracy/clinical-chart-validation</w:t>
        </w:r>
      </w:hyperlink>
    </w:p>
    <w:sectPr w:rsidR="00832F2F" w:rsidSect="00034616">
      <w:footerReference w:type="default" r:id="rId13"/>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251085" w14:textId="77777777" w:rsidR="00D87A62" w:rsidRDefault="00D87A62">
      <w:pPr>
        <w:spacing w:line="240" w:lineRule="auto"/>
      </w:pPr>
      <w:r>
        <w:separator/>
      </w:r>
    </w:p>
  </w:endnote>
  <w:endnote w:type="continuationSeparator" w:id="0">
    <w:p w14:paraId="00B1C6EA" w14:textId="77777777" w:rsidR="00D87A62" w:rsidRDefault="00D87A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669C6A" w14:textId="77777777" w:rsidR="00832F2F" w:rsidRDefault="00000000">
    <w:pPr>
      <w:pStyle w:val="Footer"/>
      <w:jc w:val="right"/>
    </w:pPr>
    <w:r>
      <w:fldChar w:fldCharType="begin"/>
    </w:r>
    <w:r>
      <w:instrText>PAGE</w:instrText>
    </w:r>
    <w:r w:rsidR="000C5590">
      <w:fldChar w:fldCharType="separate"/>
    </w:r>
    <w:r w:rsidR="000C559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A14E9E" w14:textId="77777777" w:rsidR="00D87A62" w:rsidRDefault="00D87A62">
      <w:pPr>
        <w:spacing w:line="240" w:lineRule="auto"/>
      </w:pPr>
      <w:r>
        <w:separator/>
      </w:r>
    </w:p>
  </w:footnote>
  <w:footnote w:type="continuationSeparator" w:id="0">
    <w:p w14:paraId="66568231" w14:textId="77777777" w:rsidR="00D87A62" w:rsidRDefault="00D87A6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616817">
    <w:abstractNumId w:val="8"/>
  </w:num>
  <w:num w:numId="2" w16cid:durableId="2052263339">
    <w:abstractNumId w:val="6"/>
  </w:num>
  <w:num w:numId="3" w16cid:durableId="938492222">
    <w:abstractNumId w:val="5"/>
  </w:num>
  <w:num w:numId="4" w16cid:durableId="698552165">
    <w:abstractNumId w:val="4"/>
  </w:num>
  <w:num w:numId="5" w16cid:durableId="1207643805">
    <w:abstractNumId w:val="7"/>
  </w:num>
  <w:num w:numId="6" w16cid:durableId="991376397">
    <w:abstractNumId w:val="3"/>
  </w:num>
  <w:num w:numId="7" w16cid:durableId="1219324046">
    <w:abstractNumId w:val="2"/>
  </w:num>
  <w:num w:numId="8" w16cid:durableId="1196383924">
    <w:abstractNumId w:val="1"/>
  </w:num>
  <w:num w:numId="9" w16cid:durableId="97117879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590"/>
    <w:rsid w:val="0015074B"/>
    <w:rsid w:val="0029639D"/>
    <w:rsid w:val="00326F90"/>
    <w:rsid w:val="00832F2F"/>
    <w:rsid w:val="00AA1D8D"/>
    <w:rsid w:val="00B47730"/>
    <w:rsid w:val="00C92202"/>
    <w:rsid w:val="00CB0664"/>
    <w:rsid w:val="00D87A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CB4623"/>
  <w14:defaultImageDpi w14:val="300"/>
  <w15:docId w15:val="{9DDE3C7E-39B9-174A-94A6-4DE73FD78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6028/NIST.AI.600-1"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otiviti.com/solutions/payment-accuracy/clinical-chart-valida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tiviti.com/about/responsible-ai-us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otiviti.com/solutions/payment-accuracy" TargetMode="External"/><Relationship Id="rId4" Type="http://schemas.openxmlformats.org/officeDocument/2006/relationships/settings" Target="settings.xml"/><Relationship Id="rId9" Type="http://schemas.openxmlformats.org/officeDocument/2006/relationships/hyperlink" Target="https://www.cms.gov/newsroom/fact-sheets/fiscal-year-2025-improper-payments-fact-shee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969</Words>
  <Characters>5526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Soujanya pasumarthi</cp:lastModifiedBy>
  <cp:revision>2</cp:revision>
  <dcterms:created xsi:type="dcterms:W3CDTF">2013-12-23T23:15:00Z</dcterms:created>
  <dcterms:modified xsi:type="dcterms:W3CDTF">2026-08-12T18:02:00Z</dcterms:modified>
  <cp:category/>
</cp:coreProperties>
</file>