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4"/>
        </w:rPr>
        <w:t>BUSINESS REQUIREMENT</w:t>
        <w:br/>
        <w:t>SPECIFICATION</w:t>
      </w:r>
    </w:p>
    <w:p>
      <w:pPr>
        <w:jc w:val="center"/>
      </w:pPr>
      <w:r>
        <w:rPr>
          <w:rFonts w:ascii="Arial" w:hAnsi="Arial"/>
          <w:b/>
          <w:color w:val="17365D"/>
          <w:sz w:val="38"/>
        </w:rPr>
        <w:t>Trade Finance Automation</w:t>
      </w:r>
    </w:p>
    <w:p>
      <w:pPr>
        <w:jc w:val="center"/>
      </w:pPr>
      <w:r>
        <w:rPr>
          <w:rFonts w:ascii="Arial" w:hAnsi="Arial"/>
          <w:i/>
          <w:sz w:val="21"/>
        </w:rPr>
        <w:t>Pre-filled sample for Requirements-to-DRS Agentic AI POC</w:t>
      </w:r>
    </w:p>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Document Control</w:t>
            </w:r>
          </w:p>
        </w:tc>
        <w:tc>
          <w:tcPr>
            <w:tcW w:type="dxa" w:w="5184"/>
            <w:vAlign w:val="center"/>
            <w:shd w:fill="1F4E79"/>
          </w:tcPr>
          <w:p>
            <w:pPr>
              <w:jc w:val="center"/>
            </w:pPr>
            <w:r/>
            <w:r>
              <w:rPr>
                <w:rFonts w:ascii="Arial" w:hAnsi="Arial"/>
                <w:b/>
                <w:color w:val="FFFFFF"/>
                <w:sz w:val="16"/>
              </w:rPr>
              <w:t>Details</w:t>
            </w:r>
          </w:p>
        </w:tc>
      </w:tr>
      <w:tr>
        <w:tc>
          <w:tcPr>
            <w:tcW w:type="dxa" w:w="5184"/>
            <w:vAlign w:val="center"/>
          </w:tcPr>
          <w:p>
            <w:pPr>
              <w:jc w:val="left"/>
            </w:pPr>
            <w:r/>
            <w:r>
              <w:rPr>
                <w:rFonts w:ascii="Arial" w:hAnsi="Arial"/>
                <w:b w:val="0"/>
                <w:sz w:val="16"/>
              </w:rPr>
              <w:t>Document Type</w:t>
            </w:r>
          </w:p>
        </w:tc>
        <w:tc>
          <w:tcPr>
            <w:tcW w:type="dxa" w:w="5184"/>
            <w:vAlign w:val="center"/>
          </w:tcPr>
          <w:p>
            <w:pPr>
              <w:jc w:val="left"/>
            </w:pPr>
            <w:r/>
            <w:r>
              <w:rPr>
                <w:rFonts w:ascii="Arial" w:hAnsi="Arial"/>
                <w:b w:val="0"/>
                <w:sz w:val="16"/>
              </w:rPr>
              <w:t>Business Requirement Specification (BRS)</w:t>
            </w:r>
          </w:p>
        </w:tc>
      </w:tr>
      <w:tr>
        <w:tc>
          <w:tcPr>
            <w:tcW w:type="dxa" w:w="5184"/>
            <w:vAlign w:val="center"/>
            <w:shd w:fill="E7E6E6"/>
          </w:tcPr>
          <w:p>
            <w:pPr>
              <w:jc w:val="left"/>
            </w:pPr>
            <w:r/>
            <w:r>
              <w:rPr>
                <w:rFonts w:ascii="Arial" w:hAnsi="Arial"/>
                <w:b w:val="0"/>
                <w:sz w:val="16"/>
              </w:rPr>
              <w:t>Project</w:t>
            </w:r>
          </w:p>
        </w:tc>
        <w:tc>
          <w:tcPr>
            <w:tcW w:type="dxa" w:w="5184"/>
            <w:vAlign w:val="center"/>
            <w:shd w:fill="E7E6E6"/>
          </w:tcPr>
          <w:p>
            <w:pPr>
              <w:jc w:val="left"/>
            </w:pPr>
            <w:r/>
            <w:r>
              <w:rPr>
                <w:rFonts w:ascii="Arial" w:hAnsi="Arial"/>
                <w:b w:val="0"/>
                <w:sz w:val="16"/>
              </w:rPr>
              <w:t>Trade Finance Automation</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For</w:t>
            </w:r>
          </w:p>
        </w:tc>
        <w:tc>
          <w:tcPr>
            <w:tcW w:type="dxa" w:w="5184"/>
            <w:vAlign w:val="center"/>
            <w:shd w:fill="E7E6E6"/>
          </w:tcPr>
          <w:p>
            <w:pPr>
              <w:jc w:val="left"/>
            </w:pPr>
            <w:r/>
            <w:r>
              <w:rPr>
                <w:rFonts w:ascii="Arial" w:hAnsi="Arial"/>
                <w:b w:val="0"/>
                <w:sz w:val="16"/>
              </w:rPr>
              <w:t>Proof of Concept</w:t>
            </w:r>
          </w:p>
        </w:tc>
      </w:tr>
      <w:tr>
        <w:tc>
          <w:tcPr>
            <w:tcW w:type="dxa" w:w="5184"/>
            <w:vAlign w:val="center"/>
          </w:tcPr>
          <w:p>
            <w:pPr>
              <w:jc w:val="left"/>
            </w:pPr>
            <w:r/>
            <w:r>
              <w:rPr>
                <w:rFonts w:ascii="Arial" w:hAnsi="Arial"/>
                <w:b w:val="0"/>
                <w:sz w:val="16"/>
              </w:rPr>
              <w:t>Prepared By</w:t>
            </w:r>
          </w:p>
        </w:tc>
        <w:tc>
          <w:tcPr>
            <w:tcW w:type="dxa" w:w="5184"/>
            <w:vAlign w:val="center"/>
          </w:tcPr>
          <w:p>
            <w:pPr>
              <w:jc w:val="left"/>
            </w:pPr>
            <w:r/>
            <w:r>
              <w:rPr>
                <w:rFonts w:ascii="Arial" w:hAnsi="Arial"/>
                <w:b w:val="0"/>
                <w:sz w:val="16"/>
              </w:rPr>
              <w:t>Business Analysis Team</w:t>
            </w:r>
          </w:p>
        </w:tc>
      </w:tr>
      <w:tr>
        <w:tc>
          <w:tcPr>
            <w:tcW w:type="dxa" w:w="5184"/>
            <w:vAlign w:val="center"/>
            <w:shd w:fill="E7E6E6"/>
          </w:tcPr>
          <w:p>
            <w:pPr>
              <w:jc w:val="left"/>
            </w:pPr>
            <w:r/>
            <w:r>
              <w:rPr>
                <w:rFonts w:ascii="Arial" w:hAnsi="Arial"/>
                <w:b w:val="0"/>
                <w:sz w:val="16"/>
              </w:rPr>
              <w:t>Date</w:t>
            </w:r>
          </w:p>
        </w:tc>
        <w:tc>
          <w:tcPr>
            <w:tcW w:type="dxa" w:w="5184"/>
            <w:vAlign w:val="center"/>
            <w:shd w:fill="E7E6E6"/>
          </w:tcPr>
          <w:p>
            <w:pPr>
              <w:jc w:val="left"/>
            </w:pPr>
            <w:r/>
            <w:r>
              <w:rPr>
                <w:rFonts w:ascii="Arial" w:hAnsi="Arial"/>
                <w:b w:val="0"/>
                <w:sz w:val="16"/>
              </w:rPr>
              <w:t>03-Aug-2026</w:t>
            </w:r>
          </w:p>
        </w:tc>
      </w:tr>
      <w:tr>
        <w:tc>
          <w:tcPr>
            <w:tcW w:type="dxa" w:w="5184"/>
            <w:vAlign w:val="center"/>
          </w:tcPr>
          <w:p>
            <w:pPr>
              <w:jc w:val="left"/>
            </w:pPr>
            <w:r/>
            <w:r>
              <w:rPr>
                <w:rFonts w:ascii="Arial" w:hAnsi="Arial"/>
                <w:b w:val="0"/>
                <w:sz w:val="16"/>
              </w:rPr>
              <w:t>Classification</w:t>
            </w:r>
          </w:p>
        </w:tc>
        <w:tc>
          <w:tcPr>
            <w:tcW w:type="dxa" w:w="5184"/>
            <w:vAlign w:val="center"/>
          </w:tcPr>
          <w:p>
            <w:pPr>
              <w:jc w:val="left"/>
            </w:pPr>
            <w:r/>
            <w:r>
              <w:rPr>
                <w:rFonts w:ascii="Arial" w:hAnsi="Arial"/>
                <w:b w:val="0"/>
                <w:sz w:val="16"/>
              </w:rPr>
              <w:t>Sample / Non-production</w:t>
            </w:r>
          </w:p>
        </w:tc>
      </w:tr>
    </w:tbl>
    <w:p>
      <w:pPr>
        <w:spacing w:after="20"/>
      </w:pPr>
    </w:p>
    <w:p>
      <w:pPr>
        <w:jc w:val="center"/>
      </w:pPr>
      <w:r>
        <w:rPr>
          <w:rFonts w:ascii="Arial" w:hAnsi="Arial"/>
          <w:b/>
          <w:color w:val="A64B3C"/>
          <w:sz w:val="16"/>
        </w:rPr>
        <w:t>Important: This document contains illustrative data only. Replace sample names and values before formal use.</w:t>
      </w:r>
    </w:p>
    <w:p>
      <w:r>
        <w:br w:type="page"/>
      </w:r>
    </w:p>
    <w:p>
      <w:pPr>
        <w:spacing w:before="140" w:after="60"/>
      </w:pPr>
      <w:r>
        <w:rPr>
          <w:rFonts w:ascii="Arial" w:hAnsi="Arial"/>
          <w:b/>
          <w:color w:val="17365D"/>
          <w:sz w:val="32"/>
        </w:rPr>
        <w:t>Document Purpose</w:t>
      </w:r>
    </w:p>
    <w:p>
      <w:pPr>
        <w:spacing w:after="80" w:line="240" w:lineRule="auto"/>
      </w:pPr>
      <w:r>
        <w:rPr>
          <w:rFonts w:ascii="Arial" w:hAnsi="Arial"/>
          <w:sz w:val="18"/>
        </w:rPr>
        <w:t>This pre-filled BRS provides realistic source content for a POC that extracts business requirements, generates a Detailed Requirement Specification (DRS), creates user stories and acceptance criteria, and establishes traceability from business objectives to implementation-ready backlog items.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Section</w:t>
            </w:r>
          </w:p>
        </w:tc>
        <w:tc>
          <w:tcPr>
            <w:tcW w:type="dxa" w:w="5184"/>
            <w:vAlign w:val="center"/>
            <w:shd w:fill="1F4E79"/>
          </w:tcPr>
          <w:p>
            <w:pPr>
              <w:jc w:val="center"/>
            </w:pPr>
            <w:r/>
            <w:r>
              <w:rPr>
                <w:rFonts w:ascii="Arial" w:hAnsi="Arial"/>
                <w:b/>
                <w:color w:val="FFFFFF"/>
                <w:sz w:val="16"/>
              </w:rPr>
              <w:t>Content</w:t>
            </w:r>
          </w:p>
        </w:tc>
      </w:tr>
      <w:tr>
        <w:tc>
          <w:tcPr>
            <w:tcW w:type="dxa" w:w="5184"/>
            <w:vAlign w:val="center"/>
          </w:tcPr>
          <w:p>
            <w:pPr>
              <w:jc w:val="left"/>
            </w:pPr>
            <w:r/>
            <w:r>
              <w:rPr>
                <w:rFonts w:ascii="Arial" w:hAnsi="Arial"/>
                <w:b w:val="0"/>
                <w:sz w:val="16"/>
              </w:rPr>
              <w:t>1</w:t>
            </w:r>
          </w:p>
        </w:tc>
        <w:tc>
          <w:tcPr>
            <w:tcW w:type="dxa" w:w="5184"/>
            <w:vAlign w:val="center"/>
          </w:tcPr>
          <w:p>
            <w:pPr>
              <w:jc w:val="left"/>
            </w:pPr>
            <w:r/>
            <w:r>
              <w:rPr>
                <w:rFonts w:ascii="Arial" w:hAnsi="Arial"/>
                <w:b w:val="0"/>
                <w:sz w:val="16"/>
              </w:rPr>
              <w:t>Project Information</w:t>
            </w:r>
          </w:p>
        </w:tc>
      </w:tr>
      <w:tr>
        <w:tc>
          <w:tcPr>
            <w:tcW w:type="dxa" w:w="5184"/>
            <w:vAlign w:val="center"/>
            <w:shd w:fill="E7E6E6"/>
          </w:tcPr>
          <w:p>
            <w:pPr>
              <w:jc w:val="left"/>
            </w:pPr>
            <w:r/>
            <w:r>
              <w:rPr>
                <w:rFonts w:ascii="Arial" w:hAnsi="Arial"/>
                <w:b w:val="0"/>
                <w:sz w:val="16"/>
              </w:rPr>
              <w:t>2</w:t>
            </w:r>
          </w:p>
        </w:tc>
        <w:tc>
          <w:tcPr>
            <w:tcW w:type="dxa" w:w="5184"/>
            <w:vAlign w:val="center"/>
            <w:shd w:fill="E7E6E6"/>
          </w:tcPr>
          <w:p>
            <w:pPr>
              <w:jc w:val="left"/>
            </w:pPr>
            <w:r/>
            <w:r>
              <w:rPr>
                <w:rFonts w:ascii="Arial" w:hAnsi="Arial"/>
                <w:b w:val="0"/>
                <w:sz w:val="16"/>
              </w:rPr>
              <w:t>Business Background</w:t>
            </w:r>
          </w:p>
        </w:tc>
      </w:tr>
      <w:tr>
        <w:tc>
          <w:tcPr>
            <w:tcW w:type="dxa" w:w="5184"/>
            <w:vAlign w:val="center"/>
          </w:tcPr>
          <w:p>
            <w:pPr>
              <w:jc w:val="left"/>
            </w:pPr>
            <w:r/>
            <w:r>
              <w:rPr>
                <w:rFonts w:ascii="Arial" w:hAnsi="Arial"/>
                <w:b w:val="0"/>
                <w:sz w:val="16"/>
              </w:rPr>
              <w:t>3</w:t>
            </w:r>
          </w:p>
        </w:tc>
        <w:tc>
          <w:tcPr>
            <w:tcW w:type="dxa" w:w="5184"/>
            <w:vAlign w:val="center"/>
          </w:tcPr>
          <w:p>
            <w:pPr>
              <w:jc w:val="left"/>
            </w:pPr>
            <w:r/>
            <w:r>
              <w:rPr>
                <w:rFonts w:ascii="Arial" w:hAnsi="Arial"/>
                <w:b w:val="0"/>
                <w:sz w:val="16"/>
              </w:rPr>
              <w:t>Business Problem Statement</w:t>
            </w:r>
          </w:p>
        </w:tc>
      </w:tr>
      <w:tr>
        <w:tc>
          <w:tcPr>
            <w:tcW w:type="dxa" w:w="5184"/>
            <w:vAlign w:val="center"/>
            <w:shd w:fill="E7E6E6"/>
          </w:tcPr>
          <w:p>
            <w:pPr>
              <w:jc w:val="left"/>
            </w:pPr>
            <w:r/>
            <w:r>
              <w:rPr>
                <w:rFonts w:ascii="Arial" w:hAnsi="Arial"/>
                <w:b w:val="0"/>
                <w:sz w:val="16"/>
              </w:rPr>
              <w:t>4</w:t>
            </w:r>
          </w:p>
        </w:tc>
        <w:tc>
          <w:tcPr>
            <w:tcW w:type="dxa" w:w="5184"/>
            <w:vAlign w:val="center"/>
            <w:shd w:fill="E7E6E6"/>
          </w:tcPr>
          <w:p>
            <w:pPr>
              <w:jc w:val="left"/>
            </w:pPr>
            <w:r/>
            <w:r>
              <w:rPr>
                <w:rFonts w:ascii="Arial" w:hAnsi="Arial"/>
                <w:b w:val="0"/>
                <w:sz w:val="16"/>
              </w:rPr>
              <w:t>Business Objectives</w:t>
            </w:r>
          </w:p>
        </w:tc>
      </w:tr>
      <w:tr>
        <w:tc>
          <w:tcPr>
            <w:tcW w:type="dxa" w:w="5184"/>
            <w:vAlign w:val="center"/>
          </w:tcPr>
          <w:p>
            <w:pPr>
              <w:jc w:val="left"/>
            </w:pPr>
            <w:r/>
            <w:r>
              <w:rPr>
                <w:rFonts w:ascii="Arial" w:hAnsi="Arial"/>
                <w:b w:val="0"/>
                <w:sz w:val="16"/>
              </w:rPr>
              <w:t>5</w:t>
            </w:r>
          </w:p>
        </w:tc>
        <w:tc>
          <w:tcPr>
            <w:tcW w:type="dxa" w:w="5184"/>
            <w:vAlign w:val="center"/>
          </w:tcPr>
          <w:p>
            <w:pPr>
              <w:jc w:val="left"/>
            </w:pPr>
            <w:r/>
            <w:r>
              <w:rPr>
                <w:rFonts w:ascii="Arial" w:hAnsi="Arial"/>
                <w:b w:val="0"/>
                <w:sz w:val="16"/>
              </w:rPr>
              <w:t>Scope</w:t>
            </w:r>
          </w:p>
        </w:tc>
      </w:tr>
      <w:tr>
        <w:tc>
          <w:tcPr>
            <w:tcW w:type="dxa" w:w="5184"/>
            <w:vAlign w:val="center"/>
            <w:shd w:fill="E7E6E6"/>
          </w:tcPr>
          <w:p>
            <w:pPr>
              <w:jc w:val="left"/>
            </w:pPr>
            <w:r/>
            <w:r>
              <w:rPr>
                <w:rFonts w:ascii="Arial" w:hAnsi="Arial"/>
                <w:b w:val="0"/>
                <w:sz w:val="16"/>
              </w:rPr>
              <w:t>6</w:t>
            </w:r>
          </w:p>
        </w:tc>
        <w:tc>
          <w:tcPr>
            <w:tcW w:type="dxa" w:w="5184"/>
            <w:vAlign w:val="center"/>
            <w:shd w:fill="E7E6E6"/>
          </w:tcPr>
          <w:p>
            <w:pPr>
              <w:jc w:val="left"/>
            </w:pPr>
            <w:r/>
            <w:r>
              <w:rPr>
                <w:rFonts w:ascii="Arial" w:hAnsi="Arial"/>
                <w:b w:val="0"/>
                <w:sz w:val="16"/>
              </w:rPr>
              <w:t>Stakeholders</w:t>
            </w:r>
          </w:p>
        </w:tc>
      </w:tr>
      <w:tr>
        <w:tc>
          <w:tcPr>
            <w:tcW w:type="dxa" w:w="5184"/>
            <w:vAlign w:val="center"/>
          </w:tcPr>
          <w:p>
            <w:pPr>
              <w:jc w:val="left"/>
            </w:pPr>
            <w:r/>
            <w:r>
              <w:rPr>
                <w:rFonts w:ascii="Arial" w:hAnsi="Arial"/>
                <w:b w:val="0"/>
                <w:sz w:val="16"/>
              </w:rPr>
              <w:t>7</w:t>
            </w:r>
          </w:p>
        </w:tc>
        <w:tc>
          <w:tcPr>
            <w:tcW w:type="dxa" w:w="5184"/>
            <w:vAlign w:val="center"/>
          </w:tcPr>
          <w:p>
            <w:pPr>
              <w:jc w:val="left"/>
            </w:pPr>
            <w:r/>
            <w:r>
              <w:rPr>
                <w:rFonts w:ascii="Arial" w:hAnsi="Arial"/>
                <w:b w:val="0"/>
                <w:sz w:val="16"/>
              </w:rPr>
              <w:t>Current Process</w:t>
            </w:r>
          </w:p>
        </w:tc>
      </w:tr>
      <w:tr>
        <w:tc>
          <w:tcPr>
            <w:tcW w:type="dxa" w:w="5184"/>
            <w:vAlign w:val="center"/>
            <w:shd w:fill="E7E6E6"/>
          </w:tcPr>
          <w:p>
            <w:pPr>
              <w:jc w:val="left"/>
            </w:pPr>
            <w:r/>
            <w:r>
              <w:rPr>
                <w:rFonts w:ascii="Arial" w:hAnsi="Arial"/>
                <w:b w:val="0"/>
                <w:sz w:val="16"/>
              </w:rPr>
              <w:t>8</w:t>
            </w:r>
          </w:p>
        </w:tc>
        <w:tc>
          <w:tcPr>
            <w:tcW w:type="dxa" w:w="5184"/>
            <w:vAlign w:val="center"/>
            <w:shd w:fill="E7E6E6"/>
          </w:tcPr>
          <w:p>
            <w:pPr>
              <w:jc w:val="left"/>
            </w:pPr>
            <w:r/>
            <w:r>
              <w:rPr>
                <w:rFonts w:ascii="Arial" w:hAnsi="Arial"/>
                <w:b w:val="0"/>
                <w:sz w:val="16"/>
              </w:rPr>
              <w:t>Future-State Business Requirements</w:t>
            </w:r>
          </w:p>
        </w:tc>
      </w:tr>
      <w:tr>
        <w:tc>
          <w:tcPr>
            <w:tcW w:type="dxa" w:w="5184"/>
            <w:vAlign w:val="center"/>
          </w:tcPr>
          <w:p>
            <w:pPr>
              <w:jc w:val="left"/>
            </w:pPr>
            <w:r/>
            <w:r>
              <w:rPr>
                <w:rFonts w:ascii="Arial" w:hAnsi="Arial"/>
                <w:b w:val="0"/>
                <w:sz w:val="16"/>
              </w:rPr>
              <w:t>9</w:t>
            </w:r>
          </w:p>
        </w:tc>
        <w:tc>
          <w:tcPr>
            <w:tcW w:type="dxa" w:w="5184"/>
            <w:vAlign w:val="center"/>
          </w:tcPr>
          <w:p>
            <w:pPr>
              <w:jc w:val="left"/>
            </w:pPr>
            <w:r/>
            <w:r>
              <w:rPr>
                <w:rFonts w:ascii="Arial" w:hAnsi="Arial"/>
                <w:b w:val="0"/>
                <w:sz w:val="16"/>
              </w:rPr>
              <w:t>Functional Requirements</w:t>
            </w:r>
          </w:p>
        </w:tc>
      </w:tr>
      <w:tr>
        <w:tc>
          <w:tcPr>
            <w:tcW w:type="dxa" w:w="5184"/>
            <w:vAlign w:val="center"/>
            <w:shd w:fill="E7E6E6"/>
          </w:tcPr>
          <w:p>
            <w:pPr>
              <w:jc w:val="left"/>
            </w:pPr>
            <w:r/>
            <w:r>
              <w:rPr>
                <w:rFonts w:ascii="Arial" w:hAnsi="Arial"/>
                <w:b w:val="0"/>
                <w:sz w:val="16"/>
              </w:rPr>
              <w:t>10</w:t>
            </w:r>
          </w:p>
        </w:tc>
        <w:tc>
          <w:tcPr>
            <w:tcW w:type="dxa" w:w="5184"/>
            <w:vAlign w:val="center"/>
            <w:shd w:fill="E7E6E6"/>
          </w:tcPr>
          <w:p>
            <w:pPr>
              <w:jc w:val="left"/>
            </w:pPr>
            <w:r/>
            <w:r>
              <w:rPr>
                <w:rFonts w:ascii="Arial" w:hAnsi="Arial"/>
                <w:b w:val="0"/>
                <w:sz w:val="16"/>
              </w:rPr>
              <w:t>Non-Functional Requirements</w:t>
            </w:r>
          </w:p>
        </w:tc>
      </w:tr>
      <w:tr>
        <w:tc>
          <w:tcPr>
            <w:tcW w:type="dxa" w:w="5184"/>
            <w:vAlign w:val="center"/>
          </w:tcPr>
          <w:p>
            <w:pPr>
              <w:jc w:val="left"/>
            </w:pPr>
            <w:r/>
            <w:r>
              <w:rPr>
                <w:rFonts w:ascii="Arial" w:hAnsi="Arial"/>
                <w:b w:val="0"/>
                <w:sz w:val="16"/>
              </w:rPr>
              <w:t>11</w:t>
            </w:r>
          </w:p>
        </w:tc>
        <w:tc>
          <w:tcPr>
            <w:tcW w:type="dxa" w:w="5184"/>
            <w:vAlign w:val="center"/>
          </w:tcPr>
          <w:p>
            <w:pPr>
              <w:jc w:val="left"/>
            </w:pPr>
            <w:r/>
            <w:r>
              <w:rPr>
                <w:rFonts w:ascii="Arial" w:hAnsi="Arial"/>
                <w:b w:val="0"/>
                <w:sz w:val="16"/>
              </w:rPr>
              <w:t>Business Rules</w:t>
            </w:r>
          </w:p>
        </w:tc>
      </w:tr>
      <w:tr>
        <w:tc>
          <w:tcPr>
            <w:tcW w:type="dxa" w:w="5184"/>
            <w:vAlign w:val="center"/>
            <w:shd w:fill="E7E6E6"/>
          </w:tcPr>
          <w:p>
            <w:pPr>
              <w:jc w:val="left"/>
            </w:pPr>
            <w:r/>
            <w:r>
              <w:rPr>
                <w:rFonts w:ascii="Arial" w:hAnsi="Arial"/>
                <w:b w:val="0"/>
                <w:sz w:val="16"/>
              </w:rPr>
              <w:t>12</w:t>
            </w:r>
          </w:p>
        </w:tc>
        <w:tc>
          <w:tcPr>
            <w:tcW w:type="dxa" w:w="5184"/>
            <w:vAlign w:val="center"/>
            <w:shd w:fill="E7E6E6"/>
          </w:tcPr>
          <w:p>
            <w:pPr>
              <w:jc w:val="left"/>
            </w:pPr>
            <w:r/>
            <w:r>
              <w:rPr>
                <w:rFonts w:ascii="Arial" w:hAnsi="Arial"/>
                <w:b w:val="0"/>
                <w:sz w:val="16"/>
              </w:rPr>
              <w:t>Assumptions</w:t>
            </w:r>
          </w:p>
        </w:tc>
      </w:tr>
      <w:tr>
        <w:tc>
          <w:tcPr>
            <w:tcW w:type="dxa" w:w="5184"/>
            <w:vAlign w:val="center"/>
          </w:tcPr>
          <w:p>
            <w:pPr>
              <w:jc w:val="left"/>
            </w:pPr>
            <w:r/>
            <w:r>
              <w:rPr>
                <w:rFonts w:ascii="Arial" w:hAnsi="Arial"/>
                <w:b w:val="0"/>
                <w:sz w:val="16"/>
              </w:rPr>
              <w:t>13</w:t>
            </w:r>
          </w:p>
        </w:tc>
        <w:tc>
          <w:tcPr>
            <w:tcW w:type="dxa" w:w="5184"/>
            <w:vAlign w:val="center"/>
          </w:tcPr>
          <w:p>
            <w:pPr>
              <w:jc w:val="left"/>
            </w:pPr>
            <w:r/>
            <w:r>
              <w:rPr>
                <w:rFonts w:ascii="Arial" w:hAnsi="Arial"/>
                <w:b w:val="0"/>
                <w:sz w:val="16"/>
              </w:rPr>
              <w:t>Constraints</w:t>
            </w:r>
          </w:p>
        </w:tc>
      </w:tr>
      <w:tr>
        <w:tc>
          <w:tcPr>
            <w:tcW w:type="dxa" w:w="5184"/>
            <w:vAlign w:val="center"/>
            <w:shd w:fill="E7E6E6"/>
          </w:tcPr>
          <w:p>
            <w:pPr>
              <w:jc w:val="left"/>
            </w:pPr>
            <w:r/>
            <w:r>
              <w:rPr>
                <w:rFonts w:ascii="Arial" w:hAnsi="Arial"/>
                <w:b w:val="0"/>
                <w:sz w:val="16"/>
              </w:rPr>
              <w:t>14</w:t>
            </w:r>
          </w:p>
        </w:tc>
        <w:tc>
          <w:tcPr>
            <w:tcW w:type="dxa" w:w="5184"/>
            <w:vAlign w:val="center"/>
            <w:shd w:fill="E7E6E6"/>
          </w:tcPr>
          <w:p>
            <w:pPr>
              <w:jc w:val="left"/>
            </w:pPr>
            <w:r/>
            <w:r>
              <w:rPr>
                <w:rFonts w:ascii="Arial" w:hAnsi="Arial"/>
                <w:b w:val="0"/>
                <w:sz w:val="16"/>
              </w:rPr>
              <w:t>Acceptance Criteria</w:t>
            </w:r>
          </w:p>
        </w:tc>
      </w:tr>
      <w:tr>
        <w:tc>
          <w:tcPr>
            <w:tcW w:type="dxa" w:w="5184"/>
            <w:vAlign w:val="center"/>
          </w:tcPr>
          <w:p>
            <w:pPr>
              <w:jc w:val="left"/>
            </w:pPr>
            <w:r/>
            <w:r>
              <w:rPr>
                <w:rFonts w:ascii="Arial" w:hAnsi="Arial"/>
                <w:b w:val="0"/>
                <w:sz w:val="16"/>
              </w:rPr>
              <w:t>15</w:t>
            </w:r>
          </w:p>
        </w:tc>
        <w:tc>
          <w:tcPr>
            <w:tcW w:type="dxa" w:w="5184"/>
            <w:vAlign w:val="center"/>
          </w:tcPr>
          <w:p>
            <w:pPr>
              <w:jc w:val="left"/>
            </w:pPr>
            <w:r/>
            <w:r>
              <w:rPr>
                <w:rFonts w:ascii="Arial" w:hAnsi="Arial"/>
                <w:b w:val="0"/>
                <w:sz w:val="16"/>
              </w:rPr>
              <w:t>Traceability Matrix</w:t>
            </w:r>
          </w:p>
        </w:tc>
      </w:tr>
    </w:tbl>
    <w:p>
      <w:pPr>
        <w:spacing w:after="20"/>
      </w:pPr>
    </w:p>
    <w:p>
      <w:pPr>
        <w:spacing w:before="140" w:after="60"/>
      </w:pPr>
      <w:r>
        <w:rPr>
          <w:rFonts w:ascii="Arial" w:hAnsi="Arial"/>
          <w:b/>
          <w:color w:val="17365D"/>
          <w:sz w:val="32"/>
        </w:rPr>
        <w:t>1. Project Information</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Field</w:t>
            </w:r>
          </w:p>
        </w:tc>
        <w:tc>
          <w:tcPr>
            <w:tcW w:type="dxa" w:w="5184"/>
            <w:vAlign w:val="center"/>
            <w:shd w:fill="1F4E79"/>
          </w:tcPr>
          <w:p>
            <w:pPr>
              <w:jc w:val="center"/>
            </w:pPr>
            <w:r/>
            <w:r>
              <w:rPr>
                <w:rFonts w:ascii="Arial" w:hAnsi="Arial"/>
                <w:b/>
                <w:color w:val="FFFFFF"/>
                <w:sz w:val="16"/>
              </w:rPr>
              <w:t>Value</w:t>
            </w:r>
          </w:p>
        </w:tc>
      </w:tr>
      <w:tr>
        <w:tc>
          <w:tcPr>
            <w:tcW w:type="dxa" w:w="5184"/>
            <w:vAlign w:val="center"/>
          </w:tcPr>
          <w:p>
            <w:pPr>
              <w:jc w:val="left"/>
            </w:pPr>
            <w:r/>
            <w:r>
              <w:rPr>
                <w:rFonts w:ascii="Arial" w:hAnsi="Arial"/>
                <w:b w:val="0"/>
                <w:sz w:val="16"/>
              </w:rPr>
              <w:t>Project Name</w:t>
            </w:r>
          </w:p>
        </w:tc>
        <w:tc>
          <w:tcPr>
            <w:tcW w:type="dxa" w:w="5184"/>
            <w:vAlign w:val="center"/>
          </w:tcPr>
          <w:p>
            <w:pPr>
              <w:jc w:val="left"/>
            </w:pPr>
            <w:r/>
            <w:r>
              <w:rPr>
                <w:rFonts w:ascii="Arial" w:hAnsi="Arial"/>
                <w:b w:val="0"/>
                <w:sz w:val="16"/>
              </w:rPr>
              <w:t>Trade Finance Automation</w:t>
            </w:r>
          </w:p>
        </w:tc>
      </w:tr>
      <w:tr>
        <w:tc>
          <w:tcPr>
            <w:tcW w:type="dxa" w:w="5184"/>
            <w:vAlign w:val="center"/>
            <w:shd w:fill="E7E6E6"/>
          </w:tcPr>
          <w:p>
            <w:pPr>
              <w:jc w:val="left"/>
            </w:pPr>
            <w:r/>
            <w:r>
              <w:rPr>
                <w:rFonts w:ascii="Arial" w:hAnsi="Arial"/>
                <w:b w:val="0"/>
                <w:sz w:val="16"/>
              </w:rPr>
              <w:t>Customer</w:t>
            </w:r>
          </w:p>
        </w:tc>
        <w:tc>
          <w:tcPr>
            <w:tcW w:type="dxa" w:w="5184"/>
            <w:vAlign w:val="center"/>
            <w:shd w:fill="E7E6E6"/>
          </w:tcPr>
          <w:p>
            <w:pPr>
              <w:jc w:val="left"/>
            </w:pPr>
            <w:r/>
            <w:r>
              <w:rPr>
                <w:rFonts w:ascii="Arial" w:hAnsi="Arial"/>
                <w:b w:val="0"/>
                <w:sz w:val="16"/>
              </w:rPr>
              <w:t>Global Investment Banking Division</w:t>
            </w:r>
          </w:p>
        </w:tc>
      </w:tr>
      <w:tr>
        <w:tc>
          <w:tcPr>
            <w:tcW w:type="dxa" w:w="5184"/>
            <w:vAlign w:val="center"/>
          </w:tcPr>
          <w:p>
            <w:pPr>
              <w:jc w:val="left"/>
            </w:pPr>
            <w:r/>
            <w:r>
              <w:rPr>
                <w:rFonts w:ascii="Arial" w:hAnsi="Arial"/>
                <w:b w:val="0"/>
                <w:sz w:val="16"/>
              </w:rPr>
              <w:t>Business Owner</w:t>
            </w:r>
          </w:p>
        </w:tc>
        <w:tc>
          <w:tcPr>
            <w:tcW w:type="dxa" w:w="5184"/>
            <w:vAlign w:val="center"/>
          </w:tcPr>
          <w:p>
            <w:pPr>
              <w:jc w:val="left"/>
            </w:pPr>
            <w:r/>
            <w:r>
              <w:rPr>
                <w:rFonts w:ascii="Arial" w:hAnsi="Arial"/>
                <w:b w:val="0"/>
                <w:sz w:val="16"/>
              </w:rPr>
              <w:t>Head of Operations</w:t>
            </w:r>
          </w:p>
        </w:tc>
      </w:tr>
      <w:tr>
        <w:tc>
          <w:tcPr>
            <w:tcW w:type="dxa" w:w="5184"/>
            <w:vAlign w:val="center"/>
            <w:shd w:fill="E7E6E6"/>
          </w:tcPr>
          <w:p>
            <w:pPr>
              <w:jc w:val="left"/>
            </w:pPr>
            <w:r/>
            <w:r>
              <w:rPr>
                <w:rFonts w:ascii="Arial" w:hAnsi="Arial"/>
                <w:b w:val="0"/>
                <w:sz w:val="16"/>
              </w:rPr>
              <w:t>Sponsor</w:t>
            </w:r>
          </w:p>
        </w:tc>
        <w:tc>
          <w:tcPr>
            <w:tcW w:type="dxa" w:w="5184"/>
            <w:vAlign w:val="center"/>
            <w:shd w:fill="E7E6E6"/>
          </w:tcPr>
          <w:p>
            <w:pPr>
              <w:jc w:val="left"/>
            </w:pPr>
            <w:r/>
            <w:r>
              <w:rPr>
                <w:rFonts w:ascii="Arial" w:hAnsi="Arial"/>
                <w:b w:val="0"/>
                <w:sz w:val="16"/>
              </w:rPr>
              <w:t>Chief Operating Officer</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By</w:t>
            </w:r>
          </w:p>
        </w:tc>
        <w:tc>
          <w:tcPr>
            <w:tcW w:type="dxa" w:w="5184"/>
            <w:vAlign w:val="center"/>
            <w:shd w:fill="E7E6E6"/>
          </w:tcPr>
          <w:p>
            <w:pPr>
              <w:jc w:val="left"/>
            </w:pPr>
            <w:r/>
            <w:r>
              <w:rPr>
                <w:rFonts w:ascii="Arial" w:hAnsi="Arial"/>
                <w:b w:val="0"/>
                <w:sz w:val="16"/>
              </w:rPr>
              <w:t>Business Analyst</w:t>
            </w:r>
          </w:p>
        </w:tc>
      </w:tr>
      <w:tr>
        <w:tc>
          <w:tcPr>
            <w:tcW w:type="dxa" w:w="5184"/>
            <w:vAlign w:val="center"/>
          </w:tcPr>
          <w:p>
            <w:pPr>
              <w:jc w:val="left"/>
            </w:pPr>
            <w:r/>
            <w:r>
              <w:rPr>
                <w:rFonts w:ascii="Arial" w:hAnsi="Arial"/>
                <w:b w:val="0"/>
                <w:sz w:val="16"/>
              </w:rPr>
              <w:t>Date</w:t>
            </w:r>
          </w:p>
        </w:tc>
        <w:tc>
          <w:tcPr>
            <w:tcW w:type="dxa" w:w="5184"/>
            <w:vAlign w:val="center"/>
          </w:tcPr>
          <w:p>
            <w:pPr>
              <w:jc w:val="left"/>
            </w:pPr>
            <w:r/>
            <w:r>
              <w:rPr>
                <w:rFonts w:ascii="Arial" w:hAnsi="Arial"/>
                <w:b w:val="0"/>
                <w:sz w:val="16"/>
              </w:rPr>
              <w:t>03-Aug-2026</w:t>
            </w:r>
          </w:p>
        </w:tc>
      </w:tr>
    </w:tbl>
    <w:p>
      <w:pPr>
        <w:spacing w:after="20"/>
      </w:pPr>
    </w:p>
    <w:p>
      <w:pPr>
        <w:spacing w:before="140" w:after="60"/>
      </w:pPr>
      <w:r>
        <w:rPr>
          <w:rFonts w:ascii="Arial" w:hAnsi="Arial"/>
          <w:b/>
          <w:color w:val="17365D"/>
          <w:sz w:val="32"/>
        </w:rPr>
        <w:t>2. Business Background</w:t>
      </w:r>
    </w:p>
    <w:p>
      <w:pPr>
        <w:spacing w:after="80" w:line="240" w:lineRule="auto"/>
      </w:pPr>
      <w:r>
        <w:rPr>
          <w:rFonts w:ascii="Arial" w:hAnsi="Arial"/>
          <w:sz w:val="18"/>
        </w:rPr>
        <w:t>The organization currently processes letters of credit, guarantees and other trade finance requests through email, spreadsheets and manual trade operations queues. Relationship Managers submit transaction details and trade documents, after which Trade Operations, Compliance, Sanctions, Risk and Trade Services perform separate checks before the instrument can be issued or amended. Transaction details and document status are repeatedly keyed into downstream records.</w:t>
      </w:r>
    </w:p>
    <w:p>
      <w:pPr>
        <w:spacing w:after="80" w:line="240" w:lineRule="auto"/>
      </w:pPr>
      <w:r>
        <w:rPr>
          <w:rFonts w:ascii="Arial" w:hAnsi="Arial"/>
          <w:sz w:val="18"/>
        </w:rPr>
        <w:t>A typical trade finance request takes eight business days from initial submission to issuance or completion. Delays are concentrated around incomplete commercial documents, sanctions screening, discrepancy resolution, risk approval and manual follow-up on outstanding conditions. Management has limited real-time visibility into transactions waiting for action.</w:t>
      </w:r>
    </w:p>
    <w:p>
      <w:pPr>
        <w:spacing w:before="140" w:after="60"/>
      </w:pPr>
      <w:r>
        <w:rPr>
          <w:rFonts w:ascii="Arial" w:hAnsi="Arial"/>
          <w:b/>
          <w:color w:val="17365D"/>
          <w:sz w:val="32"/>
        </w:rPr>
        <w:t>3. Business Problem Statement</w:t>
      </w:r>
    </w:p>
    <w:p>
      <w:pPr>
        <w:spacing w:after="80" w:line="240" w:lineRule="auto"/>
      </w:pPr>
      <w:r>
        <w:rPr>
          <w:rFonts w:ascii="Arial" w:hAnsi="Arial"/>
          <w:sz w:val="18"/>
        </w:rPr>
        <w:t>The current process has the following limitations:</w:t>
      </w:r>
    </w:p>
    <w:p>
      <w:pPr>
        <w:pStyle w:val="ListBullet"/>
        <w:spacing w:after="20"/>
      </w:pPr>
      <w:r>
        <w:rPr>
          <w:rFonts w:ascii="Arial" w:hAnsi="Arial"/>
          <w:sz w:val="17"/>
        </w:rPr>
        <w:t>Applicant, beneficiary and transaction data are re-entered between intake and Trade Operations.</w:t>
      </w:r>
    </w:p>
    <w:p>
      <w:pPr>
        <w:pStyle w:val="ListBullet"/>
        <w:spacing w:after="20"/>
      </w:pPr>
      <w:r>
        <w:rPr>
          <w:rFonts w:ascii="Arial" w:hAnsi="Arial"/>
          <w:sz w:val="17"/>
        </w:rPr>
        <w:t>Invoices, shipping documents and trade instruments are exchanged through email or shared folders.</w:t>
      </w:r>
    </w:p>
    <w:p>
      <w:pPr>
        <w:pStyle w:val="ListBullet"/>
        <w:spacing w:after="20"/>
      </w:pPr>
      <w:r>
        <w:rPr>
          <w:rFonts w:ascii="Arial" w:hAnsi="Arial"/>
          <w:sz w:val="17"/>
        </w:rPr>
        <w:t>Trade Operations spends time chasing missing commercial documents and correcting data.</w:t>
      </w:r>
    </w:p>
    <w:p>
      <w:pPr>
        <w:pStyle w:val="ListBullet"/>
        <w:spacing w:after="20"/>
      </w:pPr>
      <w:r>
        <w:rPr>
          <w:rFonts w:ascii="Arial" w:hAnsi="Arial"/>
          <w:sz w:val="17"/>
        </w:rPr>
        <w:t>Sanctions, KYC and trade compliance decisions are tracked separately from transaction processing.</w:t>
      </w:r>
    </w:p>
    <w:p>
      <w:pPr>
        <w:pStyle w:val="ListBullet"/>
        <w:spacing w:after="20"/>
      </w:pPr>
      <w:r>
        <w:rPr>
          <w:rFonts w:ascii="Arial" w:hAnsi="Arial"/>
          <w:sz w:val="17"/>
        </w:rPr>
        <w:t>Document discrepancies and approval conditions are followed up manually and can delay issuance.</w:t>
      </w:r>
    </w:p>
    <w:p>
      <w:pPr>
        <w:pStyle w:val="ListBullet"/>
        <w:spacing w:after="20"/>
      </w:pPr>
      <w:r>
        <w:rPr>
          <w:rFonts w:ascii="Arial" w:hAnsi="Arial"/>
          <w:sz w:val="17"/>
        </w:rPr>
        <w:t>Operations cannot reliably identify transactions approaching their processing SLA.</w:t>
      </w:r>
    </w:p>
    <w:p>
      <w:pPr>
        <w:spacing w:before="140" w:after="60"/>
      </w:pPr>
      <w:r>
        <w:rPr>
          <w:rFonts w:ascii="Arial" w:hAnsi="Arial"/>
          <w:b/>
          <w:color w:val="17365D"/>
          <w:sz w:val="32"/>
        </w:rPr>
        <w:t>4. Business Objectives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Objective</w:t>
            </w:r>
          </w:p>
        </w:tc>
        <w:tc>
          <w:tcPr>
            <w:tcW w:type="dxa" w:w="3456"/>
            <w:vAlign w:val="center"/>
            <w:shd w:fill="1F4E79"/>
          </w:tcPr>
          <w:p>
            <w:pPr>
              <w:jc w:val="center"/>
            </w:pPr>
            <w:r/>
            <w:r>
              <w:rPr>
                <w:rFonts w:ascii="Arial" w:hAnsi="Arial"/>
                <w:b/>
                <w:color w:val="FFFFFF"/>
                <w:sz w:val="15"/>
              </w:rPr>
              <w:t>Success Measure</w:t>
            </w:r>
          </w:p>
        </w:tc>
      </w:tr>
      <w:tr>
        <w:tc>
          <w:tcPr>
            <w:tcW w:type="dxa" w:w="3456"/>
            <w:vAlign w:val="center"/>
          </w:tcPr>
          <w:p>
            <w:pPr>
              <w:jc w:val="left"/>
            </w:pPr>
            <w:r/>
            <w:r>
              <w:rPr>
                <w:rFonts w:ascii="Arial" w:hAnsi="Arial"/>
                <w:b w:val="0"/>
                <w:sz w:val="15"/>
              </w:rPr>
              <w:t>BO-01</w:t>
            </w:r>
          </w:p>
        </w:tc>
        <w:tc>
          <w:tcPr>
            <w:tcW w:type="dxa" w:w="3456"/>
            <w:vAlign w:val="center"/>
          </w:tcPr>
          <w:p>
            <w:pPr>
              <w:jc w:val="left"/>
            </w:pPr>
            <w:r/>
            <w:r>
              <w:rPr>
                <w:rFonts w:ascii="Arial" w:hAnsi="Arial"/>
                <w:b w:val="0"/>
                <w:sz w:val="15"/>
              </w:rPr>
              <w:t>Reduce end-to-end trade finance processing cycle time.</w:t>
            </w:r>
          </w:p>
        </w:tc>
        <w:tc>
          <w:tcPr>
            <w:tcW w:type="dxa" w:w="3456"/>
            <w:vAlign w:val="center"/>
          </w:tcPr>
          <w:p>
            <w:pPr>
              <w:jc w:val="left"/>
            </w:pPr>
            <w:r/>
            <w:r>
              <w:rPr>
                <w:rFonts w:ascii="Arial" w:hAnsi="Arial"/>
                <w:b w:val="0"/>
                <w:sz w:val="15"/>
              </w:rPr>
              <w:t>Reduce average cycle time from 8 business days to 2 business days.</w:t>
            </w:r>
          </w:p>
        </w:tc>
      </w:tr>
      <w:tr>
        <w:tc>
          <w:tcPr>
            <w:tcW w:type="dxa" w:w="3456"/>
            <w:vAlign w:val="center"/>
            <w:shd w:fill="E7E6E6"/>
          </w:tcPr>
          <w:p>
            <w:pPr>
              <w:jc w:val="left"/>
            </w:pPr>
            <w:r/>
            <w:r>
              <w:rPr>
                <w:rFonts w:ascii="Arial" w:hAnsi="Arial"/>
                <w:b w:val="0"/>
                <w:sz w:val="15"/>
              </w:rPr>
              <w:t>BO-02</w:t>
            </w:r>
          </w:p>
        </w:tc>
        <w:tc>
          <w:tcPr>
            <w:tcW w:type="dxa" w:w="3456"/>
            <w:vAlign w:val="center"/>
            <w:shd w:fill="E7E6E6"/>
          </w:tcPr>
          <w:p>
            <w:pPr>
              <w:jc w:val="left"/>
            </w:pPr>
            <w:r/>
            <w:r>
              <w:rPr>
                <w:rFonts w:ascii="Arial" w:hAnsi="Arial"/>
                <w:b w:val="0"/>
                <w:sz w:val="15"/>
              </w:rPr>
              <w:t>Reduce manual operational effort.</w:t>
            </w:r>
          </w:p>
        </w:tc>
        <w:tc>
          <w:tcPr>
            <w:tcW w:type="dxa" w:w="3456"/>
            <w:vAlign w:val="center"/>
            <w:shd w:fill="E7E6E6"/>
          </w:tcPr>
          <w:p>
            <w:pPr>
              <w:jc w:val="left"/>
            </w:pPr>
            <w:r/>
            <w:r>
              <w:rPr>
                <w:rFonts w:ascii="Arial" w:hAnsi="Arial"/>
                <w:b w:val="0"/>
                <w:sz w:val="15"/>
              </w:rPr>
              <w:t>Achieve at least 60% reduction in manual processing effort.</w:t>
            </w:r>
          </w:p>
        </w:tc>
      </w:tr>
      <w:tr>
        <w:tc>
          <w:tcPr>
            <w:tcW w:type="dxa" w:w="3456"/>
            <w:vAlign w:val="center"/>
          </w:tcPr>
          <w:p>
            <w:pPr>
              <w:jc w:val="left"/>
            </w:pPr>
            <w:r/>
            <w:r>
              <w:rPr>
                <w:rFonts w:ascii="Arial" w:hAnsi="Arial"/>
                <w:b w:val="0"/>
                <w:sz w:val="15"/>
              </w:rPr>
              <w:t>BO-03</w:t>
            </w:r>
          </w:p>
        </w:tc>
        <w:tc>
          <w:tcPr>
            <w:tcW w:type="dxa" w:w="3456"/>
            <w:vAlign w:val="center"/>
          </w:tcPr>
          <w:p>
            <w:pPr>
              <w:jc w:val="left"/>
            </w:pPr>
            <w:r/>
            <w:r>
              <w:rPr>
                <w:rFonts w:ascii="Arial" w:hAnsi="Arial"/>
                <w:b w:val="0"/>
                <w:sz w:val="15"/>
              </w:rPr>
              <w:t>Improve transaction status visibility.</w:t>
            </w:r>
          </w:p>
        </w:tc>
        <w:tc>
          <w:tcPr>
            <w:tcW w:type="dxa" w:w="3456"/>
            <w:vAlign w:val="center"/>
          </w:tcPr>
          <w:p>
            <w:pPr>
              <w:jc w:val="left"/>
            </w:pPr>
            <w:r/>
            <w:r>
              <w:rPr>
                <w:rFonts w:ascii="Arial" w:hAnsi="Arial"/>
                <w:b w:val="0"/>
                <w:sz w:val="15"/>
              </w:rPr>
              <w:t>Provide role-based, near-real-time transaction status and aging views.</w:t>
            </w:r>
          </w:p>
        </w:tc>
      </w:tr>
      <w:tr>
        <w:tc>
          <w:tcPr>
            <w:tcW w:type="dxa" w:w="3456"/>
            <w:vAlign w:val="center"/>
            <w:shd w:fill="E7E6E6"/>
          </w:tcPr>
          <w:p>
            <w:pPr>
              <w:jc w:val="left"/>
            </w:pPr>
            <w:r/>
            <w:r>
              <w:rPr>
                <w:rFonts w:ascii="Arial" w:hAnsi="Arial"/>
                <w:b w:val="0"/>
                <w:sz w:val="15"/>
              </w:rPr>
              <w:t>BO-04</w:t>
            </w:r>
          </w:p>
        </w:tc>
        <w:tc>
          <w:tcPr>
            <w:tcW w:type="dxa" w:w="3456"/>
            <w:vAlign w:val="center"/>
            <w:shd w:fill="E7E6E6"/>
          </w:tcPr>
          <w:p>
            <w:pPr>
              <w:jc w:val="left"/>
            </w:pPr>
            <w:r/>
            <w:r>
              <w:rPr>
                <w:rFonts w:ascii="Arial" w:hAnsi="Arial"/>
                <w:b w:val="0"/>
                <w:sz w:val="15"/>
              </w:rPr>
              <w:t>Strengthen trade compliance adherence.</w:t>
            </w:r>
          </w:p>
        </w:tc>
        <w:tc>
          <w:tcPr>
            <w:tcW w:type="dxa" w:w="3456"/>
            <w:vAlign w:val="center"/>
            <w:shd w:fill="E7E6E6"/>
          </w:tcPr>
          <w:p>
            <w:pPr>
              <w:jc w:val="left"/>
            </w:pPr>
            <w:r/>
            <w:r>
              <w:rPr>
                <w:rFonts w:ascii="Arial" w:hAnsi="Arial"/>
                <w:b w:val="0"/>
                <w:sz w:val="15"/>
              </w:rPr>
              <w:t>Prevent issuance or processing when required KYC, sanctions, compliance or approval checks are incomplete.</w:t>
            </w:r>
          </w:p>
        </w:tc>
      </w:tr>
      <w:tr>
        <w:tc>
          <w:tcPr>
            <w:tcW w:type="dxa" w:w="3456"/>
            <w:vAlign w:val="center"/>
          </w:tcPr>
          <w:p>
            <w:pPr>
              <w:jc w:val="left"/>
            </w:pPr>
            <w:r/>
            <w:r>
              <w:rPr>
                <w:rFonts w:ascii="Arial" w:hAnsi="Arial"/>
                <w:b w:val="0"/>
                <w:sz w:val="15"/>
              </w:rPr>
              <w:t>BO-05</w:t>
            </w:r>
          </w:p>
        </w:tc>
        <w:tc>
          <w:tcPr>
            <w:tcW w:type="dxa" w:w="3456"/>
            <w:vAlign w:val="center"/>
          </w:tcPr>
          <w:p>
            <w:pPr>
              <w:jc w:val="left"/>
            </w:pPr>
            <w:r/>
            <w:r>
              <w:rPr>
                <w:rFonts w:ascii="Arial" w:hAnsi="Arial"/>
                <w:b w:val="0"/>
                <w:sz w:val="15"/>
              </w:rPr>
              <w:t>Provide full auditability.</w:t>
            </w:r>
          </w:p>
        </w:tc>
        <w:tc>
          <w:tcPr>
            <w:tcW w:type="dxa" w:w="3456"/>
            <w:vAlign w:val="center"/>
          </w:tcPr>
          <w:p>
            <w:pPr>
              <w:jc w:val="left"/>
            </w:pPr>
            <w:r/>
            <w:r>
              <w:rPr>
                <w:rFonts w:ascii="Arial" w:hAnsi="Arial"/>
                <w:b w:val="0"/>
                <w:sz w:val="15"/>
              </w:rPr>
              <w:t>Capture timestamped transaction changes, document actions, screening decisions and approvals.</w:t>
            </w:r>
          </w:p>
        </w:tc>
      </w:tr>
    </w:tbl>
    <w:p>
      <w:pPr>
        <w:spacing w:after="20"/>
      </w:pPr>
    </w:p>
    <w:p>
      <w:pPr>
        <w:spacing w:before="140" w:after="60"/>
      </w:pPr>
      <w:r>
        <w:rPr>
          <w:rFonts w:ascii="Arial" w:hAnsi="Arial"/>
          <w:b/>
          <w:color w:val="17365D"/>
          <w:sz w:val="32"/>
        </w:rPr>
        <w:t>5. Scope</w:t>
      </w:r>
    </w:p>
    <w:p>
      <w:pPr>
        <w:spacing w:before="80" w:after="60"/>
      </w:pPr>
      <w:r>
        <w:rPr>
          <w:rFonts w:ascii="Arial" w:hAnsi="Arial"/>
          <w:b/>
          <w:color w:val="17365D"/>
          <w:sz w:val="23"/>
        </w:rPr>
        <w:t>5.1 In Scope</w:t>
      </w:r>
    </w:p>
    <w:p>
      <w:pPr>
        <w:pStyle w:val="ListBullet"/>
        <w:spacing w:after="20"/>
      </w:pPr>
      <w:r>
        <w:rPr>
          <w:rFonts w:ascii="Arial" w:hAnsi="Arial"/>
          <w:sz w:val="17"/>
        </w:rPr>
        <w:t>New letters of credit, guarantees and configured trade finance requests</w:t>
      </w:r>
    </w:p>
    <w:p>
      <w:pPr>
        <w:pStyle w:val="ListBullet"/>
        <w:spacing w:after="20"/>
      </w:pPr>
      <w:r>
        <w:rPr>
          <w:rFonts w:ascii="Arial" w:hAnsi="Arial"/>
          <w:sz w:val="17"/>
        </w:rPr>
        <w:t>Applicant, beneficiary and transaction data capture</w:t>
      </w:r>
    </w:p>
    <w:p>
      <w:pPr>
        <w:pStyle w:val="ListBullet"/>
        <w:spacing w:after="20"/>
      </w:pPr>
      <w:r>
        <w:rPr>
          <w:rFonts w:ascii="Arial" w:hAnsi="Arial"/>
          <w:sz w:val="17"/>
        </w:rPr>
        <w:t>Commercial and KYC document upload and validation</w:t>
      </w:r>
    </w:p>
    <w:p>
      <w:pPr>
        <w:pStyle w:val="ListBullet"/>
        <w:spacing w:after="20"/>
      </w:pPr>
      <w:r>
        <w:rPr>
          <w:rFonts w:ascii="Arial" w:hAnsi="Arial"/>
          <w:sz w:val="17"/>
        </w:rPr>
        <w:t>Sanctions, compliance and risk review routing</w:t>
      </w:r>
    </w:p>
    <w:p>
      <w:pPr>
        <w:pStyle w:val="ListBullet"/>
        <w:spacing w:after="20"/>
      </w:pPr>
      <w:r>
        <w:rPr>
          <w:rFonts w:ascii="Arial" w:hAnsi="Arial"/>
          <w:sz w:val="17"/>
        </w:rPr>
        <w:t>Discrepancy and approval-condition tracking</w:t>
      </w:r>
    </w:p>
    <w:p>
      <w:pPr>
        <w:pStyle w:val="ListBullet"/>
        <w:spacing w:after="20"/>
      </w:pPr>
      <w:r>
        <w:rPr>
          <w:rFonts w:ascii="Arial" w:hAnsi="Arial"/>
          <w:sz w:val="17"/>
        </w:rPr>
        <w:t>Transaction status notifications, dashboards and standard reports</w:t>
      </w:r>
    </w:p>
    <w:p>
      <w:pPr>
        <w:pStyle w:val="ListBullet"/>
        <w:spacing w:after="20"/>
      </w:pPr>
      <w:r>
        <w:rPr>
          <w:rFonts w:ascii="Arial" w:hAnsi="Arial"/>
          <w:sz w:val="17"/>
        </w:rPr>
        <w:t>Role-based approval, rejection and return actions</w:t>
      </w:r>
    </w:p>
    <w:p>
      <w:pPr>
        <w:spacing w:before="80" w:after="60"/>
      </w:pPr>
      <w:r>
        <w:rPr>
          <w:rFonts w:ascii="Arial" w:hAnsi="Arial"/>
          <w:b/>
          <w:color w:val="17365D"/>
          <w:sz w:val="23"/>
        </w:rPr>
        <w:t>5.2 Out of Scope</w:t>
      </w:r>
    </w:p>
    <w:p>
      <w:pPr>
        <w:pStyle w:val="ListBullet"/>
        <w:spacing w:after="20"/>
      </w:pPr>
      <w:r>
        <w:rPr>
          <w:rFonts w:ascii="Arial" w:hAnsi="Arial"/>
          <w:sz w:val="17"/>
        </w:rPr>
        <w:t>Changes to core trade processing platform configuration.</w:t>
      </w:r>
    </w:p>
    <w:p>
      <w:pPr>
        <w:pStyle w:val="ListBullet"/>
        <w:spacing w:after="20"/>
      </w:pPr>
      <w:r>
        <w:rPr>
          <w:rFonts w:ascii="Arial" w:hAnsi="Arial"/>
          <w:sz w:val="17"/>
        </w:rPr>
        <w:t>Automated settlement or payment execution.</w:t>
      </w:r>
    </w:p>
    <w:p>
      <w:pPr>
        <w:pStyle w:val="ListBullet"/>
        <w:spacing w:after="20"/>
      </w:pPr>
      <w:r>
        <w:rPr>
          <w:rFonts w:ascii="Arial" w:hAnsi="Arial"/>
          <w:sz w:val="17"/>
        </w:rPr>
        <w:t>Maintenance of historical trade master data.</w:t>
      </w:r>
    </w:p>
    <w:p>
      <w:pPr>
        <w:pStyle w:val="ListBullet"/>
        <w:spacing w:after="20"/>
      </w:pPr>
      <w:r>
        <w:rPr>
          <w:rFonts w:ascii="Arial" w:hAnsi="Arial"/>
          <w:sz w:val="17"/>
        </w:rPr>
        <w:t>Migration of historical trade transactions beyond the agreed POC sample set.</w:t>
      </w:r>
    </w:p>
    <w:p>
      <w:pPr>
        <w:spacing w:before="140" w:after="60"/>
      </w:pPr>
      <w:r>
        <w:rPr>
          <w:rFonts w:ascii="Arial" w:hAnsi="Arial"/>
          <w:b/>
          <w:color w:val="17365D"/>
          <w:sz w:val="32"/>
        </w:rPr>
        <w:t>6. Stakeholders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5"/>
              </w:rPr>
              <w:t>Role</w:t>
            </w:r>
          </w:p>
        </w:tc>
        <w:tc>
          <w:tcPr>
            <w:tcW w:type="dxa" w:w="2592"/>
            <w:vAlign w:val="center"/>
            <w:shd w:fill="1F4E79"/>
          </w:tcPr>
          <w:p>
            <w:pPr>
              <w:jc w:val="center"/>
            </w:pPr>
            <w:r/>
            <w:r>
              <w:rPr>
                <w:rFonts w:ascii="Arial" w:hAnsi="Arial"/>
                <w:b/>
                <w:color w:val="FFFFFF"/>
                <w:sz w:val="15"/>
              </w:rPr>
              <w:t>Sample Representative</w:t>
            </w:r>
          </w:p>
        </w:tc>
        <w:tc>
          <w:tcPr>
            <w:tcW w:type="dxa" w:w="2592"/>
            <w:vAlign w:val="center"/>
            <w:shd w:fill="1F4E79"/>
          </w:tcPr>
          <w:p>
            <w:pPr>
              <w:jc w:val="center"/>
            </w:pPr>
            <w:r/>
            <w:r>
              <w:rPr>
                <w:rFonts w:ascii="Arial" w:hAnsi="Arial"/>
                <w:b/>
                <w:color w:val="FFFFFF"/>
                <w:sz w:val="15"/>
              </w:rPr>
              <w:t>Interest / Responsibility</w:t>
            </w:r>
          </w:p>
        </w:tc>
        <w:tc>
          <w:tcPr>
            <w:tcW w:type="dxa" w:w="2592"/>
            <w:vAlign w:val="center"/>
            <w:shd w:fill="1F4E79"/>
          </w:tcPr>
          <w:p>
            <w:pPr>
              <w:jc w:val="center"/>
            </w:pPr>
            <w:r/>
            <w:r>
              <w:rPr>
                <w:rFonts w:ascii="Arial" w:hAnsi="Arial"/>
                <w:b/>
                <w:color w:val="FFFFFF"/>
                <w:sz w:val="15"/>
              </w:rPr>
              <w:t>Influence</w:t>
            </w:r>
          </w:p>
        </w:tc>
      </w:tr>
      <w:tr>
        <w:tc>
          <w:tcPr>
            <w:tcW w:type="dxa" w:w="2592"/>
            <w:vAlign w:val="center"/>
          </w:tcPr>
          <w:p>
            <w:pPr>
              <w:jc w:val="left"/>
            </w:pPr>
            <w:r/>
            <w:r>
              <w:rPr>
                <w:rFonts w:ascii="Arial" w:hAnsi="Arial"/>
                <w:b w:val="0"/>
                <w:sz w:val="15"/>
              </w:rPr>
              <w:t>Business Sponsor</w:t>
            </w:r>
          </w:p>
        </w:tc>
        <w:tc>
          <w:tcPr>
            <w:tcW w:type="dxa" w:w="2592"/>
            <w:vAlign w:val="center"/>
          </w:tcPr>
          <w:p>
            <w:pPr>
              <w:jc w:val="left"/>
            </w:pPr>
            <w:r/>
            <w:r>
              <w:rPr>
                <w:rFonts w:ascii="Arial" w:hAnsi="Arial"/>
                <w:b w:val="0"/>
                <w:sz w:val="15"/>
              </w:rPr>
              <w:t>COO</w:t>
            </w:r>
          </w:p>
        </w:tc>
        <w:tc>
          <w:tcPr>
            <w:tcW w:type="dxa" w:w="2592"/>
            <w:vAlign w:val="center"/>
          </w:tcPr>
          <w:p>
            <w:pPr>
              <w:jc w:val="left"/>
            </w:pPr>
            <w:r/>
            <w:r>
              <w:rPr>
                <w:rFonts w:ascii="Arial" w:hAnsi="Arial"/>
                <w:b w:val="0"/>
                <w:sz w:val="15"/>
              </w:rPr>
              <w:t>Funding, business outcome and executive decisions.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Business Owner</w:t>
            </w:r>
          </w:p>
        </w:tc>
        <w:tc>
          <w:tcPr>
            <w:tcW w:type="dxa" w:w="2592"/>
            <w:vAlign w:val="center"/>
            <w:shd w:fill="E7E6E6"/>
          </w:tcPr>
          <w:p>
            <w:pPr>
              <w:jc w:val="left"/>
            </w:pPr>
            <w:r/>
            <w:r>
              <w:rPr>
                <w:rFonts w:ascii="Arial" w:hAnsi="Arial"/>
                <w:b w:val="0"/>
                <w:sz w:val="15"/>
              </w:rPr>
              <w:t>Head of Lending Operations</w:t>
            </w:r>
          </w:p>
        </w:tc>
        <w:tc>
          <w:tcPr>
            <w:tcW w:type="dxa" w:w="2592"/>
            <w:vAlign w:val="center"/>
            <w:shd w:fill="E7E6E6"/>
          </w:tcPr>
          <w:p>
            <w:pPr>
              <w:jc w:val="left"/>
            </w:pPr>
            <w:r/>
            <w:r>
              <w:rPr>
                <w:rFonts w:ascii="Arial" w:hAnsi="Arial"/>
                <w:b w:val="0"/>
                <w:sz w:val="15"/>
              </w:rPr>
              <w:t>Process ownership, priorities and acceptance.</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Relationship Manager</w:t>
            </w:r>
          </w:p>
        </w:tc>
        <w:tc>
          <w:tcPr>
            <w:tcW w:type="dxa" w:w="2592"/>
            <w:vAlign w:val="center"/>
          </w:tcPr>
          <w:p>
            <w:pPr>
              <w:jc w:val="left"/>
            </w:pPr>
            <w:r/>
            <w:r>
              <w:rPr>
                <w:rFonts w:ascii="Arial" w:hAnsi="Arial"/>
                <w:b w:val="0"/>
                <w:sz w:val="15"/>
              </w:rPr>
              <w:t>John Smith</w:t>
            </w:r>
          </w:p>
        </w:tc>
        <w:tc>
          <w:tcPr>
            <w:tcW w:type="dxa" w:w="2592"/>
            <w:vAlign w:val="center"/>
          </w:tcPr>
          <w:p>
            <w:pPr>
              <w:jc w:val="left"/>
            </w:pPr>
            <w:r/>
            <w:r>
              <w:rPr>
                <w:rFonts w:ascii="Arial" w:hAnsi="Arial"/>
                <w:b w:val="0"/>
                <w:sz w:val="15"/>
              </w:rPr>
              <w:t>Borrower intake and application completeness.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Credit Lead</w:t>
            </w:r>
          </w:p>
        </w:tc>
        <w:tc>
          <w:tcPr>
            <w:tcW w:type="dxa" w:w="2592"/>
            <w:vAlign w:val="center"/>
            <w:shd w:fill="E7E6E6"/>
          </w:tcPr>
          <w:p>
            <w:pPr>
              <w:jc w:val="left"/>
            </w:pPr>
            <w:r/>
            <w:r>
              <w:rPr>
                <w:rFonts w:ascii="Arial" w:hAnsi="Arial"/>
                <w:b w:val="0"/>
                <w:sz w:val="15"/>
              </w:rPr>
              <w:t>Sarah Brown</w:t>
            </w:r>
          </w:p>
        </w:tc>
        <w:tc>
          <w:tcPr>
            <w:tcW w:type="dxa" w:w="2592"/>
            <w:vAlign w:val="center"/>
            <w:shd w:fill="E7E6E6"/>
          </w:tcPr>
          <w:p>
            <w:pPr>
              <w:jc w:val="left"/>
            </w:pPr>
            <w:r/>
            <w:r>
              <w:rPr>
                <w:rFonts w:ascii="Arial" w:hAnsi="Arial"/>
                <w:b w:val="0"/>
                <w:sz w:val="15"/>
              </w:rPr>
              <w:t>Credit assessment and recommendation quality.</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Risk Manager</w:t>
            </w:r>
          </w:p>
        </w:tc>
        <w:tc>
          <w:tcPr>
            <w:tcW w:type="dxa" w:w="2592"/>
            <w:vAlign w:val="center"/>
          </w:tcPr>
          <w:p>
            <w:pPr>
              <w:jc w:val="left"/>
            </w:pPr>
            <w:r/>
            <w:r>
              <w:rPr>
                <w:rFonts w:ascii="Arial" w:hAnsi="Arial"/>
                <w:b w:val="0"/>
                <w:sz w:val="15"/>
              </w:rPr>
              <w:t>David Wilson</w:t>
            </w:r>
          </w:p>
        </w:tc>
        <w:tc>
          <w:tcPr>
            <w:tcW w:type="dxa" w:w="2592"/>
            <w:vAlign w:val="center"/>
          </w:tcPr>
          <w:p>
            <w:pPr>
              <w:jc w:val="left"/>
            </w:pPr>
            <w:r/>
            <w:r>
              <w:rPr>
                <w:rFonts w:ascii="Arial" w:hAnsi="Arial"/>
                <w:b w:val="0"/>
                <w:sz w:val="15"/>
              </w:rPr>
              <w:t>Risk classification and approval authority.</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Loan Administration Lead</w:t>
            </w:r>
          </w:p>
        </w:tc>
        <w:tc>
          <w:tcPr>
            <w:tcW w:type="dxa" w:w="2592"/>
            <w:vAlign w:val="center"/>
            <w:shd w:fill="E7E6E6"/>
          </w:tcPr>
          <w:p>
            <w:pPr>
              <w:jc w:val="left"/>
            </w:pPr>
            <w:r/>
            <w:r>
              <w:rPr>
                <w:rFonts w:ascii="Arial" w:hAnsi="Arial"/>
                <w:b w:val="0"/>
                <w:sz w:val="15"/>
              </w:rPr>
              <w:t>Operations Team</w:t>
            </w:r>
          </w:p>
        </w:tc>
        <w:tc>
          <w:tcPr>
            <w:tcW w:type="dxa" w:w="2592"/>
            <w:vAlign w:val="center"/>
            <w:shd w:fill="E7E6E6"/>
          </w:tcPr>
          <w:p>
            <w:pPr>
              <w:jc w:val="left"/>
            </w:pPr>
            <w:r/>
            <w:r>
              <w:rPr>
                <w:rFonts w:ascii="Arial" w:hAnsi="Arial"/>
                <w:b w:val="0"/>
                <w:sz w:val="15"/>
              </w:rPr>
              <w:t>Facility setup and operational completion.</w:t>
            </w:r>
          </w:p>
        </w:tc>
        <w:tc>
          <w:tcPr>
            <w:tcW w:type="dxa" w:w="2592"/>
            <w:vAlign w:val="center"/>
            <w:shd w:fill="E7E6E6"/>
          </w:tcPr>
          <w:p>
            <w:pPr>
              <w:jc w:val="left"/>
            </w:pPr>
            <w:r/>
            <w:r>
              <w:rPr>
                <w:rFonts w:ascii="Arial" w:hAnsi="Arial"/>
                <w:b w:val="0"/>
                <w:sz w:val="15"/>
              </w:rPr>
              <w:t>Medium</w:t>
            </w:r>
          </w:p>
        </w:tc>
      </w:tr>
      <w:tr>
        <w:tc>
          <w:tcPr>
            <w:tcW w:type="dxa" w:w="2592"/>
            <w:vAlign w:val="center"/>
          </w:tcPr>
          <w:p>
            <w:pPr>
              <w:jc w:val="left"/>
            </w:pPr>
            <w:r/>
            <w:r>
              <w:rPr>
                <w:rFonts w:ascii="Arial" w:hAnsi="Arial"/>
                <w:b w:val="0"/>
                <w:sz w:val="15"/>
              </w:rPr>
              <w:t>Business Analyst</w:t>
            </w:r>
          </w:p>
        </w:tc>
        <w:tc>
          <w:tcPr>
            <w:tcW w:type="dxa" w:w="2592"/>
            <w:vAlign w:val="center"/>
          </w:tcPr>
          <w:p>
            <w:pPr>
              <w:jc w:val="left"/>
            </w:pPr>
            <w:r/>
            <w:r>
              <w:rPr>
                <w:rFonts w:ascii="Arial" w:hAnsi="Arial"/>
                <w:b w:val="0"/>
                <w:sz w:val="15"/>
              </w:rPr>
              <w:t>POC BA</w:t>
            </w:r>
          </w:p>
        </w:tc>
        <w:tc>
          <w:tcPr>
            <w:tcW w:type="dxa" w:w="2592"/>
            <w:vAlign w:val="center"/>
          </w:tcPr>
          <w:p>
            <w:pPr>
              <w:jc w:val="left"/>
            </w:pPr>
            <w:r/>
            <w:r>
              <w:rPr>
                <w:rFonts w:ascii="Arial" w:hAnsi="Arial"/>
                <w:b w:val="0"/>
                <w:sz w:val="15"/>
              </w:rPr>
              <w:t>Requirement quality, traceability and clarification.</w:t>
            </w:r>
          </w:p>
        </w:tc>
        <w:tc>
          <w:tcPr>
            <w:tcW w:type="dxa" w:w="2592"/>
            <w:vAlign w:val="center"/>
          </w:tcPr>
          <w:p>
            <w:pPr>
              <w:jc w:val="left"/>
            </w:pPr>
            <w:r/>
            <w:r>
              <w:rPr>
                <w:rFonts w:ascii="Arial" w:hAnsi="Arial"/>
                <w:b w:val="0"/>
                <w:sz w:val="15"/>
              </w:rPr>
              <w:t>Medium</w:t>
            </w:r>
          </w:p>
        </w:tc>
      </w:tr>
    </w:tbl>
    <w:p>
      <w:pPr>
        <w:spacing w:after="20"/>
      </w:pPr>
    </w:p>
    <w:p>
      <w:pPr>
        <w:spacing w:before="140" w:after="60"/>
      </w:pPr>
      <w:r>
        <w:rPr>
          <w:rFonts w:ascii="Arial" w:hAnsi="Arial"/>
          <w:b/>
          <w:color w:val="17365D"/>
          <w:sz w:val="32"/>
        </w:rPr>
        <w:t>7. Current Process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Step</w:t>
            </w:r>
          </w:p>
        </w:tc>
        <w:tc>
          <w:tcPr>
            <w:tcW w:type="dxa" w:w="5184"/>
            <w:vAlign w:val="center"/>
            <w:shd w:fill="1F4E79"/>
          </w:tcPr>
          <w:p>
            <w:pPr>
              <w:jc w:val="center"/>
            </w:pPr>
            <w:r/>
            <w:r>
              <w:rPr>
                <w:rFonts w:ascii="Arial" w:hAnsi="Arial"/>
                <w:b/>
                <w:color w:val="FFFFFF"/>
                <w:sz w:val="15"/>
              </w:rPr>
              <w:t>Current Activity</w:t>
            </w:r>
          </w:p>
        </w:tc>
      </w:tr>
      <w:tr>
        <w:tc>
          <w:tcPr>
            <w:tcW w:type="dxa" w:w="5184"/>
            <w:vAlign w:val="center"/>
          </w:tcPr>
          <w:p>
            <w:pPr>
              <w:jc w:val="left"/>
            </w:pPr>
            <w:r/>
            <w:r>
              <w:rPr>
                <w:rFonts w:ascii="Arial" w:hAnsi="Arial"/>
                <w:b w:val="0"/>
                <w:sz w:val="15"/>
              </w:rPr>
              <w:t>1</w:t>
            </w:r>
          </w:p>
        </w:tc>
        <w:tc>
          <w:tcPr>
            <w:tcW w:type="dxa" w:w="5184"/>
            <w:vAlign w:val="center"/>
          </w:tcPr>
          <w:p>
            <w:pPr>
              <w:jc w:val="left"/>
            </w:pPr>
            <w:r/>
            <w:r>
              <w:rPr>
                <w:rFonts w:ascii="Arial" w:hAnsi="Arial"/>
                <w:b w:val="0"/>
                <w:sz w:val="15"/>
              </w:rPr>
              <w:t>Relationship Manager collects applicant, beneficiary, transaction and commercial documents and emails the request to Trade Operations.</w:t>
            </w:r>
          </w:p>
        </w:tc>
      </w:tr>
      <w:tr>
        <w:tc>
          <w:tcPr>
            <w:tcW w:type="dxa" w:w="5184"/>
            <w:vAlign w:val="center"/>
            <w:shd w:fill="E7E6E6"/>
          </w:tcPr>
          <w:p>
            <w:pPr>
              <w:jc w:val="left"/>
            </w:pPr>
            <w:r/>
            <w:r>
              <w:rPr>
                <w:rFonts w:ascii="Arial" w:hAnsi="Arial"/>
                <w:b w:val="0"/>
                <w:sz w:val="15"/>
              </w:rPr>
              <w:t>2</w:t>
            </w:r>
          </w:p>
        </w:tc>
        <w:tc>
          <w:tcPr>
            <w:tcW w:type="dxa" w:w="5184"/>
            <w:vAlign w:val="center"/>
            <w:shd w:fill="E7E6E6"/>
          </w:tcPr>
          <w:p>
            <w:pPr>
              <w:jc w:val="left"/>
            </w:pPr>
            <w:r/>
            <w:r>
              <w:rPr>
                <w:rFonts w:ascii="Arial" w:hAnsi="Arial"/>
                <w:b w:val="0"/>
                <w:sz w:val="15"/>
              </w:rPr>
              <w:t>Trade Operations checks completeness and re-enters transaction data into working systems or spreadsheets.</w:t>
            </w:r>
          </w:p>
        </w:tc>
      </w:tr>
      <w:tr>
        <w:tc>
          <w:tcPr>
            <w:tcW w:type="dxa" w:w="5184"/>
            <w:vAlign w:val="center"/>
          </w:tcPr>
          <w:p>
            <w:pPr>
              <w:jc w:val="left"/>
            </w:pPr>
            <w:r/>
            <w:r>
              <w:rPr>
                <w:rFonts w:ascii="Arial" w:hAnsi="Arial"/>
                <w:b w:val="0"/>
                <w:sz w:val="15"/>
              </w:rPr>
              <w:t>3</w:t>
            </w:r>
          </w:p>
        </w:tc>
        <w:tc>
          <w:tcPr>
            <w:tcW w:type="dxa" w:w="5184"/>
            <w:vAlign w:val="center"/>
          </w:tcPr>
          <w:p>
            <w:pPr>
              <w:jc w:val="left"/>
            </w:pPr>
            <w:r/>
            <w:r>
              <w:rPr>
                <w:rFonts w:ascii="Arial" w:hAnsi="Arial"/>
                <w:b w:val="0"/>
                <w:sz w:val="15"/>
              </w:rPr>
              <w:t>Compliance performs KYC, sanctions and trade compliance checks.</w:t>
            </w:r>
          </w:p>
        </w:tc>
      </w:tr>
      <w:tr>
        <w:tc>
          <w:tcPr>
            <w:tcW w:type="dxa" w:w="5184"/>
            <w:vAlign w:val="center"/>
            <w:shd w:fill="E7E6E6"/>
          </w:tcPr>
          <w:p>
            <w:pPr>
              <w:jc w:val="left"/>
            </w:pPr>
            <w:r/>
            <w:r>
              <w:rPr>
                <w:rFonts w:ascii="Arial" w:hAnsi="Arial"/>
                <w:b w:val="0"/>
                <w:sz w:val="15"/>
              </w:rPr>
              <w:t>4</w:t>
            </w:r>
          </w:p>
        </w:tc>
        <w:tc>
          <w:tcPr>
            <w:tcW w:type="dxa" w:w="5184"/>
            <w:vAlign w:val="center"/>
            <w:shd w:fill="E7E6E6"/>
          </w:tcPr>
          <w:p>
            <w:pPr>
              <w:jc w:val="left"/>
            </w:pPr>
            <w:r/>
            <w:r>
              <w:rPr>
                <w:rFonts w:ascii="Arial" w:hAnsi="Arial"/>
                <w:b w:val="0"/>
                <w:sz w:val="15"/>
              </w:rPr>
              <w:t>Risk team assesses counterparty or transaction risk and determines approval requirements.</w:t>
            </w:r>
          </w:p>
        </w:tc>
      </w:tr>
      <w:tr>
        <w:tc>
          <w:tcPr>
            <w:tcW w:type="dxa" w:w="5184"/>
            <w:vAlign w:val="center"/>
          </w:tcPr>
          <w:p>
            <w:pPr>
              <w:jc w:val="left"/>
            </w:pPr>
            <w:r/>
            <w:r>
              <w:rPr>
                <w:rFonts w:ascii="Arial" w:hAnsi="Arial"/>
                <w:b w:val="0"/>
                <w:sz w:val="15"/>
              </w:rPr>
              <w:t>5</w:t>
            </w:r>
          </w:p>
        </w:tc>
        <w:tc>
          <w:tcPr>
            <w:tcW w:type="dxa" w:w="5184"/>
            <w:vAlign w:val="center"/>
          </w:tcPr>
          <w:p>
            <w:pPr>
              <w:jc w:val="left"/>
            </w:pPr>
            <w:r/>
            <w:r>
              <w:rPr>
                <w:rFonts w:ascii="Arial" w:hAnsi="Arial"/>
                <w:b w:val="0"/>
                <w:sz w:val="15"/>
              </w:rPr>
              <w:t>Authorized approvers communicate approval, rejection or discrepancy decisions through email.</w:t>
            </w:r>
          </w:p>
        </w:tc>
      </w:tr>
      <w:tr>
        <w:tc>
          <w:tcPr>
            <w:tcW w:type="dxa" w:w="5184"/>
            <w:vAlign w:val="center"/>
            <w:shd w:fill="E7E6E6"/>
          </w:tcPr>
          <w:p>
            <w:pPr>
              <w:jc w:val="left"/>
            </w:pPr>
            <w:r/>
            <w:r>
              <w:rPr>
                <w:rFonts w:ascii="Arial" w:hAnsi="Arial"/>
                <w:b w:val="0"/>
                <w:sz w:val="15"/>
              </w:rPr>
              <w:t>6</w:t>
            </w:r>
          </w:p>
        </w:tc>
        <w:tc>
          <w:tcPr>
            <w:tcW w:type="dxa" w:w="5184"/>
            <w:vAlign w:val="center"/>
            <w:shd w:fill="E7E6E6"/>
          </w:tcPr>
          <w:p>
            <w:pPr>
              <w:jc w:val="left"/>
            </w:pPr>
            <w:r/>
            <w:r>
              <w:rPr>
                <w:rFonts w:ascii="Arial" w:hAnsi="Arial"/>
                <w:b w:val="0"/>
                <w:sz w:val="15"/>
              </w:rPr>
              <w:t>Trade Services resolves outstanding conditions and creates or issues the instrument.</w:t>
            </w:r>
          </w:p>
        </w:tc>
      </w:tr>
      <w:tr>
        <w:tc>
          <w:tcPr>
            <w:tcW w:type="dxa" w:w="5184"/>
            <w:vAlign w:val="center"/>
          </w:tcPr>
          <w:p>
            <w:pPr>
              <w:jc w:val="left"/>
            </w:pPr>
            <w:r/>
            <w:r>
              <w:rPr>
                <w:rFonts w:ascii="Arial" w:hAnsi="Arial"/>
                <w:b w:val="0"/>
                <w:sz w:val="15"/>
              </w:rPr>
              <w:t>7</w:t>
            </w:r>
          </w:p>
        </w:tc>
        <w:tc>
          <w:tcPr>
            <w:tcW w:type="dxa" w:w="5184"/>
            <w:vAlign w:val="center"/>
          </w:tcPr>
          <w:p>
            <w:pPr>
              <w:jc w:val="left"/>
            </w:pPr>
            <w:r/>
            <w:r>
              <w:rPr>
                <w:rFonts w:ascii="Arial" w:hAnsi="Arial"/>
                <w:b w:val="0"/>
                <w:sz w:val="15"/>
              </w:rPr>
              <w:t>Relationship Manager and relevant stakeholders are notified of issuance, rejection or completion.</w:t>
            </w:r>
          </w:p>
        </w:tc>
      </w:tr>
    </w:tbl>
    <w:p>
      <w:pPr>
        <w:spacing w:after="20"/>
      </w:pPr>
    </w:p>
    <w:p>
      <w:pPr>
        <w:spacing w:before="140" w:after="60"/>
      </w:pPr>
      <w:r>
        <w:rPr>
          <w:rFonts w:ascii="Arial" w:hAnsi="Arial"/>
          <w:b/>
          <w:color w:val="17365D"/>
          <w:sz w:val="32"/>
        </w:rPr>
        <w:t>8. Future-State Business Requirements</w:t>
      </w:r>
    </w:p>
    <w:p>
      <w:pPr>
        <w:spacing w:before="80" w:after="60"/>
      </w:pPr>
      <w:r>
        <w:rPr>
          <w:rFonts w:ascii="Arial" w:hAnsi="Arial"/>
          <w:b/>
          <w:color w:val="17365D"/>
          <w:sz w:val="23"/>
        </w:rPr>
        <w:t>BR-001  Trade Finance Request Registration</w:t>
      </w:r>
    </w:p>
    <w:p>
      <w:pPr>
        <w:spacing w:after="80" w:line="240" w:lineRule="auto"/>
      </w:pPr>
      <w:r>
        <w:rPr>
          <w:rFonts w:ascii="Arial" w:hAnsi="Arial"/>
          <w:sz w:val="18"/>
        </w:rPr>
        <w:t>The solution shall allow authorized Relationship Managers and Trade Operations users to create, save and submit a new trade finance request through a web-based interface.</w:t>
      </w:r>
    </w:p>
    <w:p>
      <w:pPr>
        <w:spacing w:before="80" w:after="60"/>
      </w:pPr>
      <w:r>
        <w:rPr>
          <w:rFonts w:ascii="Arial" w:hAnsi="Arial"/>
          <w:b/>
          <w:color w:val="17365D"/>
          <w:sz w:val="23"/>
        </w:rPr>
        <w:t>BR-002  Trade Document Upload</w:t>
      </w:r>
    </w:p>
    <w:p>
      <w:pPr>
        <w:spacing w:after="80" w:line="240" w:lineRule="auto"/>
      </w:pPr>
      <w:r>
        <w:rPr>
          <w:rFonts w:ascii="Arial" w:hAnsi="Arial"/>
          <w:sz w:val="18"/>
        </w:rPr>
        <w:t>The solution shall support upload of letters of credit, guarantees, invoices, shipping documents, beneficiary records and other configured trade documents.</w:t>
      </w:r>
    </w:p>
    <w:p>
      <w:pPr>
        <w:spacing w:before="80" w:after="60"/>
      </w:pPr>
      <w:r>
        <w:rPr>
          <w:rFonts w:ascii="Arial" w:hAnsi="Arial"/>
          <w:b/>
          <w:color w:val="17365D"/>
          <w:sz w:val="23"/>
        </w:rPr>
        <w:t>BR-003  Trade Document Validation</w:t>
      </w:r>
    </w:p>
    <w:p>
      <w:pPr>
        <w:spacing w:after="80" w:line="240" w:lineRule="auto"/>
      </w:pPr>
      <w:r>
        <w:rPr>
          <w:rFonts w:ascii="Arial" w:hAnsi="Arial"/>
          <w:sz w:val="18"/>
        </w:rPr>
        <w:t>The solution shall verify that mandatory commercial, KYC and transaction documents for the selected trade product and jurisdiction are available before compliance review.</w:t>
      </w:r>
    </w:p>
    <w:p>
      <w:pPr>
        <w:spacing w:before="80" w:after="60"/>
      </w:pPr>
      <w:r>
        <w:rPr>
          <w:rFonts w:ascii="Arial" w:hAnsi="Arial"/>
          <w:b/>
          <w:color w:val="17365D"/>
          <w:sz w:val="23"/>
        </w:rPr>
        <w:t>BR-004  Trade Workflow Management</w:t>
      </w:r>
    </w:p>
    <w:p>
      <w:pPr>
        <w:spacing w:after="80" w:line="240" w:lineRule="auto"/>
      </w:pPr>
      <w:r>
        <w:rPr>
          <w:rFonts w:ascii="Arial" w:hAnsi="Arial"/>
          <w:sz w:val="18"/>
        </w:rPr>
        <w:t>The solution shall route requests to Trade Operations, Compliance, Risk and Trade Services according to configured product, jurisdiction and approval rules.</w:t>
      </w:r>
    </w:p>
    <w:p>
      <w:pPr>
        <w:spacing w:before="80" w:after="60"/>
      </w:pPr>
      <w:r>
        <w:rPr>
          <w:rFonts w:ascii="Arial" w:hAnsi="Arial"/>
          <w:b/>
          <w:color w:val="17365D"/>
          <w:sz w:val="23"/>
        </w:rPr>
        <w:t>BR-005  Trade Approval Actions</w:t>
      </w:r>
    </w:p>
    <w:p>
      <w:pPr>
        <w:spacing w:after="80" w:line="240" w:lineRule="auto"/>
      </w:pPr>
      <w:r>
        <w:rPr>
          <w:rFonts w:ascii="Arial" w:hAnsi="Arial"/>
          <w:sz w:val="18"/>
        </w:rPr>
        <w:t>Authorized approvers shall be able to approve, reject or return a trade request for additional information and record discrepancy or approval conditions.</w:t>
      </w:r>
    </w:p>
    <w:p>
      <w:pPr>
        <w:spacing w:before="80" w:after="60"/>
      </w:pPr>
      <w:r>
        <w:rPr>
          <w:rFonts w:ascii="Arial" w:hAnsi="Arial"/>
          <w:b/>
          <w:color w:val="17365D"/>
          <w:sz w:val="23"/>
        </w:rPr>
        <w:t>BR-006  Trade Finance Notifications</w:t>
      </w:r>
    </w:p>
    <w:p>
      <w:pPr>
        <w:spacing w:after="80" w:line="240" w:lineRule="auto"/>
      </w:pPr>
      <w:r>
        <w:rPr>
          <w:rFonts w:ascii="Arial" w:hAnsi="Arial"/>
          <w:sz w:val="18"/>
        </w:rPr>
        <w:t>The solution shall notify relevant users when a trade request is assigned, returned, approved, rejected, discrepancy-raised, overdue or completed.</w:t>
      </w:r>
    </w:p>
    <w:p>
      <w:pPr>
        <w:spacing w:before="80" w:after="60"/>
      </w:pPr>
      <w:r>
        <w:rPr>
          <w:rFonts w:ascii="Arial" w:hAnsi="Arial"/>
          <w:b/>
          <w:color w:val="17365D"/>
          <w:sz w:val="23"/>
        </w:rPr>
        <w:t>BR-007  Trade Status Visibility</w:t>
      </w:r>
    </w:p>
    <w:p>
      <w:pPr>
        <w:spacing w:after="80" w:line="240" w:lineRule="auto"/>
      </w:pPr>
      <w:r>
        <w:rPr>
          <w:rFonts w:ascii="Arial" w:hAnsi="Arial"/>
          <w:sz w:val="18"/>
        </w:rPr>
        <w:t>Authorized users shall be able to view transaction stage, responsible owner, outstanding discrepancies, aging and next action.</w:t>
      </w:r>
    </w:p>
    <w:p>
      <w:pPr>
        <w:spacing w:before="80" w:after="60"/>
      </w:pPr>
      <w:r>
        <w:rPr>
          <w:rFonts w:ascii="Arial" w:hAnsi="Arial"/>
          <w:b/>
          <w:color w:val="17365D"/>
          <w:sz w:val="23"/>
        </w:rPr>
        <w:t>BR-008  Trade Audit Trail</w:t>
      </w:r>
    </w:p>
    <w:p>
      <w:pPr>
        <w:spacing w:after="80" w:line="240" w:lineRule="auto"/>
      </w:pPr>
      <w:r>
        <w:rPr>
          <w:rFonts w:ascii="Arial" w:hAnsi="Arial"/>
          <w:sz w:val="18"/>
        </w:rPr>
        <w:t>The solution shall maintain an immutable history of submissions, transaction changes, document actions, screening results, decisions and status transitions.</w:t>
      </w:r>
    </w:p>
    <w:p>
      <w:pPr>
        <w:spacing w:before="80" w:after="60"/>
      </w:pPr>
      <w:r>
        <w:rPr>
          <w:rFonts w:ascii="Arial" w:hAnsi="Arial"/>
          <w:b/>
          <w:color w:val="17365D"/>
          <w:sz w:val="23"/>
        </w:rPr>
        <w:t>BR-009  Trade Search and Reporting</w:t>
      </w:r>
    </w:p>
    <w:p>
      <w:pPr>
        <w:spacing w:after="80" w:line="240" w:lineRule="auto"/>
      </w:pPr>
      <w:r>
        <w:rPr>
          <w:rFonts w:ascii="Arial" w:hAnsi="Arial"/>
          <w:sz w:val="18"/>
        </w:rPr>
        <w:t>Users shall be able to search trade requests and generate standard reports by status, product, applicant, jurisdiction, age and owning team.</w:t>
      </w:r>
    </w:p>
    <w:p>
      <w:pPr>
        <w:spacing w:before="80" w:after="60"/>
      </w:pPr>
      <w:r>
        <w:rPr>
          <w:rFonts w:ascii="Arial" w:hAnsi="Arial"/>
          <w:b/>
          <w:color w:val="17365D"/>
          <w:sz w:val="23"/>
        </w:rPr>
        <w:t>BR-010  Trade Exception Handling</w:t>
      </w:r>
    </w:p>
    <w:p>
      <w:pPr>
        <w:spacing w:after="80" w:line="240" w:lineRule="auto"/>
      </w:pPr>
      <w:r>
        <w:rPr>
          <w:rFonts w:ascii="Arial" w:hAnsi="Arial"/>
          <w:sz w:val="18"/>
        </w:rPr>
        <w:t>The solution shall place a trade request on hold when a mandatory document is missing, screening fails or a discrepancy remains unresolved, and shall record the reason.</w:t>
      </w:r>
    </w:p>
    <w:p>
      <w:pPr>
        <w:spacing w:before="140" w:after="60"/>
      </w:pPr>
      <w:r>
        <w:rPr>
          <w:rFonts w:ascii="Arial" w:hAnsi="Arial"/>
          <w:b/>
          <w:color w:val="17365D"/>
          <w:sz w:val="32"/>
        </w:rPr>
        <w:t>9. 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Functional Requirement</w:t>
            </w:r>
          </w:p>
        </w:tc>
        <w:tc>
          <w:tcPr>
            <w:tcW w:type="dxa" w:w="3456"/>
            <w:vAlign w:val="center"/>
            <w:shd w:fill="1F4E79"/>
          </w:tcPr>
          <w:p>
            <w:pPr>
              <w:jc w:val="center"/>
            </w:pPr>
            <w:r/>
            <w:r>
              <w:rPr>
                <w:rFonts w:ascii="Arial" w:hAnsi="Arial"/>
                <w:b/>
                <w:color w:val="FFFFFF"/>
                <w:sz w:val="15"/>
              </w:rPr>
              <w:t>Priority</w:t>
            </w:r>
          </w:p>
        </w:tc>
      </w:tr>
      <w:tr>
        <w:tc>
          <w:tcPr>
            <w:tcW w:type="dxa" w:w="3456"/>
            <w:vAlign w:val="center"/>
          </w:tcPr>
          <w:p>
            <w:pPr>
              <w:jc w:val="left"/>
            </w:pPr>
            <w:r/>
            <w:r>
              <w:rPr>
                <w:rFonts w:ascii="Arial" w:hAnsi="Arial"/>
                <w:b w:val="0"/>
                <w:sz w:val="15"/>
              </w:rPr>
              <w:t>FR-001</w:t>
            </w:r>
          </w:p>
        </w:tc>
        <w:tc>
          <w:tcPr>
            <w:tcW w:type="dxa" w:w="3456"/>
            <w:vAlign w:val="center"/>
          </w:tcPr>
          <w:p>
            <w:pPr>
              <w:jc w:val="left"/>
            </w:pPr>
            <w:r/>
            <w:r>
              <w:rPr>
                <w:rFonts w:ascii="Arial" w:hAnsi="Arial"/>
                <w:b w:val="0"/>
                <w:sz w:val="15"/>
              </w:rPr>
              <w:t>Create, save as draft, edit and submit a trade finance request.</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FR-002</w:t>
            </w:r>
          </w:p>
        </w:tc>
        <w:tc>
          <w:tcPr>
            <w:tcW w:type="dxa" w:w="3456"/>
            <w:vAlign w:val="center"/>
            <w:shd w:fill="E7E6E6"/>
          </w:tcPr>
          <w:p>
            <w:pPr>
              <w:jc w:val="left"/>
            </w:pPr>
            <w:r/>
            <w:r>
              <w:rPr>
                <w:rFonts w:ascii="Arial" w:hAnsi="Arial"/>
                <w:b w:val="0"/>
                <w:sz w:val="15"/>
              </w:rPr>
              <w:t>Capture applicant, beneficiary, instrument type, amount, currency, country, tenor and transaction information.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FR-003</w:t>
            </w:r>
          </w:p>
        </w:tc>
        <w:tc>
          <w:tcPr>
            <w:tcW w:type="dxa" w:w="3456"/>
            <w:vAlign w:val="center"/>
          </w:tcPr>
          <w:p>
            <w:pPr>
              <w:jc w:val="left"/>
            </w:pPr>
            <w:r/>
            <w:r>
              <w:rPr>
                <w:rFonts w:ascii="Arial" w:hAnsi="Arial"/>
                <w:b w:val="0"/>
                <w:sz w:val="15"/>
              </w:rPr>
              <w:t>Upload, classify, preview, replace and download trade supporting documents.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FR-004</w:t>
            </w:r>
          </w:p>
        </w:tc>
        <w:tc>
          <w:tcPr>
            <w:tcW w:type="dxa" w:w="3456"/>
            <w:vAlign w:val="center"/>
            <w:shd w:fill="E7E6E6"/>
          </w:tcPr>
          <w:p>
            <w:pPr>
              <w:jc w:val="left"/>
            </w:pPr>
            <w:r/>
            <w:r>
              <w:rPr>
                <w:rFonts w:ascii="Arial" w:hAnsi="Arial"/>
                <w:b w:val="0"/>
                <w:sz w:val="15"/>
              </w:rPr>
              <w:t>Validate mandatory transaction fields and required commercial or compliance documents before submission.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FR-005</w:t>
            </w:r>
          </w:p>
        </w:tc>
        <w:tc>
          <w:tcPr>
            <w:tcW w:type="dxa" w:w="3456"/>
            <w:vAlign w:val="center"/>
          </w:tcPr>
          <w:p>
            <w:pPr>
              <w:jc w:val="left"/>
            </w:pPr>
            <w:r/>
            <w:r>
              <w:rPr>
                <w:rFonts w:ascii="Arial" w:hAnsi="Arial"/>
                <w:b w:val="0"/>
                <w:sz w:val="15"/>
              </w:rPr>
              <w:t>Assign and reassign trade workflow tasks to authorized users or groups.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FR-006</w:t>
            </w:r>
          </w:p>
        </w:tc>
        <w:tc>
          <w:tcPr>
            <w:tcW w:type="dxa" w:w="3456"/>
            <w:vAlign w:val="center"/>
            <w:shd w:fill="E7E6E6"/>
          </w:tcPr>
          <w:p>
            <w:pPr>
              <w:jc w:val="left"/>
            </w:pPr>
            <w:r/>
            <w:r>
              <w:rPr>
                <w:rFonts w:ascii="Arial" w:hAnsi="Arial"/>
                <w:b w:val="0"/>
                <w:sz w:val="15"/>
              </w:rPr>
              <w:t>Record approve, reject, return and discrepancy decisions with comments and conditions.</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FR-007</w:t>
            </w:r>
          </w:p>
        </w:tc>
        <w:tc>
          <w:tcPr>
            <w:tcW w:type="dxa" w:w="3456"/>
            <w:vAlign w:val="center"/>
          </w:tcPr>
          <w:p>
            <w:pPr>
              <w:jc w:val="left"/>
            </w:pPr>
            <w:r/>
            <w:r>
              <w:rPr>
                <w:rFonts w:ascii="Arial" w:hAnsi="Arial"/>
                <w:b w:val="0"/>
                <w:sz w:val="15"/>
              </w:rPr>
              <w:t>Display transaction stage, pending discrepancies, owner and aging.</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FR-008</w:t>
            </w:r>
          </w:p>
        </w:tc>
        <w:tc>
          <w:tcPr>
            <w:tcW w:type="dxa" w:w="3456"/>
            <w:vAlign w:val="center"/>
            <w:shd w:fill="E7E6E6"/>
          </w:tcPr>
          <w:p>
            <w:pPr>
              <w:jc w:val="left"/>
            </w:pPr>
            <w:r/>
            <w:r>
              <w:rPr>
                <w:rFonts w:ascii="Arial" w:hAnsi="Arial"/>
                <w:b w:val="0"/>
                <w:sz w:val="15"/>
              </w:rPr>
              <w:t>Send email notifications based on configured trade workflow events.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FR-009</w:t>
            </w:r>
          </w:p>
        </w:tc>
        <w:tc>
          <w:tcPr>
            <w:tcW w:type="dxa" w:w="3456"/>
            <w:vAlign w:val="center"/>
          </w:tcPr>
          <w:p>
            <w:pPr>
              <w:jc w:val="left"/>
            </w:pPr>
            <w:r/>
            <w:r>
              <w:rPr>
                <w:rFonts w:ascii="Arial" w:hAnsi="Arial"/>
                <w:b w:val="0"/>
                <w:sz w:val="15"/>
              </w:rPr>
              <w:t>Search requests using request ID, applicant, beneficiary, product, status and date range.</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FR-010</w:t>
            </w:r>
          </w:p>
        </w:tc>
        <w:tc>
          <w:tcPr>
            <w:tcW w:type="dxa" w:w="3456"/>
            <w:vAlign w:val="center"/>
            <w:shd w:fill="E7E6E6"/>
          </w:tcPr>
          <w:p>
            <w:pPr>
              <w:jc w:val="left"/>
            </w:pPr>
            <w:r/>
            <w:r>
              <w:rPr>
                <w:rFonts w:ascii="Arial" w:hAnsi="Arial"/>
                <w:b w:val="0"/>
                <w:sz w:val="15"/>
              </w:rPr>
              <w:t>Generate trade volume, status, aging, discrepancy and SLA reports.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FR-011</w:t>
            </w:r>
          </w:p>
        </w:tc>
        <w:tc>
          <w:tcPr>
            <w:tcW w:type="dxa" w:w="3456"/>
            <w:vAlign w:val="center"/>
          </w:tcPr>
          <w:p>
            <w:pPr>
              <w:jc w:val="left"/>
            </w:pPr>
            <w:r/>
            <w:r>
              <w:rPr>
                <w:rFonts w:ascii="Arial" w:hAnsi="Arial"/>
                <w:b w:val="0"/>
                <w:sz w:val="15"/>
              </w:rPr>
              <w:t>Export authorized trade report results to a standard downloadable format.</w:t>
            </w:r>
          </w:p>
        </w:tc>
        <w:tc>
          <w:tcPr>
            <w:tcW w:type="dxa" w:w="3456"/>
            <w:vAlign w:val="center"/>
          </w:tcPr>
          <w:p>
            <w:pPr>
              <w:jc w:val="left"/>
            </w:pPr>
            <w:r/>
            <w:r>
              <w:rPr>
                <w:rFonts w:ascii="Arial" w:hAnsi="Arial"/>
                <w:b w:val="0"/>
                <w:sz w:val="15"/>
              </w:rPr>
              <w:t>Could</w:t>
            </w:r>
          </w:p>
        </w:tc>
      </w:tr>
      <w:tr>
        <w:tc>
          <w:tcPr>
            <w:tcW w:type="dxa" w:w="3456"/>
            <w:vAlign w:val="center"/>
            <w:shd w:fill="E7E6E6"/>
          </w:tcPr>
          <w:p>
            <w:pPr>
              <w:jc w:val="left"/>
            </w:pPr>
            <w:r/>
            <w:r>
              <w:rPr>
                <w:rFonts w:ascii="Arial" w:hAnsi="Arial"/>
                <w:b w:val="0"/>
                <w:sz w:val="15"/>
              </w:rPr>
              <w:t>FR-012</w:t>
            </w:r>
          </w:p>
        </w:tc>
        <w:tc>
          <w:tcPr>
            <w:tcW w:type="dxa" w:w="3456"/>
            <w:vAlign w:val="center"/>
            <w:shd w:fill="E7E6E6"/>
          </w:tcPr>
          <w:p>
            <w:pPr>
              <w:jc w:val="left"/>
            </w:pPr>
            <w:r/>
            <w:r>
              <w:rPr>
                <w:rFonts w:ascii="Arial" w:hAnsi="Arial"/>
                <w:b w:val="0"/>
                <w:sz w:val="15"/>
              </w:rPr>
              <w:t>Capture a complete audit history for each trade finance request.</w:t>
            </w:r>
          </w:p>
        </w:tc>
        <w:tc>
          <w:tcPr>
            <w:tcW w:type="dxa" w:w="3456"/>
            <w:vAlign w:val="center"/>
            <w:shd w:fill="E7E6E6"/>
          </w:tcPr>
          <w:p>
            <w:pPr>
              <w:jc w:val="left"/>
            </w:pPr>
            <w:r/>
            <w:r>
              <w:rPr>
                <w:rFonts w:ascii="Arial" w:hAnsi="Arial"/>
                <w:b w:val="0"/>
                <w:sz w:val="15"/>
              </w:rPr>
              <w:t>Must</w:t>
            </w:r>
          </w:p>
        </w:tc>
      </w:tr>
    </w:tbl>
    <w:p>
      <w:pPr>
        <w:spacing w:after="20"/>
      </w:pPr>
    </w:p>
    <w:p>
      <w:pPr>
        <w:spacing w:before="140" w:after="60"/>
      </w:pPr>
      <w:r>
        <w:rPr>
          <w:rFonts w:ascii="Arial" w:hAnsi="Arial"/>
          <w:b/>
          <w:color w:val="17365D"/>
          <w:sz w:val="32"/>
        </w:rPr>
        <w:t>10. Non-Functional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Category</w:t>
            </w:r>
          </w:p>
        </w:tc>
        <w:tc>
          <w:tcPr>
            <w:tcW w:type="dxa" w:w="3456"/>
            <w:vAlign w:val="center"/>
            <w:shd w:fill="1F4E79"/>
          </w:tcPr>
          <w:p>
            <w:pPr>
              <w:jc w:val="center"/>
            </w:pPr>
            <w:r/>
            <w:r>
              <w:rPr>
                <w:rFonts w:ascii="Arial" w:hAnsi="Arial"/>
                <w:b/>
                <w:color w:val="FFFFFF"/>
                <w:sz w:val="14"/>
              </w:rPr>
              <w:t>Requirement</w:t>
            </w:r>
          </w:p>
        </w:tc>
      </w:tr>
      <w:tr>
        <w:tc>
          <w:tcPr>
            <w:tcW w:type="dxa" w:w="3456"/>
            <w:vAlign w:val="center"/>
          </w:tcPr>
          <w:p>
            <w:pPr>
              <w:jc w:val="left"/>
            </w:pPr>
            <w:r/>
            <w:r>
              <w:rPr>
                <w:rFonts w:ascii="Arial" w:hAnsi="Arial"/>
                <w:b w:val="0"/>
                <w:sz w:val="14"/>
              </w:rPr>
              <w:t>NFR-001</w:t>
            </w:r>
          </w:p>
        </w:tc>
        <w:tc>
          <w:tcPr>
            <w:tcW w:type="dxa" w:w="3456"/>
            <w:vAlign w:val="center"/>
          </w:tcPr>
          <w:p>
            <w:pPr>
              <w:jc w:val="left"/>
            </w:pPr>
            <w:r/>
            <w:r>
              <w:rPr>
                <w:rFonts w:ascii="Arial" w:hAnsi="Arial"/>
                <w:b w:val="0"/>
                <w:sz w:val="14"/>
              </w:rPr>
              <w:t>Availability</w:t>
            </w:r>
          </w:p>
        </w:tc>
        <w:tc>
          <w:tcPr>
            <w:tcW w:type="dxa" w:w="3456"/>
            <w:vAlign w:val="center"/>
          </w:tcPr>
          <w:p>
            <w:pPr>
              <w:jc w:val="left"/>
            </w:pPr>
            <w:r/>
            <w:r>
              <w:rPr>
                <w:rFonts w:ascii="Arial" w:hAnsi="Arial"/>
                <w:b w:val="0"/>
                <w:sz w:val="14"/>
              </w:rPr>
              <w:t>The production solution shall target 99.9% monthly service availability, excluding agreed maintenance windows.</w:t>
            </w:r>
          </w:p>
        </w:tc>
      </w:tr>
      <w:tr>
        <w:tc>
          <w:tcPr>
            <w:tcW w:type="dxa" w:w="3456"/>
            <w:vAlign w:val="center"/>
            <w:shd w:fill="E7E6E6"/>
          </w:tcPr>
          <w:p>
            <w:pPr>
              <w:jc w:val="left"/>
            </w:pPr>
            <w:r/>
            <w:r>
              <w:rPr>
                <w:rFonts w:ascii="Arial" w:hAnsi="Arial"/>
                <w:b w:val="0"/>
                <w:sz w:val="14"/>
              </w:rPr>
              <w:t>NFR-002</w:t>
            </w:r>
          </w:p>
        </w:tc>
        <w:tc>
          <w:tcPr>
            <w:tcW w:type="dxa" w:w="3456"/>
            <w:vAlign w:val="center"/>
            <w:shd w:fill="E7E6E6"/>
          </w:tcPr>
          <w:p>
            <w:pPr>
              <w:jc w:val="left"/>
            </w:pPr>
            <w:r/>
            <w:r>
              <w:rPr>
                <w:rFonts w:ascii="Arial" w:hAnsi="Arial"/>
                <w:b w:val="0"/>
                <w:sz w:val="14"/>
              </w:rPr>
              <w:t>Performance</w:t>
            </w:r>
          </w:p>
        </w:tc>
        <w:tc>
          <w:tcPr>
            <w:tcW w:type="dxa" w:w="3456"/>
            <w:vAlign w:val="center"/>
            <w:shd w:fill="E7E6E6"/>
          </w:tcPr>
          <w:p>
            <w:pPr>
              <w:jc w:val="left"/>
            </w:pPr>
            <w:r/>
            <w:r>
              <w:rPr>
                <w:rFonts w:ascii="Arial" w:hAnsi="Arial"/>
                <w:b w:val="0"/>
                <w:sz w:val="14"/>
              </w:rPr>
              <w:t>For normal operating load, standard application pages shall respond within 3 seconds for 95% of requests.</w:t>
            </w:r>
          </w:p>
        </w:tc>
      </w:tr>
      <w:tr>
        <w:tc>
          <w:tcPr>
            <w:tcW w:type="dxa" w:w="3456"/>
            <w:vAlign w:val="center"/>
          </w:tcPr>
          <w:p>
            <w:pPr>
              <w:jc w:val="left"/>
            </w:pPr>
            <w:r/>
            <w:r>
              <w:rPr>
                <w:rFonts w:ascii="Arial" w:hAnsi="Arial"/>
                <w:b w:val="0"/>
                <w:sz w:val="14"/>
              </w:rPr>
              <w:t>NFR-003</w:t>
            </w:r>
          </w:p>
        </w:tc>
        <w:tc>
          <w:tcPr>
            <w:tcW w:type="dxa" w:w="3456"/>
            <w:vAlign w:val="center"/>
          </w:tcPr>
          <w:p>
            <w:pPr>
              <w:jc w:val="left"/>
            </w:pPr>
            <w:r/>
            <w:r>
              <w:rPr>
                <w:rFonts w:ascii="Arial" w:hAnsi="Arial"/>
                <w:b w:val="0"/>
                <w:sz w:val="14"/>
              </w:rPr>
              <w:t>Capacity</w:t>
            </w:r>
          </w:p>
        </w:tc>
        <w:tc>
          <w:tcPr>
            <w:tcW w:type="dxa" w:w="3456"/>
            <w:vAlign w:val="center"/>
          </w:tcPr>
          <w:p>
            <w:pPr>
              <w:jc w:val="left"/>
            </w:pPr>
            <w:r/>
            <w:r>
              <w:rPr>
                <w:rFonts w:ascii="Arial" w:hAnsi="Arial"/>
                <w:b w:val="0"/>
                <w:sz w:val="14"/>
              </w:rPr>
              <w:t>The solution shall support up to 500 concurrent users and allow future scaling.</w:t>
            </w:r>
          </w:p>
        </w:tc>
      </w:tr>
      <w:tr>
        <w:tc>
          <w:tcPr>
            <w:tcW w:type="dxa" w:w="3456"/>
            <w:vAlign w:val="center"/>
            <w:shd w:fill="E7E6E6"/>
          </w:tcPr>
          <w:p>
            <w:pPr>
              <w:jc w:val="left"/>
            </w:pPr>
            <w:r/>
            <w:r>
              <w:rPr>
                <w:rFonts w:ascii="Arial" w:hAnsi="Arial"/>
                <w:b w:val="0"/>
                <w:sz w:val="14"/>
              </w:rPr>
              <w:t>NFR-004</w:t>
            </w:r>
          </w:p>
        </w:tc>
        <w:tc>
          <w:tcPr>
            <w:tcW w:type="dxa" w:w="3456"/>
            <w:vAlign w:val="center"/>
            <w:shd w:fill="E7E6E6"/>
          </w:tcPr>
          <w:p>
            <w:pPr>
              <w:jc w:val="left"/>
            </w:pPr>
            <w:r/>
            <w:r>
              <w:rPr>
                <w:rFonts w:ascii="Arial" w:hAnsi="Arial"/>
                <w:b w:val="0"/>
                <w:sz w:val="14"/>
              </w:rPr>
              <w:t>Security</w:t>
            </w:r>
          </w:p>
        </w:tc>
        <w:tc>
          <w:tcPr>
            <w:tcW w:type="dxa" w:w="3456"/>
            <w:vAlign w:val="center"/>
            <w:shd w:fill="E7E6E6"/>
          </w:tcPr>
          <w:p>
            <w:pPr>
              <w:jc w:val="left"/>
            </w:pPr>
            <w:r/>
            <w:r>
              <w:rPr>
                <w:rFonts w:ascii="Arial" w:hAnsi="Arial"/>
                <w:b w:val="0"/>
                <w:sz w:val="14"/>
              </w:rPr>
              <w:t>Access shall use corporate authentication and role-based authorization with least-privilege principles.</w:t>
            </w:r>
          </w:p>
        </w:tc>
      </w:tr>
      <w:tr>
        <w:tc>
          <w:tcPr>
            <w:tcW w:type="dxa" w:w="3456"/>
            <w:vAlign w:val="center"/>
          </w:tcPr>
          <w:p>
            <w:pPr>
              <w:jc w:val="left"/>
            </w:pPr>
            <w:r/>
            <w:r>
              <w:rPr>
                <w:rFonts w:ascii="Arial" w:hAnsi="Arial"/>
                <w:b w:val="0"/>
                <w:sz w:val="14"/>
              </w:rPr>
              <w:t>NFR-005</w:t>
            </w:r>
          </w:p>
        </w:tc>
        <w:tc>
          <w:tcPr>
            <w:tcW w:type="dxa" w:w="3456"/>
            <w:vAlign w:val="center"/>
          </w:tcPr>
          <w:p>
            <w:pPr>
              <w:jc w:val="left"/>
            </w:pPr>
            <w:r/>
            <w:r>
              <w:rPr>
                <w:rFonts w:ascii="Arial" w:hAnsi="Arial"/>
                <w:b w:val="0"/>
                <w:sz w:val="14"/>
              </w:rPr>
              <w:t>Privacy</w:t>
            </w:r>
          </w:p>
        </w:tc>
        <w:tc>
          <w:tcPr>
            <w:tcW w:type="dxa" w:w="3456"/>
            <w:vAlign w:val="center"/>
          </w:tcPr>
          <w:p>
            <w:pPr>
              <w:jc w:val="left"/>
            </w:pPr>
            <w:r/>
            <w:r>
              <w:rPr>
                <w:rFonts w:ascii="Arial" w:hAnsi="Arial"/>
                <w:b w:val="0"/>
                <w:sz w:val="14"/>
              </w:rPr>
              <w:t>Borrower, financial and collateral information shall be handled in accordance with applicable data protection and organizational privacy requirements.</w:t>
            </w:r>
          </w:p>
        </w:tc>
      </w:tr>
      <w:tr>
        <w:tc>
          <w:tcPr>
            <w:tcW w:type="dxa" w:w="3456"/>
            <w:vAlign w:val="center"/>
            <w:shd w:fill="E7E6E6"/>
          </w:tcPr>
          <w:p>
            <w:pPr>
              <w:jc w:val="left"/>
            </w:pPr>
            <w:r/>
            <w:r>
              <w:rPr>
                <w:rFonts w:ascii="Arial" w:hAnsi="Arial"/>
                <w:b w:val="0"/>
                <w:sz w:val="14"/>
              </w:rPr>
              <w:t>NFR-006</w:t>
            </w:r>
          </w:p>
        </w:tc>
        <w:tc>
          <w:tcPr>
            <w:tcW w:type="dxa" w:w="3456"/>
            <w:vAlign w:val="center"/>
            <w:shd w:fill="E7E6E6"/>
          </w:tcPr>
          <w:p>
            <w:pPr>
              <w:jc w:val="left"/>
            </w:pPr>
            <w:r/>
            <w:r>
              <w:rPr>
                <w:rFonts w:ascii="Arial" w:hAnsi="Arial"/>
                <w:b w:val="0"/>
                <w:sz w:val="14"/>
              </w:rPr>
              <w:t>Auditability</w:t>
            </w:r>
          </w:p>
        </w:tc>
        <w:tc>
          <w:tcPr>
            <w:tcW w:type="dxa" w:w="3456"/>
            <w:vAlign w:val="center"/>
            <w:shd w:fill="E7E6E6"/>
          </w:tcPr>
          <w:p>
            <w:pPr>
              <w:jc w:val="left"/>
            </w:pPr>
            <w:r/>
            <w:r>
              <w:rPr>
                <w:rFonts w:ascii="Arial" w:hAnsi="Arial"/>
                <w:b w:val="0"/>
                <w:sz w:val="14"/>
              </w:rPr>
              <w:t>Credit and workflow events shall be logged with user, timestamp, action, decision and outcome.</w:t>
            </w:r>
          </w:p>
        </w:tc>
      </w:tr>
      <w:tr>
        <w:tc>
          <w:tcPr>
            <w:tcW w:type="dxa" w:w="3456"/>
            <w:vAlign w:val="center"/>
          </w:tcPr>
          <w:p>
            <w:pPr>
              <w:jc w:val="left"/>
            </w:pPr>
            <w:r/>
            <w:r>
              <w:rPr>
                <w:rFonts w:ascii="Arial" w:hAnsi="Arial"/>
                <w:b w:val="0"/>
                <w:sz w:val="14"/>
              </w:rPr>
              <w:t>NFR-007</w:t>
            </w:r>
          </w:p>
        </w:tc>
        <w:tc>
          <w:tcPr>
            <w:tcW w:type="dxa" w:w="3456"/>
            <w:vAlign w:val="center"/>
          </w:tcPr>
          <w:p>
            <w:pPr>
              <w:jc w:val="left"/>
            </w:pPr>
            <w:r/>
            <w:r>
              <w:rPr>
                <w:rFonts w:ascii="Arial" w:hAnsi="Arial"/>
                <w:b w:val="0"/>
                <w:sz w:val="14"/>
              </w:rPr>
              <w:t>Retention</w:t>
            </w:r>
          </w:p>
        </w:tc>
        <w:tc>
          <w:tcPr>
            <w:tcW w:type="dxa" w:w="3456"/>
            <w:vAlign w:val="center"/>
          </w:tcPr>
          <w:p>
            <w:pPr>
              <w:jc w:val="left"/>
            </w:pPr>
            <w:r/>
            <w:r>
              <w:rPr>
                <w:rFonts w:ascii="Arial" w:hAnsi="Arial"/>
                <w:b w:val="0"/>
                <w:sz w:val="14"/>
              </w:rPr>
              <w:t>Loan processing records shall be retained for seven years unless a different approved schedule applies.</w:t>
            </w:r>
          </w:p>
        </w:tc>
      </w:tr>
      <w:tr>
        <w:tc>
          <w:tcPr>
            <w:tcW w:type="dxa" w:w="3456"/>
            <w:vAlign w:val="center"/>
            <w:shd w:fill="E7E6E6"/>
          </w:tcPr>
          <w:p>
            <w:pPr>
              <w:jc w:val="left"/>
            </w:pPr>
            <w:r/>
            <w:r>
              <w:rPr>
                <w:rFonts w:ascii="Arial" w:hAnsi="Arial"/>
                <w:b w:val="0"/>
                <w:sz w:val="14"/>
              </w:rPr>
              <w:t>NFR-008</w:t>
            </w:r>
          </w:p>
        </w:tc>
        <w:tc>
          <w:tcPr>
            <w:tcW w:type="dxa" w:w="3456"/>
            <w:vAlign w:val="center"/>
            <w:shd w:fill="E7E6E6"/>
          </w:tcPr>
          <w:p>
            <w:pPr>
              <w:jc w:val="left"/>
            </w:pPr>
            <w:r/>
            <w:r>
              <w:rPr>
                <w:rFonts w:ascii="Arial" w:hAnsi="Arial"/>
                <w:b w:val="0"/>
                <w:sz w:val="14"/>
              </w:rPr>
              <w:t>Accessibility</w:t>
            </w:r>
          </w:p>
        </w:tc>
        <w:tc>
          <w:tcPr>
            <w:tcW w:type="dxa" w:w="3456"/>
            <w:vAlign w:val="center"/>
            <w:shd w:fill="E7E6E6"/>
          </w:tcPr>
          <w:p>
            <w:pPr>
              <w:jc w:val="left"/>
            </w:pPr>
            <w:r/>
            <w:r>
              <w:rPr>
                <w:rFonts w:ascii="Arial" w:hAnsi="Arial"/>
                <w:b w:val="0"/>
                <w:sz w:val="14"/>
              </w:rPr>
              <w:t>Core user journeys shall support accessible keyboard navigation and readable screen content.</w:t>
            </w:r>
          </w:p>
        </w:tc>
      </w:tr>
    </w:tbl>
    <w:p>
      <w:pPr>
        <w:spacing w:after="20"/>
      </w:pPr>
    </w:p>
    <w:p>
      <w:pPr>
        <w:spacing w:before="140" w:after="60"/>
      </w:pPr>
      <w:r>
        <w:rPr>
          <w:rFonts w:ascii="Arial" w:hAnsi="Arial"/>
          <w:b/>
          <w:color w:val="17365D"/>
          <w:sz w:val="32"/>
        </w:rPr>
        <w:t>11. Business Rules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Rule ID</w:t>
            </w:r>
          </w:p>
        </w:tc>
        <w:tc>
          <w:tcPr>
            <w:tcW w:type="dxa" w:w="5184"/>
            <w:vAlign w:val="center"/>
            <w:shd w:fill="1F4E79"/>
          </w:tcPr>
          <w:p>
            <w:pPr>
              <w:jc w:val="center"/>
            </w:pPr>
            <w:r/>
            <w:r>
              <w:rPr>
                <w:rFonts w:ascii="Arial" w:hAnsi="Arial"/>
                <w:b/>
                <w:color w:val="FFFFFF"/>
                <w:sz w:val="15"/>
              </w:rPr>
              <w:t>Business Rule</w:t>
            </w:r>
          </w:p>
        </w:tc>
      </w:tr>
      <w:tr>
        <w:tc>
          <w:tcPr>
            <w:tcW w:type="dxa" w:w="5184"/>
            <w:vAlign w:val="center"/>
          </w:tcPr>
          <w:p>
            <w:pPr>
              <w:jc w:val="left"/>
            </w:pPr>
            <w:r/>
            <w:r>
              <w:rPr>
                <w:rFonts w:ascii="Arial" w:hAnsi="Arial"/>
                <w:b w:val="0"/>
                <w:sz w:val="15"/>
              </w:rPr>
              <w:t>RULE-001</w:t>
            </w:r>
          </w:p>
        </w:tc>
        <w:tc>
          <w:tcPr>
            <w:tcW w:type="dxa" w:w="5184"/>
            <w:vAlign w:val="center"/>
          </w:tcPr>
          <w:p>
            <w:pPr>
              <w:jc w:val="left"/>
            </w:pPr>
            <w:r/>
            <w:r>
              <w:rPr>
                <w:rFonts w:ascii="Arial" w:hAnsi="Arial"/>
                <w:b w:val="0"/>
                <w:sz w:val="15"/>
              </w:rPr>
              <w:t>All mandatory KYC, commercial and transaction documents must be present before compliance review can be completed.</w:t>
            </w:r>
          </w:p>
        </w:tc>
      </w:tr>
      <w:tr>
        <w:tc>
          <w:tcPr>
            <w:tcW w:type="dxa" w:w="5184"/>
            <w:vAlign w:val="center"/>
            <w:shd w:fill="E7E6E6"/>
          </w:tcPr>
          <w:p>
            <w:pPr>
              <w:jc w:val="left"/>
            </w:pPr>
            <w:r/>
            <w:r>
              <w:rPr>
                <w:rFonts w:ascii="Arial" w:hAnsi="Arial"/>
                <w:b w:val="0"/>
                <w:sz w:val="15"/>
              </w:rPr>
              <w:t>RULE-002</w:t>
            </w:r>
          </w:p>
        </w:tc>
        <w:tc>
          <w:tcPr>
            <w:tcW w:type="dxa" w:w="5184"/>
            <w:vAlign w:val="center"/>
            <w:shd w:fill="E7E6E6"/>
          </w:tcPr>
          <w:p>
            <w:pPr>
              <w:jc w:val="left"/>
            </w:pPr>
            <w:r/>
            <w:r>
              <w:rPr>
                <w:rFonts w:ascii="Arial" w:hAnsi="Arial"/>
                <w:b w:val="0"/>
                <w:sz w:val="15"/>
              </w:rPr>
              <w:t>A High Risk trade transaction requires Risk Manager approval in addition to the applicable Compliance approval.</w:t>
            </w:r>
          </w:p>
        </w:tc>
      </w:tr>
      <w:tr>
        <w:tc>
          <w:tcPr>
            <w:tcW w:type="dxa" w:w="5184"/>
            <w:vAlign w:val="center"/>
          </w:tcPr>
          <w:p>
            <w:pPr>
              <w:jc w:val="left"/>
            </w:pPr>
            <w:r/>
            <w:r>
              <w:rPr>
                <w:rFonts w:ascii="Arial" w:hAnsi="Arial"/>
                <w:b w:val="0"/>
                <w:sz w:val="15"/>
              </w:rPr>
              <w:t>RULE-003</w:t>
            </w:r>
          </w:p>
        </w:tc>
        <w:tc>
          <w:tcPr>
            <w:tcW w:type="dxa" w:w="5184"/>
            <w:vAlign w:val="center"/>
          </w:tcPr>
          <w:p>
            <w:pPr>
              <w:jc w:val="left"/>
            </w:pPr>
            <w:r/>
            <w:r>
              <w:rPr>
                <w:rFonts w:ascii="Arial" w:hAnsi="Arial"/>
                <w:b w:val="0"/>
                <w:sz w:val="15"/>
              </w:rPr>
              <w:t>A request with missing mandatory information shall be placed on hold and returned to the requestor.</w:t>
            </w:r>
          </w:p>
        </w:tc>
      </w:tr>
      <w:tr>
        <w:tc>
          <w:tcPr>
            <w:tcW w:type="dxa" w:w="5184"/>
            <w:vAlign w:val="center"/>
            <w:shd w:fill="E7E6E6"/>
          </w:tcPr>
          <w:p>
            <w:pPr>
              <w:jc w:val="left"/>
            </w:pPr>
            <w:r/>
            <w:r>
              <w:rPr>
                <w:rFonts w:ascii="Arial" w:hAnsi="Arial"/>
                <w:b w:val="0"/>
                <w:sz w:val="15"/>
              </w:rPr>
              <w:t>RULE-004</w:t>
            </w:r>
          </w:p>
        </w:tc>
        <w:tc>
          <w:tcPr>
            <w:tcW w:type="dxa" w:w="5184"/>
            <w:vAlign w:val="center"/>
            <w:shd w:fill="E7E6E6"/>
          </w:tcPr>
          <w:p>
            <w:pPr>
              <w:jc w:val="left"/>
            </w:pPr>
            <w:r/>
            <w:r>
              <w:rPr>
                <w:rFonts w:ascii="Arial" w:hAnsi="Arial"/>
                <w:b w:val="0"/>
                <w:sz w:val="15"/>
              </w:rPr>
              <w:t>Every approval, rejection, return and screening decision shall include timestamp and decision-maker identity.</w:t>
            </w:r>
          </w:p>
        </w:tc>
      </w:tr>
      <w:tr>
        <w:tc>
          <w:tcPr>
            <w:tcW w:type="dxa" w:w="5184"/>
            <w:vAlign w:val="center"/>
          </w:tcPr>
          <w:p>
            <w:pPr>
              <w:jc w:val="left"/>
            </w:pPr>
            <w:r/>
            <w:r>
              <w:rPr>
                <w:rFonts w:ascii="Arial" w:hAnsi="Arial"/>
                <w:b w:val="0"/>
                <w:sz w:val="15"/>
              </w:rPr>
              <w:t>RULE-005</w:t>
            </w:r>
          </w:p>
        </w:tc>
        <w:tc>
          <w:tcPr>
            <w:tcW w:type="dxa" w:w="5184"/>
            <w:vAlign w:val="center"/>
          </w:tcPr>
          <w:p>
            <w:pPr>
              <w:jc w:val="left"/>
            </w:pPr>
            <w:r/>
            <w:r>
              <w:rPr>
                <w:rFonts w:ascii="Arial" w:hAnsi="Arial"/>
                <w:b w:val="0"/>
                <w:sz w:val="15"/>
              </w:rPr>
              <w:t>Trade instrument issuance or transaction setup shall not begin until required Compliance and Risk approvals are recorded and mandatory discrepancies are resolved.</w:t>
            </w:r>
          </w:p>
        </w:tc>
      </w:tr>
      <w:tr>
        <w:tc>
          <w:tcPr>
            <w:tcW w:type="dxa" w:w="5184"/>
            <w:vAlign w:val="center"/>
            <w:shd w:fill="E7E6E6"/>
          </w:tcPr>
          <w:p>
            <w:pPr>
              <w:jc w:val="left"/>
            </w:pPr>
            <w:r/>
            <w:r>
              <w:rPr>
                <w:rFonts w:ascii="Arial" w:hAnsi="Arial"/>
                <w:b w:val="0"/>
                <w:sz w:val="15"/>
              </w:rPr>
              <w:t>RULE-006</w:t>
            </w:r>
          </w:p>
        </w:tc>
        <w:tc>
          <w:tcPr>
            <w:tcW w:type="dxa" w:w="5184"/>
            <w:vAlign w:val="center"/>
            <w:shd w:fill="E7E6E6"/>
          </w:tcPr>
          <w:p>
            <w:pPr>
              <w:jc w:val="left"/>
            </w:pPr>
            <w:r/>
            <w:r>
              <w:rPr>
                <w:rFonts w:ascii="Arial" w:hAnsi="Arial"/>
                <w:b w:val="0"/>
                <w:sz w:val="15"/>
              </w:rPr>
              <w:t>A rejection shall require a reason and shall close the active workflow unless reopened by an authorized role.</w:t>
            </w:r>
          </w:p>
        </w:tc>
      </w:tr>
      <w:tr>
        <w:tc>
          <w:tcPr>
            <w:tcW w:type="dxa" w:w="5184"/>
            <w:vAlign w:val="center"/>
          </w:tcPr>
          <w:p>
            <w:pPr>
              <w:jc w:val="left"/>
            </w:pPr>
            <w:r/>
            <w:r>
              <w:rPr>
                <w:rFonts w:ascii="Arial" w:hAnsi="Arial"/>
                <w:b w:val="0"/>
                <w:sz w:val="15"/>
              </w:rPr>
              <w:t>RULE-007</w:t>
            </w:r>
          </w:p>
        </w:tc>
        <w:tc>
          <w:tcPr>
            <w:tcW w:type="dxa" w:w="5184"/>
            <w:vAlign w:val="center"/>
          </w:tcPr>
          <w:p>
            <w:pPr>
              <w:jc w:val="left"/>
            </w:pPr>
            <w:r/>
            <w:r>
              <w:rPr>
                <w:rFonts w:ascii="Arial" w:hAnsi="Arial"/>
                <w:b w:val="0"/>
                <w:sz w:val="15"/>
              </w:rPr>
              <w:t>Only authorized users may view or download confidential trade documents.</w:t>
            </w:r>
          </w:p>
        </w:tc>
      </w:tr>
      <w:tr>
        <w:tc>
          <w:tcPr>
            <w:tcW w:type="dxa" w:w="5184"/>
            <w:vAlign w:val="center"/>
            <w:shd w:fill="E7E6E6"/>
          </w:tcPr>
          <w:p>
            <w:pPr>
              <w:jc w:val="left"/>
            </w:pPr>
            <w:r/>
            <w:r>
              <w:rPr>
                <w:rFonts w:ascii="Arial" w:hAnsi="Arial"/>
                <w:b w:val="0"/>
                <w:sz w:val="15"/>
              </w:rPr>
              <w:t>RULE-008</w:t>
            </w:r>
          </w:p>
        </w:tc>
        <w:tc>
          <w:tcPr>
            <w:tcW w:type="dxa" w:w="5184"/>
            <w:vAlign w:val="center"/>
            <w:shd w:fill="E7E6E6"/>
          </w:tcPr>
          <w:p>
            <w:pPr>
              <w:jc w:val="left"/>
            </w:pPr>
            <w:r/>
            <w:r>
              <w:rPr>
                <w:rFonts w:ascii="Arial" w:hAnsi="Arial"/>
                <w:b w:val="0"/>
                <w:sz w:val="15"/>
              </w:rPr>
              <w:t>Overdue trade tasks shall trigger reminders according to the configured SLA schedule.</w:t>
            </w:r>
          </w:p>
        </w:tc>
      </w:tr>
    </w:tbl>
    <w:p>
      <w:pPr>
        <w:spacing w:after="20"/>
      </w:pPr>
    </w:p>
    <w:p>
      <w:pPr>
        <w:spacing w:before="140" w:after="60"/>
      </w:pPr>
      <w:r>
        <w:rPr>
          <w:rFonts w:ascii="Arial" w:hAnsi="Arial"/>
          <w:b/>
          <w:color w:val="17365D"/>
          <w:sz w:val="32"/>
        </w:rPr>
        <w:t>12. Assumptions</w:t>
      </w:r>
    </w:p>
    <w:p>
      <w:pPr>
        <w:pStyle w:val="ListBullet"/>
        <w:spacing w:after="20"/>
      </w:pPr>
      <w:r>
        <w:rPr>
          <w:rFonts w:ascii="Arial" w:hAnsi="Arial"/>
          <w:sz w:val="17"/>
        </w:rPr>
        <w:t>All POC users have valid corporate identities.</w:t>
      </w:r>
    </w:p>
    <w:p>
      <w:pPr>
        <w:pStyle w:val="ListBullet"/>
        <w:spacing w:after="20"/>
      </w:pPr>
      <w:r>
        <w:rPr>
          <w:rFonts w:ascii="Arial" w:hAnsi="Arial"/>
          <w:sz w:val="17"/>
        </w:rPr>
        <w:t>Credit scoring, KYC and risk services can be represented by mock services if live APIs are unavailable.</w:t>
      </w:r>
    </w:p>
    <w:p>
      <w:pPr>
        <w:pStyle w:val="ListBullet"/>
        <w:spacing w:after="20"/>
      </w:pPr>
      <w:r>
        <w:rPr>
          <w:rFonts w:ascii="Arial" w:hAnsi="Arial"/>
          <w:sz w:val="17"/>
        </w:rPr>
        <w:t>Email notification infrastructure is available for integration or simulation.</w:t>
      </w:r>
    </w:p>
    <w:p>
      <w:pPr>
        <w:pStyle w:val="ListBullet"/>
        <w:spacing w:after="20"/>
      </w:pPr>
      <w:r>
        <w:rPr>
          <w:rFonts w:ascii="Arial" w:hAnsi="Arial"/>
          <w:sz w:val="17"/>
        </w:rPr>
        <w:t>POC loan documents use synthetic or anonymized data only.</w:t>
      </w:r>
    </w:p>
    <w:p>
      <w:pPr>
        <w:pStyle w:val="ListBullet"/>
        <w:spacing w:after="20"/>
      </w:pPr>
      <w:r>
        <w:rPr>
          <w:rFonts w:ascii="Arial" w:hAnsi="Arial"/>
          <w:sz w:val="17"/>
        </w:rPr>
        <w:t>Business users will provide feedback and acceptance decisions for the POC scenarios.</w:t>
      </w:r>
    </w:p>
    <w:p>
      <w:pPr>
        <w:spacing w:before="140" w:after="60"/>
      </w:pPr>
      <w:r>
        <w:rPr>
          <w:rFonts w:ascii="Arial" w:hAnsi="Arial"/>
          <w:b/>
          <w:color w:val="17365D"/>
          <w:sz w:val="32"/>
        </w:rPr>
        <w:t>13. Constraints</w:t>
      </w:r>
    </w:p>
    <w:p>
      <w:pPr>
        <w:pStyle w:val="ListBullet"/>
        <w:spacing w:after="20"/>
      </w:pPr>
      <w:r>
        <w:rPr>
          <w:rFonts w:ascii="Arial" w:hAnsi="Arial"/>
          <w:sz w:val="17"/>
        </w:rPr>
        <w:t>The target solution shall use approved Azure services and organizational development standards.</w:t>
      </w:r>
    </w:p>
    <w:p>
      <w:pPr>
        <w:pStyle w:val="ListBullet"/>
        <w:spacing w:after="20"/>
      </w:pPr>
      <w:r>
        <w:rPr>
          <w:rFonts w:ascii="Arial" w:hAnsi="Arial"/>
          <w:sz w:val="17"/>
        </w:rPr>
        <w:t>Borrower and financial data shall remain within approved data regions and repositories.</w:t>
      </w:r>
    </w:p>
    <w:p>
      <w:pPr>
        <w:pStyle w:val="ListBullet"/>
        <w:spacing w:after="20"/>
      </w:pPr>
      <w:r>
        <w:rPr>
          <w:rFonts w:ascii="Arial" w:hAnsi="Arial"/>
          <w:sz w:val="17"/>
        </w:rPr>
        <w:t>The POC shall not use production lending credentials or confidential customer data.</w:t>
      </w:r>
    </w:p>
    <w:p>
      <w:pPr>
        <w:pStyle w:val="ListBullet"/>
        <w:spacing w:after="20"/>
      </w:pPr>
      <w:r>
        <w:rPr>
          <w:rFonts w:ascii="Arial" w:hAnsi="Arial"/>
          <w:sz w:val="17"/>
        </w:rPr>
        <w:t>Access to SharePoint, Teams, Jira or Azure DevOps is subject to approved permissions and DLP controls.</w:t>
      </w:r>
    </w:p>
    <w:p>
      <w:pPr>
        <w:pStyle w:val="ListBullet"/>
        <w:spacing w:after="20"/>
      </w:pPr>
      <w:r>
        <w:rPr>
          <w:rFonts w:ascii="Arial" w:hAnsi="Arial"/>
          <w:sz w:val="17"/>
        </w:rPr>
        <w:t>Human review is required before generated DRS and backlog items are treated as approved artefacts.</w:t>
      </w:r>
    </w:p>
    <w:p>
      <w:pPr>
        <w:spacing w:before="140" w:after="60"/>
      </w:pPr>
      <w:r>
        <w:rPr>
          <w:rFonts w:ascii="Arial" w:hAnsi="Arial"/>
          <w:b/>
          <w:color w:val="17365D"/>
          <w:sz w:val="32"/>
        </w:rPr>
        <w:t>14. Acceptance Criteria</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Acceptance Criterion</w:t>
            </w:r>
          </w:p>
        </w:tc>
        <w:tc>
          <w:tcPr>
            <w:tcW w:type="dxa" w:w="3456"/>
            <w:vAlign w:val="center"/>
            <w:shd w:fill="1F4E79"/>
          </w:tcPr>
          <w:p>
            <w:pPr>
              <w:jc w:val="center"/>
            </w:pPr>
            <w:r/>
            <w:r>
              <w:rPr>
                <w:rFonts w:ascii="Arial" w:hAnsi="Arial"/>
                <w:b/>
                <w:color w:val="FFFFFF"/>
                <w:sz w:val="14"/>
              </w:rPr>
              <w:t>Mapped Requirement</w:t>
            </w:r>
          </w:p>
        </w:tc>
      </w:tr>
      <w:tr>
        <w:tc>
          <w:tcPr>
            <w:tcW w:type="dxa" w:w="3456"/>
            <w:vAlign w:val="center"/>
          </w:tcPr>
          <w:p>
            <w:pPr>
              <w:jc w:val="left"/>
            </w:pPr>
            <w:r/>
            <w:r>
              <w:rPr>
                <w:rFonts w:ascii="Arial" w:hAnsi="Arial"/>
                <w:b w:val="0"/>
                <w:sz w:val="14"/>
              </w:rPr>
              <w:t>AC-001</w:t>
            </w:r>
          </w:p>
        </w:tc>
        <w:tc>
          <w:tcPr>
            <w:tcW w:type="dxa" w:w="3456"/>
            <w:vAlign w:val="center"/>
          </w:tcPr>
          <w:p>
            <w:pPr>
              <w:jc w:val="left"/>
            </w:pPr>
            <w:r/>
            <w:r>
              <w:rPr>
                <w:rFonts w:ascii="Arial" w:hAnsi="Arial"/>
                <w:b w:val="0"/>
                <w:sz w:val="14"/>
              </w:rPr>
              <w:t>Given an authorized Relationship Manager, when mandatory applicant and transaction information is entered, then the user can save and submit a trade finance request.</w:t>
            </w:r>
          </w:p>
        </w:tc>
        <w:tc>
          <w:tcPr>
            <w:tcW w:type="dxa" w:w="3456"/>
            <w:vAlign w:val="center"/>
          </w:tcPr>
          <w:p>
            <w:pPr>
              <w:jc w:val="left"/>
            </w:pPr>
            <w:r/>
            <w:r>
              <w:rPr>
                <w:rFonts w:ascii="Arial" w:hAnsi="Arial"/>
                <w:b w:val="0"/>
                <w:sz w:val="14"/>
              </w:rPr>
              <w:t>BR-001 / FR-001</w:t>
            </w:r>
          </w:p>
        </w:tc>
      </w:tr>
      <w:tr>
        <w:tc>
          <w:tcPr>
            <w:tcW w:type="dxa" w:w="3456"/>
            <w:vAlign w:val="center"/>
            <w:shd w:fill="E7E6E6"/>
          </w:tcPr>
          <w:p>
            <w:pPr>
              <w:jc w:val="left"/>
            </w:pPr>
            <w:r/>
            <w:r>
              <w:rPr>
                <w:rFonts w:ascii="Arial" w:hAnsi="Arial"/>
                <w:b w:val="0"/>
                <w:sz w:val="14"/>
              </w:rPr>
              <w:t>AC-002</w:t>
            </w:r>
          </w:p>
        </w:tc>
        <w:tc>
          <w:tcPr>
            <w:tcW w:type="dxa" w:w="3456"/>
            <w:vAlign w:val="center"/>
            <w:shd w:fill="E7E6E6"/>
          </w:tcPr>
          <w:p>
            <w:pPr>
              <w:jc w:val="left"/>
            </w:pPr>
            <w:r/>
            <w:r>
              <w:rPr>
                <w:rFonts w:ascii="Arial" w:hAnsi="Arial"/>
                <w:b w:val="0"/>
                <w:sz w:val="14"/>
              </w:rPr>
              <w:t>Given a selected trade product, when the user uploads required commercial and KYC documents, then each document is recorded against the request.</w:t>
            </w:r>
          </w:p>
        </w:tc>
        <w:tc>
          <w:tcPr>
            <w:tcW w:type="dxa" w:w="3456"/>
            <w:vAlign w:val="center"/>
            <w:shd w:fill="E7E6E6"/>
          </w:tcPr>
          <w:p>
            <w:pPr>
              <w:jc w:val="left"/>
            </w:pPr>
            <w:r/>
            <w:r>
              <w:rPr>
                <w:rFonts w:ascii="Arial" w:hAnsi="Arial"/>
                <w:b w:val="0"/>
                <w:sz w:val="14"/>
              </w:rPr>
              <w:t>BR-002 / FR-003</w:t>
            </w:r>
          </w:p>
        </w:tc>
      </w:tr>
      <w:tr>
        <w:tc>
          <w:tcPr>
            <w:tcW w:type="dxa" w:w="3456"/>
            <w:vAlign w:val="center"/>
          </w:tcPr>
          <w:p>
            <w:pPr>
              <w:jc w:val="left"/>
            </w:pPr>
            <w:r/>
            <w:r>
              <w:rPr>
                <w:rFonts w:ascii="Arial" w:hAnsi="Arial"/>
                <w:b w:val="0"/>
                <w:sz w:val="14"/>
              </w:rPr>
              <w:t>AC-003</w:t>
            </w:r>
          </w:p>
        </w:tc>
        <w:tc>
          <w:tcPr>
            <w:tcW w:type="dxa" w:w="3456"/>
            <w:vAlign w:val="center"/>
          </w:tcPr>
          <w:p>
            <w:pPr>
              <w:jc w:val="left"/>
            </w:pPr>
            <w:r/>
            <w:r>
              <w:rPr>
                <w:rFonts w:ascii="Arial" w:hAnsi="Arial"/>
                <w:b w:val="0"/>
                <w:sz w:val="14"/>
              </w:rPr>
              <w:t>Given a missing mandatory trade document, when the user attempts to progress to Compliance, then progression is blocked and the missing document is identified.</w:t>
            </w:r>
          </w:p>
        </w:tc>
        <w:tc>
          <w:tcPr>
            <w:tcW w:type="dxa" w:w="3456"/>
            <w:vAlign w:val="center"/>
          </w:tcPr>
          <w:p>
            <w:pPr>
              <w:jc w:val="left"/>
            </w:pPr>
            <w:r/>
            <w:r>
              <w:rPr>
                <w:rFonts w:ascii="Arial" w:hAnsi="Arial"/>
                <w:b w:val="0"/>
                <w:sz w:val="14"/>
              </w:rPr>
              <w:t>BR-003 / FR-004</w:t>
            </w:r>
          </w:p>
        </w:tc>
      </w:tr>
      <w:tr>
        <w:tc>
          <w:tcPr>
            <w:tcW w:type="dxa" w:w="3456"/>
            <w:vAlign w:val="center"/>
            <w:shd w:fill="E7E6E6"/>
          </w:tcPr>
          <w:p>
            <w:pPr>
              <w:jc w:val="left"/>
            </w:pPr>
            <w:r/>
            <w:r>
              <w:rPr>
                <w:rFonts w:ascii="Arial" w:hAnsi="Arial"/>
                <w:b w:val="0"/>
                <w:sz w:val="14"/>
              </w:rPr>
              <w:t>AC-004</w:t>
            </w:r>
          </w:p>
        </w:tc>
        <w:tc>
          <w:tcPr>
            <w:tcW w:type="dxa" w:w="3456"/>
            <w:vAlign w:val="center"/>
            <w:shd w:fill="E7E6E6"/>
          </w:tcPr>
          <w:p>
            <w:pPr>
              <w:jc w:val="left"/>
            </w:pPr>
            <w:r/>
            <w:r>
              <w:rPr>
                <w:rFonts w:ascii="Arial" w:hAnsi="Arial"/>
                <w:b w:val="0"/>
                <w:sz w:val="14"/>
              </w:rPr>
              <w:t>Given a submitted trade request, when product and jurisdiction workflow rules are evaluated, then the appropriate Trade Operations or Compliance task is assigned.</w:t>
            </w:r>
          </w:p>
        </w:tc>
        <w:tc>
          <w:tcPr>
            <w:tcW w:type="dxa" w:w="3456"/>
            <w:vAlign w:val="center"/>
            <w:shd w:fill="E7E6E6"/>
          </w:tcPr>
          <w:p>
            <w:pPr>
              <w:jc w:val="left"/>
            </w:pPr>
            <w:r/>
            <w:r>
              <w:rPr>
                <w:rFonts w:ascii="Arial" w:hAnsi="Arial"/>
                <w:b w:val="0"/>
                <w:sz w:val="14"/>
              </w:rPr>
              <w:t>BR-004 / FR-005</w:t>
            </w:r>
          </w:p>
        </w:tc>
      </w:tr>
      <w:tr>
        <w:tc>
          <w:tcPr>
            <w:tcW w:type="dxa" w:w="3456"/>
            <w:vAlign w:val="center"/>
          </w:tcPr>
          <w:p>
            <w:pPr>
              <w:jc w:val="left"/>
            </w:pPr>
            <w:r/>
            <w:r>
              <w:rPr>
                <w:rFonts w:ascii="Arial" w:hAnsi="Arial"/>
                <w:b w:val="0"/>
                <w:sz w:val="14"/>
              </w:rPr>
              <w:t>AC-005</w:t>
            </w:r>
          </w:p>
        </w:tc>
        <w:tc>
          <w:tcPr>
            <w:tcW w:type="dxa" w:w="3456"/>
            <w:vAlign w:val="center"/>
          </w:tcPr>
          <w:p>
            <w:pPr>
              <w:jc w:val="left"/>
            </w:pPr>
            <w:r/>
            <w:r>
              <w:rPr>
                <w:rFonts w:ascii="Arial" w:hAnsi="Arial"/>
                <w:b w:val="0"/>
                <w:sz w:val="14"/>
              </w:rPr>
              <w:t>Given an assigned approver, when the approver selects approve, reject or return, then the decision, comments and conditions are recorded and the workflow transitions.</w:t>
            </w:r>
          </w:p>
        </w:tc>
        <w:tc>
          <w:tcPr>
            <w:tcW w:type="dxa" w:w="3456"/>
            <w:vAlign w:val="center"/>
          </w:tcPr>
          <w:p>
            <w:pPr>
              <w:jc w:val="left"/>
            </w:pPr>
            <w:r/>
            <w:r>
              <w:rPr>
                <w:rFonts w:ascii="Arial" w:hAnsi="Arial"/>
                <w:b w:val="0"/>
                <w:sz w:val="14"/>
              </w:rPr>
              <w:t>BR-005 / FR-006</w:t>
            </w:r>
          </w:p>
        </w:tc>
      </w:tr>
      <w:tr>
        <w:tc>
          <w:tcPr>
            <w:tcW w:type="dxa" w:w="3456"/>
            <w:vAlign w:val="center"/>
            <w:shd w:fill="E7E6E6"/>
          </w:tcPr>
          <w:p>
            <w:pPr>
              <w:jc w:val="left"/>
            </w:pPr>
            <w:r/>
            <w:r>
              <w:rPr>
                <w:rFonts w:ascii="Arial" w:hAnsi="Arial"/>
                <w:b w:val="0"/>
                <w:sz w:val="14"/>
              </w:rPr>
              <w:t>AC-006</w:t>
            </w:r>
          </w:p>
        </w:tc>
        <w:tc>
          <w:tcPr>
            <w:tcW w:type="dxa" w:w="3456"/>
            <w:vAlign w:val="center"/>
            <w:shd w:fill="E7E6E6"/>
          </w:tcPr>
          <w:p>
            <w:pPr>
              <w:jc w:val="left"/>
            </w:pPr>
            <w:r/>
            <w:r>
              <w:rPr>
                <w:rFonts w:ascii="Arial" w:hAnsi="Arial"/>
                <w:b w:val="0"/>
                <w:sz w:val="14"/>
              </w:rPr>
              <w:t>Given a configured approval event, when the event occurs, then the intended recipient receives a notification containing the loan application identifier and required action.</w:t>
            </w:r>
          </w:p>
        </w:tc>
        <w:tc>
          <w:tcPr>
            <w:tcW w:type="dxa" w:w="3456"/>
            <w:vAlign w:val="center"/>
            <w:shd w:fill="E7E6E6"/>
          </w:tcPr>
          <w:p>
            <w:pPr>
              <w:jc w:val="left"/>
            </w:pPr>
            <w:r/>
            <w:r>
              <w:rPr>
                <w:rFonts w:ascii="Arial" w:hAnsi="Arial"/>
                <w:b w:val="0"/>
                <w:sz w:val="14"/>
              </w:rPr>
              <w:t>BR-006 / FR-008</w:t>
            </w:r>
          </w:p>
        </w:tc>
      </w:tr>
      <w:tr>
        <w:tc>
          <w:tcPr>
            <w:tcW w:type="dxa" w:w="3456"/>
            <w:vAlign w:val="center"/>
          </w:tcPr>
          <w:p>
            <w:pPr>
              <w:jc w:val="left"/>
            </w:pPr>
            <w:r/>
            <w:r>
              <w:rPr>
                <w:rFonts w:ascii="Arial" w:hAnsi="Arial"/>
                <w:b w:val="0"/>
                <w:sz w:val="14"/>
              </w:rPr>
              <w:t>AC-007</w:t>
            </w:r>
          </w:p>
        </w:tc>
        <w:tc>
          <w:tcPr>
            <w:tcW w:type="dxa" w:w="3456"/>
            <w:vAlign w:val="center"/>
          </w:tcPr>
          <w:p>
            <w:pPr>
              <w:jc w:val="left"/>
            </w:pPr>
            <w:r/>
            <w:r>
              <w:rPr>
                <w:rFonts w:ascii="Arial" w:hAnsi="Arial"/>
                <w:b w:val="0"/>
                <w:sz w:val="14"/>
              </w:rPr>
              <w:t>Given an authorized user, when the loan application is opened, then stage, owner, aging and outstanding conditions are visible.</w:t>
            </w:r>
          </w:p>
        </w:tc>
        <w:tc>
          <w:tcPr>
            <w:tcW w:type="dxa" w:w="3456"/>
            <w:vAlign w:val="center"/>
          </w:tcPr>
          <w:p>
            <w:pPr>
              <w:jc w:val="left"/>
            </w:pPr>
            <w:r/>
            <w:r>
              <w:rPr>
                <w:rFonts w:ascii="Arial" w:hAnsi="Arial"/>
                <w:b w:val="0"/>
                <w:sz w:val="14"/>
              </w:rPr>
              <w:t>BR-007 / FR-007</w:t>
            </w:r>
          </w:p>
        </w:tc>
      </w:tr>
      <w:tr>
        <w:tc>
          <w:tcPr>
            <w:tcW w:type="dxa" w:w="3456"/>
            <w:vAlign w:val="center"/>
            <w:shd w:fill="E7E6E6"/>
          </w:tcPr>
          <w:p>
            <w:pPr>
              <w:jc w:val="left"/>
            </w:pPr>
            <w:r/>
            <w:r>
              <w:rPr>
                <w:rFonts w:ascii="Arial" w:hAnsi="Arial"/>
                <w:b w:val="0"/>
                <w:sz w:val="14"/>
              </w:rPr>
              <w:t>AC-008</w:t>
            </w:r>
          </w:p>
        </w:tc>
        <w:tc>
          <w:tcPr>
            <w:tcW w:type="dxa" w:w="3456"/>
            <w:vAlign w:val="center"/>
            <w:shd w:fill="E7E6E6"/>
          </w:tcPr>
          <w:p>
            <w:pPr>
              <w:jc w:val="left"/>
            </w:pPr>
            <w:r/>
            <w:r>
              <w:rPr>
                <w:rFonts w:ascii="Arial" w:hAnsi="Arial"/>
                <w:b w:val="0"/>
                <w:sz w:val="14"/>
              </w:rPr>
              <w:t>Given a saved credit decision, when the audit history is opened, then the user, timestamp, decision and outcome are displayed.</w:t>
            </w:r>
          </w:p>
        </w:tc>
        <w:tc>
          <w:tcPr>
            <w:tcW w:type="dxa" w:w="3456"/>
            <w:vAlign w:val="center"/>
            <w:shd w:fill="E7E6E6"/>
          </w:tcPr>
          <w:p>
            <w:pPr>
              <w:jc w:val="left"/>
            </w:pPr>
            <w:r/>
            <w:r>
              <w:rPr>
                <w:rFonts w:ascii="Arial" w:hAnsi="Arial"/>
                <w:b w:val="0"/>
                <w:sz w:val="14"/>
              </w:rPr>
              <w:t>BR-008 / FR-012</w:t>
            </w:r>
          </w:p>
        </w:tc>
      </w:tr>
      <w:tr>
        <w:tc>
          <w:tcPr>
            <w:tcW w:type="dxa" w:w="3456"/>
            <w:vAlign w:val="center"/>
          </w:tcPr>
          <w:p>
            <w:pPr>
              <w:jc w:val="left"/>
            </w:pPr>
            <w:r/>
            <w:r>
              <w:rPr>
                <w:rFonts w:ascii="Arial" w:hAnsi="Arial"/>
                <w:b w:val="0"/>
                <w:sz w:val="14"/>
              </w:rPr>
              <w:t>AC-009</w:t>
            </w:r>
          </w:p>
        </w:tc>
        <w:tc>
          <w:tcPr>
            <w:tcW w:type="dxa" w:w="3456"/>
            <w:vAlign w:val="center"/>
          </w:tcPr>
          <w:p>
            <w:pPr>
              <w:jc w:val="left"/>
            </w:pPr>
            <w:r/>
            <w:r>
              <w:rPr>
                <w:rFonts w:ascii="Arial" w:hAnsi="Arial"/>
                <w:b w:val="0"/>
                <w:sz w:val="14"/>
              </w:rPr>
              <w:t>Given search criteria, when the user searches loans, then matching authorized applications are returned and can be filtered.</w:t>
            </w:r>
          </w:p>
        </w:tc>
        <w:tc>
          <w:tcPr>
            <w:tcW w:type="dxa" w:w="3456"/>
            <w:vAlign w:val="center"/>
          </w:tcPr>
          <w:p>
            <w:pPr>
              <w:jc w:val="left"/>
            </w:pPr>
            <w:r/>
            <w:r>
              <w:rPr>
                <w:rFonts w:ascii="Arial" w:hAnsi="Arial"/>
                <w:b w:val="0"/>
                <w:sz w:val="14"/>
              </w:rPr>
              <w:t>BR-009 / FR-009</w:t>
            </w:r>
          </w:p>
        </w:tc>
      </w:tr>
      <w:tr>
        <w:tc>
          <w:tcPr>
            <w:tcW w:type="dxa" w:w="3456"/>
            <w:vAlign w:val="center"/>
            <w:shd w:fill="E7E6E6"/>
          </w:tcPr>
          <w:p>
            <w:pPr>
              <w:jc w:val="left"/>
            </w:pPr>
            <w:r/>
            <w:r>
              <w:rPr>
                <w:rFonts w:ascii="Arial" w:hAnsi="Arial"/>
                <w:b w:val="0"/>
                <w:sz w:val="14"/>
              </w:rPr>
              <w:t>AC-010</w:t>
            </w:r>
          </w:p>
        </w:tc>
        <w:tc>
          <w:tcPr>
            <w:tcW w:type="dxa" w:w="3456"/>
            <w:vAlign w:val="center"/>
            <w:shd w:fill="E7E6E6"/>
          </w:tcPr>
          <w:p>
            <w:pPr>
              <w:jc w:val="left"/>
            </w:pPr>
            <w:r/>
            <w:r>
              <w:rPr>
                <w:rFonts w:ascii="Arial" w:hAnsi="Arial"/>
                <w:b w:val="0"/>
                <w:sz w:val="14"/>
              </w:rPr>
              <w:t>Given a failed screening or unresolved discrepancy, when the request is placed on hold, then the hold reason, discrepancy and responsible owner are recorded.</w:t>
            </w:r>
          </w:p>
        </w:tc>
        <w:tc>
          <w:tcPr>
            <w:tcW w:type="dxa" w:w="3456"/>
            <w:vAlign w:val="center"/>
            <w:shd w:fill="E7E6E6"/>
          </w:tcPr>
          <w:p>
            <w:pPr>
              <w:jc w:val="left"/>
            </w:pPr>
            <w:r/>
            <w:r>
              <w:rPr>
                <w:rFonts w:ascii="Arial" w:hAnsi="Arial"/>
                <w:b w:val="0"/>
                <w:sz w:val="14"/>
              </w:rPr>
              <w:t>BR-010 / FR-004</w:t>
            </w:r>
          </w:p>
        </w:tc>
      </w:tr>
    </w:tbl>
    <w:p>
      <w:pPr>
        <w:spacing w:after="20"/>
      </w:pPr>
    </w:p>
    <w:p>
      <w:pPr>
        <w:spacing w:before="140" w:after="60"/>
      </w:pPr>
      <w:r>
        <w:rPr>
          <w:rFonts w:ascii="Arial" w:hAnsi="Arial"/>
          <w:b/>
          <w:color w:val="17365D"/>
          <w:sz w:val="32"/>
        </w:rPr>
        <w:t>15. Traceability Matrix</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4"/>
              </w:rPr>
              <w:t>Business Objective</w:t>
            </w:r>
          </w:p>
        </w:tc>
        <w:tc>
          <w:tcPr>
            <w:tcW w:type="dxa" w:w="2592"/>
            <w:vAlign w:val="center"/>
            <w:shd w:fill="1F4E79"/>
          </w:tcPr>
          <w:p>
            <w:pPr>
              <w:jc w:val="center"/>
            </w:pPr>
            <w:r/>
            <w:r>
              <w:rPr>
                <w:rFonts w:ascii="Arial" w:hAnsi="Arial"/>
                <w:b/>
                <w:color w:val="FFFFFF"/>
                <w:sz w:val="14"/>
              </w:rPr>
              <w:t>Business Requirement</w:t>
            </w:r>
          </w:p>
        </w:tc>
        <w:tc>
          <w:tcPr>
            <w:tcW w:type="dxa" w:w="2592"/>
            <w:vAlign w:val="center"/>
            <w:shd w:fill="1F4E79"/>
          </w:tcPr>
          <w:p>
            <w:pPr>
              <w:jc w:val="center"/>
            </w:pPr>
            <w:r/>
            <w:r>
              <w:rPr>
                <w:rFonts w:ascii="Arial" w:hAnsi="Arial"/>
                <w:b/>
                <w:color w:val="FFFFFF"/>
                <w:sz w:val="14"/>
              </w:rPr>
              <w:t>Functional / NFR</w:t>
            </w:r>
          </w:p>
        </w:tc>
        <w:tc>
          <w:tcPr>
            <w:tcW w:type="dxa" w:w="2592"/>
            <w:vAlign w:val="center"/>
            <w:shd w:fill="1F4E79"/>
          </w:tcPr>
          <w:p>
            <w:pPr>
              <w:jc w:val="center"/>
            </w:pPr>
            <w:r/>
            <w:r>
              <w:rPr>
                <w:rFonts w:ascii="Arial" w:hAnsi="Arial"/>
                <w:b/>
                <w:color w:val="FFFFFF"/>
                <w:sz w:val="14"/>
              </w:rPr>
              <w:t>Acceptance Criteria</w:t>
            </w:r>
          </w:p>
        </w:tc>
      </w:tr>
      <w:tr>
        <w:tc>
          <w:tcPr>
            <w:tcW w:type="dxa" w:w="2592"/>
            <w:vAlign w:val="center"/>
          </w:tcPr>
          <w:p>
            <w:pPr>
              <w:jc w:val="left"/>
            </w:pPr>
            <w:r/>
            <w:r>
              <w:rPr>
                <w:rFonts w:ascii="Arial" w:hAnsi="Arial"/>
                <w:b w:val="0"/>
                <w:sz w:val="14"/>
              </w:rPr>
              <w:t>BO-01</w:t>
            </w:r>
          </w:p>
        </w:tc>
        <w:tc>
          <w:tcPr>
            <w:tcW w:type="dxa" w:w="2592"/>
            <w:vAlign w:val="center"/>
          </w:tcPr>
          <w:p>
            <w:pPr>
              <w:jc w:val="left"/>
            </w:pPr>
            <w:r/>
            <w:r>
              <w:rPr>
                <w:rFonts w:ascii="Arial" w:hAnsi="Arial"/>
                <w:b w:val="0"/>
                <w:sz w:val="14"/>
              </w:rPr>
              <w:t>BR-004, BR-006, BR-007</w:t>
            </w:r>
          </w:p>
        </w:tc>
        <w:tc>
          <w:tcPr>
            <w:tcW w:type="dxa" w:w="2592"/>
            <w:vAlign w:val="center"/>
          </w:tcPr>
          <w:p>
            <w:pPr>
              <w:jc w:val="left"/>
            </w:pPr>
            <w:r/>
            <w:r>
              <w:rPr>
                <w:rFonts w:ascii="Arial" w:hAnsi="Arial"/>
                <w:b w:val="0"/>
                <w:sz w:val="14"/>
              </w:rPr>
              <w:t>FR-005, FR-007, FR-008</w:t>
            </w:r>
          </w:p>
        </w:tc>
        <w:tc>
          <w:tcPr>
            <w:tcW w:type="dxa" w:w="2592"/>
            <w:vAlign w:val="center"/>
          </w:tcPr>
          <w:p>
            <w:pPr>
              <w:jc w:val="left"/>
            </w:pPr>
            <w:r/>
            <w:r>
              <w:rPr>
                <w:rFonts w:ascii="Arial" w:hAnsi="Arial"/>
                <w:b w:val="0"/>
                <w:sz w:val="14"/>
              </w:rPr>
              <w:t>AC-004, AC-006, AC-007</w:t>
            </w:r>
          </w:p>
        </w:tc>
      </w:tr>
      <w:tr>
        <w:tc>
          <w:tcPr>
            <w:tcW w:type="dxa" w:w="2592"/>
            <w:vAlign w:val="center"/>
            <w:shd w:fill="E7E6E6"/>
          </w:tcPr>
          <w:p>
            <w:pPr>
              <w:jc w:val="left"/>
            </w:pPr>
            <w:r/>
            <w:r>
              <w:rPr>
                <w:rFonts w:ascii="Arial" w:hAnsi="Arial"/>
                <w:b w:val="0"/>
                <w:sz w:val="14"/>
              </w:rPr>
              <w:t>BO-02</w:t>
            </w:r>
          </w:p>
        </w:tc>
        <w:tc>
          <w:tcPr>
            <w:tcW w:type="dxa" w:w="2592"/>
            <w:vAlign w:val="center"/>
            <w:shd w:fill="E7E6E6"/>
          </w:tcPr>
          <w:p>
            <w:pPr>
              <w:jc w:val="left"/>
            </w:pPr>
            <w:r/>
            <w:r>
              <w:rPr>
                <w:rFonts w:ascii="Arial" w:hAnsi="Arial"/>
                <w:b w:val="0"/>
                <w:sz w:val="14"/>
              </w:rPr>
              <w:t>BR-001, BR-003, BR-004</w:t>
            </w:r>
          </w:p>
        </w:tc>
        <w:tc>
          <w:tcPr>
            <w:tcW w:type="dxa" w:w="2592"/>
            <w:vAlign w:val="center"/>
            <w:shd w:fill="E7E6E6"/>
          </w:tcPr>
          <w:p>
            <w:pPr>
              <w:jc w:val="left"/>
            </w:pPr>
            <w:r/>
            <w:r>
              <w:rPr>
                <w:rFonts w:ascii="Arial" w:hAnsi="Arial"/>
                <w:b w:val="0"/>
                <w:sz w:val="14"/>
              </w:rPr>
              <w:t>FR-001, FR-004, FR-005</w:t>
            </w:r>
          </w:p>
        </w:tc>
        <w:tc>
          <w:tcPr>
            <w:tcW w:type="dxa" w:w="2592"/>
            <w:vAlign w:val="center"/>
            <w:shd w:fill="E7E6E6"/>
          </w:tcPr>
          <w:p>
            <w:pPr>
              <w:jc w:val="left"/>
            </w:pPr>
            <w:r/>
            <w:r>
              <w:rPr>
                <w:rFonts w:ascii="Arial" w:hAnsi="Arial"/>
                <w:b w:val="0"/>
                <w:sz w:val="14"/>
              </w:rPr>
              <w:t>AC-001, AC-003, AC-004</w:t>
            </w:r>
          </w:p>
        </w:tc>
      </w:tr>
      <w:tr>
        <w:tc>
          <w:tcPr>
            <w:tcW w:type="dxa" w:w="2592"/>
            <w:vAlign w:val="center"/>
          </w:tcPr>
          <w:p>
            <w:pPr>
              <w:jc w:val="left"/>
            </w:pPr>
            <w:r/>
            <w:r>
              <w:rPr>
                <w:rFonts w:ascii="Arial" w:hAnsi="Arial"/>
                <w:b w:val="0"/>
                <w:sz w:val="14"/>
              </w:rPr>
              <w:t>BO-03</w:t>
            </w:r>
          </w:p>
        </w:tc>
        <w:tc>
          <w:tcPr>
            <w:tcW w:type="dxa" w:w="2592"/>
            <w:vAlign w:val="center"/>
          </w:tcPr>
          <w:p>
            <w:pPr>
              <w:jc w:val="left"/>
            </w:pPr>
            <w:r/>
            <w:r>
              <w:rPr>
                <w:rFonts w:ascii="Arial" w:hAnsi="Arial"/>
                <w:b w:val="0"/>
                <w:sz w:val="14"/>
              </w:rPr>
              <w:t>BR-007, BR-009</w:t>
            </w:r>
          </w:p>
        </w:tc>
        <w:tc>
          <w:tcPr>
            <w:tcW w:type="dxa" w:w="2592"/>
            <w:vAlign w:val="center"/>
          </w:tcPr>
          <w:p>
            <w:pPr>
              <w:jc w:val="left"/>
            </w:pPr>
            <w:r/>
            <w:r>
              <w:rPr>
                <w:rFonts w:ascii="Arial" w:hAnsi="Arial"/>
                <w:b w:val="0"/>
                <w:sz w:val="14"/>
              </w:rPr>
              <w:t>FR-007, FR-009, FR-010</w:t>
            </w:r>
          </w:p>
        </w:tc>
        <w:tc>
          <w:tcPr>
            <w:tcW w:type="dxa" w:w="2592"/>
            <w:vAlign w:val="center"/>
          </w:tcPr>
          <w:p>
            <w:pPr>
              <w:jc w:val="left"/>
            </w:pPr>
            <w:r/>
            <w:r>
              <w:rPr>
                <w:rFonts w:ascii="Arial" w:hAnsi="Arial"/>
                <w:b w:val="0"/>
                <w:sz w:val="14"/>
              </w:rPr>
              <w:t>AC-007, AC-009</w:t>
            </w:r>
          </w:p>
        </w:tc>
      </w:tr>
      <w:tr>
        <w:tc>
          <w:tcPr>
            <w:tcW w:type="dxa" w:w="2592"/>
            <w:vAlign w:val="center"/>
            <w:shd w:fill="E7E6E6"/>
          </w:tcPr>
          <w:p>
            <w:pPr>
              <w:jc w:val="left"/>
            </w:pPr>
            <w:r/>
            <w:r>
              <w:rPr>
                <w:rFonts w:ascii="Arial" w:hAnsi="Arial"/>
                <w:b w:val="0"/>
                <w:sz w:val="14"/>
              </w:rPr>
              <w:t>BO-04</w:t>
            </w:r>
          </w:p>
        </w:tc>
        <w:tc>
          <w:tcPr>
            <w:tcW w:type="dxa" w:w="2592"/>
            <w:vAlign w:val="center"/>
            <w:shd w:fill="E7E6E6"/>
          </w:tcPr>
          <w:p>
            <w:pPr>
              <w:jc w:val="left"/>
            </w:pPr>
            <w:r/>
            <w:r>
              <w:rPr>
                <w:rFonts w:ascii="Arial" w:hAnsi="Arial"/>
                <w:b w:val="0"/>
                <w:sz w:val="14"/>
              </w:rPr>
              <w:t>BR-003, BR-005, BR-010</w:t>
            </w:r>
          </w:p>
        </w:tc>
        <w:tc>
          <w:tcPr>
            <w:tcW w:type="dxa" w:w="2592"/>
            <w:vAlign w:val="center"/>
            <w:shd w:fill="E7E6E6"/>
          </w:tcPr>
          <w:p>
            <w:pPr>
              <w:jc w:val="left"/>
            </w:pPr>
            <w:r/>
            <w:r>
              <w:rPr>
                <w:rFonts w:ascii="Arial" w:hAnsi="Arial"/>
                <w:b w:val="0"/>
                <w:sz w:val="14"/>
              </w:rPr>
              <w:t>FR-004, FR-006, NFR-005</w:t>
            </w:r>
          </w:p>
        </w:tc>
        <w:tc>
          <w:tcPr>
            <w:tcW w:type="dxa" w:w="2592"/>
            <w:vAlign w:val="center"/>
            <w:shd w:fill="E7E6E6"/>
          </w:tcPr>
          <w:p>
            <w:pPr>
              <w:jc w:val="left"/>
            </w:pPr>
            <w:r/>
            <w:r>
              <w:rPr>
                <w:rFonts w:ascii="Arial" w:hAnsi="Arial"/>
                <w:b w:val="0"/>
                <w:sz w:val="14"/>
              </w:rPr>
              <w:t>AC-003, AC-005, AC-010</w:t>
            </w:r>
          </w:p>
        </w:tc>
      </w:tr>
      <w:tr>
        <w:tc>
          <w:tcPr>
            <w:tcW w:type="dxa" w:w="2592"/>
            <w:vAlign w:val="center"/>
          </w:tcPr>
          <w:p>
            <w:pPr>
              <w:jc w:val="left"/>
            </w:pPr>
            <w:r/>
            <w:r>
              <w:rPr>
                <w:rFonts w:ascii="Arial" w:hAnsi="Arial"/>
                <w:b w:val="0"/>
                <w:sz w:val="14"/>
              </w:rPr>
              <w:t>BO-05</w:t>
            </w:r>
          </w:p>
        </w:tc>
        <w:tc>
          <w:tcPr>
            <w:tcW w:type="dxa" w:w="2592"/>
            <w:vAlign w:val="center"/>
          </w:tcPr>
          <w:p>
            <w:pPr>
              <w:jc w:val="left"/>
            </w:pPr>
            <w:r/>
            <w:r>
              <w:rPr>
                <w:rFonts w:ascii="Arial" w:hAnsi="Arial"/>
                <w:b w:val="0"/>
                <w:sz w:val="14"/>
              </w:rPr>
              <w:t>BR-008</w:t>
            </w:r>
          </w:p>
        </w:tc>
        <w:tc>
          <w:tcPr>
            <w:tcW w:type="dxa" w:w="2592"/>
            <w:vAlign w:val="center"/>
          </w:tcPr>
          <w:p>
            <w:pPr>
              <w:jc w:val="left"/>
            </w:pPr>
            <w:r/>
            <w:r>
              <w:rPr>
                <w:rFonts w:ascii="Arial" w:hAnsi="Arial"/>
                <w:b w:val="0"/>
                <w:sz w:val="14"/>
              </w:rPr>
              <w:t>FR-012, NFR-006, NFR-007</w:t>
            </w:r>
          </w:p>
        </w:tc>
        <w:tc>
          <w:tcPr>
            <w:tcW w:type="dxa" w:w="2592"/>
            <w:vAlign w:val="center"/>
          </w:tcPr>
          <w:p>
            <w:pPr>
              <w:jc w:val="left"/>
            </w:pPr>
            <w:r/>
            <w:r>
              <w:rPr>
                <w:rFonts w:ascii="Arial" w:hAnsi="Arial"/>
                <w:b w:val="0"/>
                <w:sz w:val="14"/>
              </w:rPr>
              <w:t>AC-008</w:t>
            </w:r>
          </w:p>
        </w:tc>
      </w:tr>
    </w:tbl>
    <w:p>
      <w:pPr>
        <w:spacing w:after="20"/>
      </w:pPr>
    </w:p>
    <w:p>
      <w:pPr>
        <w:spacing w:before="140" w:after="60"/>
      </w:pPr>
      <w:r>
        <w:rPr>
          <w:rFonts w:ascii="Arial" w:hAnsi="Arial"/>
          <w:b/>
          <w:color w:val="17365D"/>
          <w:sz w:val="32"/>
        </w:rPr>
        <w:t>16. POC Extraction Checklist</w:t>
      </w:r>
    </w:p>
    <w:p>
      <w:pPr>
        <w:spacing w:after="80" w:line="240" w:lineRule="auto"/>
      </w:pPr>
      <w:r>
        <w:rPr>
          <w:rFonts w:ascii="Arial" w:hAnsi="Arial"/>
          <w:sz w:val="18"/>
        </w:rPr>
        <w:t>The POC should demonstrate that the agent can identify and generate the following outputs from this BRS:</w:t>
      </w:r>
    </w:p>
    <w:p>
      <w:pPr>
        <w:pStyle w:val="ListBullet"/>
        <w:spacing w:after="20"/>
      </w:pPr>
      <w:r>
        <w:rPr>
          <w:rFonts w:ascii="Arial" w:hAnsi="Arial"/>
          <w:sz w:val="17"/>
        </w:rPr>
        <w:t>Business context and problem statement.</w:t>
      </w:r>
    </w:p>
    <w:p>
      <w:pPr>
        <w:pStyle w:val="ListBullet"/>
        <w:spacing w:after="20"/>
      </w:pPr>
      <w:r>
        <w:rPr>
          <w:rFonts w:ascii="Arial" w:hAnsi="Arial"/>
          <w:sz w:val="17"/>
        </w:rPr>
        <w:t>Objectives and measurable outcomes.</w:t>
      </w:r>
    </w:p>
    <w:p>
      <w:pPr>
        <w:pStyle w:val="ListBullet"/>
        <w:spacing w:after="20"/>
      </w:pPr>
      <w:r>
        <w:rPr>
          <w:rFonts w:ascii="Arial" w:hAnsi="Arial"/>
          <w:sz w:val="17"/>
        </w:rPr>
        <w:t>In-scope and out-of-scope items.</w:t>
      </w:r>
    </w:p>
    <w:p>
      <w:pPr>
        <w:pStyle w:val="ListBullet"/>
        <w:spacing w:after="20"/>
      </w:pPr>
      <w:r>
        <w:rPr>
          <w:rFonts w:ascii="Arial" w:hAnsi="Arial"/>
          <w:sz w:val="17"/>
        </w:rPr>
        <w:t>Stakeholders and roles.</w:t>
      </w:r>
    </w:p>
    <w:p>
      <w:pPr>
        <w:pStyle w:val="ListBullet"/>
        <w:spacing w:after="20"/>
      </w:pPr>
      <w:r>
        <w:rPr>
          <w:rFonts w:ascii="Arial" w:hAnsi="Arial"/>
          <w:sz w:val="17"/>
        </w:rPr>
        <w:t>Business, functional and non-functional requirements.</w:t>
      </w:r>
    </w:p>
    <w:p>
      <w:pPr>
        <w:pStyle w:val="ListBullet"/>
        <w:spacing w:after="20"/>
      </w:pPr>
      <w:r>
        <w:rPr>
          <w:rFonts w:ascii="Arial" w:hAnsi="Arial"/>
          <w:sz w:val="17"/>
        </w:rPr>
        <w:t>Business rules, assumptions and constraints.</w:t>
      </w:r>
    </w:p>
    <w:p>
      <w:pPr>
        <w:pStyle w:val="ListBullet"/>
        <w:spacing w:after="20"/>
      </w:pPr>
      <w:r>
        <w:rPr>
          <w:rFonts w:ascii="Arial" w:hAnsi="Arial"/>
          <w:sz w:val="17"/>
        </w:rPr>
        <w:t>User stories and testable acceptance criteria.</w:t>
      </w:r>
    </w:p>
    <w:p>
      <w:pPr>
        <w:pStyle w:val="ListBullet"/>
        <w:spacing w:after="20"/>
      </w:pPr>
      <w:r>
        <w:rPr>
          <w:rFonts w:ascii="Arial" w:hAnsi="Arial"/>
          <w:sz w:val="17"/>
        </w:rPr>
        <w:t>Source-linked traceability from BRS section to DRS requirement and backlog item.</w:t>
      </w:r>
    </w:p>
    <w:p>
      <w:pPr>
        <w:pStyle w:val="ListBullet"/>
        <w:spacing w:after="20"/>
      </w:pPr>
      <w:r>
        <w:rPr>
          <w:rFonts w:ascii="Arial" w:hAnsi="Arial"/>
          <w:sz w:val="17"/>
        </w:rPr>
        <w:t>Ambiguities, missing information, conflicts and duplicates requiring human review.</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Sample / Non-production  |  Version 1.0  |  03-Aug-2026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Sample BRS | Trade Finance Automation |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