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tiff" ContentType="image/tiff"/>
  <Override PartName="/word/media/rId227.tiff" ContentType="image/tiff"/>
  <Override PartName="/word/media/rId38.tiff" ContentType="image/tiff"/>
  <Override PartName="/word/media/rId231.tiff" ContentType="image/tiff"/>
  <Override PartName="/word/media/rId42.tiff" ContentType="image/tiff"/>
  <Override PartName="/word/media/rId50.tiff" ContentType="image/tiff"/>
  <Override PartName="/word/media/rId31.tiff" ContentType="image/tiff"/>
  <Override PartName="/word/media/rId24.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caring</w:t>
      </w:r>
      <w:r>
        <w:t xml:space="preserve"> </w:t>
      </w:r>
      <w:r>
        <w:t xml:space="preserve">15-minute</w:t>
      </w:r>
      <w:r>
        <w:t xml:space="preserve"> </w:t>
      </w:r>
      <w:r>
        <w:t xml:space="preserve">neighbourhoods</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 15-Minute City is a normative conceptualisation gaining ground in urban planning: it frames neighbourhoods as responsive to human needs and environmental sensibilities, where most daily necessities can be reached within a 15-minute walk or bike ride</w:t>
      </w:r>
      <w:r>
        <w:t xml:space="preserve"> </w:t>
      </w:r>
      <w:r>
        <w:t xml:space="preserve">(Allam et al. 2022)</w:t>
      </w:r>
      <w:r>
        <w:t xml:space="preserve">. As a related tool, accessibility measures (the ease of reaching opportunities) are increasingly important amongst transport planners aiming to foster just and sustainable cities</w:t>
      </w:r>
      <w:r>
        <w:t xml:space="preserve"> </w:t>
      </w:r>
      <w:r>
        <w:t xml:space="preserve">(Vale and Lopes 2023)</w:t>
      </w:r>
      <w:r>
        <w:t xml:space="preserve">. Both the 15-Minute City and accessibility measures are flexible enough to consider all destination types holistically however, gendered examinations have been lacking in the literature. For instance, accessibility analyses have historically focused on employment-centric and discretionary travel, types of travel more frequent for working-age and higher-income men.</w:t>
      </w:r>
    </w:p>
    <w:p>
      <w:pPr>
        <w:pStyle w:val="BodyText"/>
      </w:pPr>
      <w:r>
        <w:t xml:space="preserve">To counter this masculinist bias, this study investigates a way to gender-mainstream the 15-Minute City through a care lens</w:t>
      </w:r>
      <w:r>
        <w:t xml:space="preserve"> </w:t>
      </w:r>
      <w:r>
        <w:t xml:space="preserve">(e.g., Law 1999; Cresswell and Uteng 2008; Levy 1992, 1991, 2013)</w:t>
      </w:r>
      <w:r>
        <w:t xml:space="preserve"> </w:t>
      </w:r>
      <w:r>
        <w:t xml:space="preserve">supported by the Mobility of Care framework (coined by</w:t>
      </w:r>
      <w:r>
        <w:t xml:space="preserve"> </w:t>
      </w:r>
      <w:r>
        <w:t xml:space="preserve">Sánchez de Madariaga (2013)</w:t>
      </w:r>
      <w:r>
        <w:t xml:space="preserve">). Mobility of Care emphasizes the importance of travel to unpaid work (care trips) in contrast to the better-studied travel to employment and leisure. While all three trip types (work, care, and leisure) are essential, care trips are often relatively shorter-distance, proximate to residential/work/school, and comprise approximately 30% of adults’ daily trips</w:t>
      </w:r>
      <w:r>
        <w:t xml:space="preserve"> </w:t>
      </w:r>
      <w:r>
        <w:t xml:space="preserve">(Sánchez de Madariaga and Zucchini 2019; Ravensbergen, Fournier, and El-Geneidy 2023; Mejía-Dorantes, Montero, and Barceló 2021)</w:t>
      </w:r>
      <w:r>
        <w:t xml:space="preserve">; fitting well within the 15-Minute City conceptualisation.</w:t>
      </w:r>
    </w:p>
    <w:p>
      <w:pPr>
        <w:pStyle w:val="BodyText"/>
      </w:pPr>
      <w:r>
        <w:t xml:space="preserve">Our study provides an empirical example that maps the 15-Minute City onto the Mobility of Care framework. Specifically, it identifies which areas in Hamilton, Canada are</w:t>
      </w:r>
      <w:r>
        <w:t xml:space="preserve"> </w:t>
      </w:r>
      <w:r>
        <w:t xml:space="preserve">‘</w:t>
      </w:r>
      <w:r>
        <w:t xml:space="preserve">caring 15-minute neighbourhoods</w:t>
      </w:r>
      <w:r>
        <w:t xml:space="preserve">’</w:t>
      </w:r>
      <w:r>
        <w:t xml:space="preserve">. To do so, a database of care destinations is created using secondary data.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 and cycling- sheds from census centroids. Typologies are generated to illustrate which neighbourhoods can and to what degree facilitate 15-minute access to care.</w:t>
      </w:r>
    </w:p>
    <w:p>
      <w:pPr>
        <w:pStyle w:val="BodyText"/>
      </w:pPr>
      <w:r>
        <w:t xml:space="preserve">Results indicate only a few neighbourhoods outside of the downtown core are</w:t>
      </w:r>
      <w:r>
        <w:t xml:space="preserve"> </w:t>
      </w:r>
      <w:r>
        <w:t xml:space="preserve">‘</w:t>
      </w:r>
      <w:r>
        <w:t xml:space="preserve">care-complete</w:t>
      </w:r>
      <w:r>
        <w:t xml:space="preserve">’</w:t>
      </w:r>
      <w:r>
        <w:t xml:space="preserve">, i.e., contain a sufficiently high mix of care destinations from all categories and sub-categories. However, some neighbourhoods are almost</w:t>
      </w:r>
      <w:r>
        <w:t xml:space="preserve"> </w:t>
      </w:r>
      <w:r>
        <w:t xml:space="preserve">‘</w:t>
      </w:r>
      <w:r>
        <w:t xml:space="preserve">care-complete</w:t>
      </w:r>
      <w:r>
        <w:t xml:space="preserve">’</w:t>
      </w:r>
      <w:r>
        <w:t xml:space="preserve"> </w:t>
      </w:r>
      <w:r>
        <w:t xml:space="preserve">and provide 15-minute access to some care categories. Our study frames these neighbourhoods on the continuum of</w:t>
      </w:r>
      <w:r>
        <w:t xml:space="preserve"> </w:t>
      </w:r>
      <w:r>
        <w:t xml:space="preserve">‘</w:t>
      </w:r>
      <w:r>
        <w:t xml:space="preserve">caring</w:t>
      </w:r>
      <w:r>
        <w:t xml:space="preserve">’</w:t>
      </w:r>
      <w:r>
        <w:t xml:space="preserve"> </w:t>
      </w:r>
      <w:r>
        <w:t xml:space="preserve">and in need of further intervention. The quantitative investigation conducted provides a high-level picture of what neighbourhoods (and their underlying land-use) are connected to transport infrastructure that can support reaching care-destinations.</w:t>
      </w:r>
    </w:p>
    <w:p>
      <w:pPr>
        <w:pStyle w:val="BodyText"/>
      </w:pPr>
      <w:r>
        <w:t xml:space="preserve">Taken together, this study provides a theoretical bridge to connect 15-Minute Cities, accessibility analysis and Mobility of Care framework for the purpose of informing policy choice aimed to encourage just and sustainable mobility.</w:t>
      </w:r>
    </w:p>
    <w:bookmarkEnd w:id="20"/>
    <w:bookmarkStart w:id="23" w:name="introduction"/>
    <w:p>
      <w:pPr>
        <w:pStyle w:val="Heading1"/>
      </w:pPr>
      <w:r>
        <w:t xml:space="preserve">Introduction</w:t>
      </w:r>
    </w:p>
    <w:p>
      <w:pPr>
        <w:pStyle w:val="FirstParagraph"/>
      </w:pPr>
      <w:r>
        <w:t xml:space="preserve">Caring is one of the most fundamental activities in societies, which has allowed humanity to survive and evolve. It involves activities targeted to meet physical, psychological, and emotional needs of others</w:t>
      </w:r>
      <w:r>
        <w:t xml:space="preserve"> </w:t>
      </w:r>
      <w:r>
        <w:t xml:space="preserve">(ILO 2018)</w:t>
      </w:r>
      <w:r>
        <w:t xml:space="preserve">. Yet, it is one of the worst devalued, underpaid, and unequal activities worldwide. Traditionally, caring activities have remained on women’s shoulders. Even though the society has evolved, and nowadays women attain higher educational levels and tend to work out of home more than ever before, the bulk of care remains (at any stage of her lifecourse) heavily on her shoulders. The Second Job or the Second Shift remains in all industrial societies, mostly women’s work (Hayden, 1982 (?Citation))</w:t>
      </w:r>
      <w:r>
        <w:t xml:space="preserve"> </w:t>
      </w:r>
      <w:r>
        <w:t xml:space="preserve">(Hochschild and Machung 2012)</w:t>
      </w:r>
      <w:r>
        <w:t xml:space="preserve">.</w:t>
      </w:r>
    </w:p>
    <w:p>
      <w:pPr>
        <w:pStyle w:val="BodyText"/>
      </w:pPr>
      <w:r>
        <w:t xml:space="preserve">This unequal share of caring responsibilities leads to gendered differences in among others, career development, differences in contract types and decision-making positions, unbalanced share of women in certain professions, gender pay gap, time poverty, as recognised by different international organisations (European Institute for Gender Equality, 2016 (?Citation))</w:t>
      </w:r>
      <w:r>
        <w:t xml:space="preserve"> </w:t>
      </w:r>
      <w:r>
        <w:t xml:space="preserve">(ILO 2018)</w:t>
      </w:r>
      <w:r>
        <w:t xml:space="preserve">. In fact, already the first feminists in the United States observed that domestic labor was the most relevant basic cause of women’s inequality</w:t>
      </w:r>
      <w:r>
        <w:t xml:space="preserve"> </w:t>
      </w:r>
      <w:r>
        <w:t xml:space="preserve">(Gordon 1976)</w:t>
      </w:r>
      <w:r>
        <w:t xml:space="preserve"> </w:t>
      </w:r>
      <w:r>
        <w:t xml:space="preserve">(Hayden, 1982 (?Citation)).</w:t>
      </w:r>
    </w:p>
    <w:p>
      <w:pPr>
        <w:pStyle w:val="BodyText"/>
      </w:pPr>
      <w:r>
        <w:t xml:space="preserve">According to the</w:t>
      </w:r>
      <w:r>
        <w:t xml:space="preserve"> </w:t>
      </w:r>
      <w:r>
        <w:t xml:space="preserve">(ILO 2018)</w:t>
      </w:r>
      <w:r>
        <w:t xml:space="preserve">, women and girls perform more than three-quarters of the total amount of unpaid care work and two-thirds of care workers are women. The caring economy is part of the women-dominated industries, it is characterised by the evaluative discrimination, which is only one of the dimensions of the gender pay gap</w:t>
      </w:r>
      <w:r>
        <w:t xml:space="preserve"> </w:t>
      </w:r>
      <w:r>
        <w:t xml:space="preserve">(Mejia-Dorantes 2019)</w:t>
      </w:r>
      <w:r>
        <w:t xml:space="preserve">. Especially in the case of domestic workers, care workers are most of the times women and migrants’ workers, with poor working conditions, and many times associated with informal jobs which imply lack of labour rights, no social and health protection, susceptible of exploitation, one of the poorest working conditions across the care economy as the ILO observes</w:t>
      </w:r>
      <w:r>
        <w:t xml:space="preserve"> </w:t>
      </w:r>
      <w:r>
        <w:t xml:space="preserve">(ILO 2018)</w:t>
      </w:r>
      <w:r>
        <w:t xml:space="preserve">. Care workers becomes disrespected, leading to a devaluation of their activity, and consequently remains as one of the less well-paid occupations a person can undertake.</w:t>
      </w:r>
    </w:p>
    <w:p>
      <w:pPr>
        <w:pStyle w:val="BodyText"/>
      </w:pPr>
      <w:r>
        <w:t xml:space="preserve">If we turn our attention to the urban planning perspective, Caring is a major human activity that may take form in all urban settings, in all transport modes, all times a day and year, and yet it is not described as neither origin nor destination, and until recently, it was inexistent.</w:t>
      </w:r>
    </w:p>
    <w:p>
      <w:pPr>
        <w:pStyle w:val="BodyText"/>
      </w:pPr>
      <w:r>
        <w:t xml:space="preserve">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w:t>
      </w:r>
      <w:r>
        <w:t xml:space="preserve"> </w:t>
      </w:r>
      <w:r>
        <w:t xml:space="preserve">(Cresswell and Uteng 2008; Law 1999; Levy 2013; Little 1994; Tronto and Fisher 1990)</w:t>
      </w:r>
      <w:r>
        <w:t xml:space="preserve">. The man with legal rights, paid labour public sphere and woman in the private sphere, dependent, with family duties, personal relations and unpaid labour</w:t>
      </w:r>
      <w:r>
        <w:t xml:space="preserve"> </w:t>
      </w:r>
      <w:r>
        <w:t xml:space="preserve">(Tronto and Fisher 1990)</w:t>
      </w:r>
      <w:r>
        <w:t xml:space="preserve">. In this line,</w:t>
      </w:r>
      <w:r>
        <w:t xml:space="preserve"> </w:t>
      </w:r>
      <w:r>
        <w:t xml:space="preserve">Cresswell and Uteng (2008)</w:t>
      </w:r>
      <w:r>
        <w:t xml:space="preserve"> </w:t>
      </w:r>
      <w:r>
        <w:t xml:space="preserve">described how masculinity was related to mobile and active, whereas femininity to static. As an example of this dichotomy, transport planning historically framed non-work/school trips as</w:t>
      </w:r>
      <w:r>
        <w:t xml:space="preserve"> </w:t>
      </w:r>
      <w:r>
        <w:t xml:space="preserve">‘</w:t>
      </w:r>
      <w:r>
        <w:t xml:space="preserve">non-mandatory</w:t>
      </w:r>
      <w:r>
        <w:t xml:space="preserve">’</w:t>
      </w:r>
      <w:r>
        <w:t xml:space="preserve"> </w:t>
      </w:r>
      <w:r>
        <w:t xml:space="preserve">activities, downgrading these activities in comparison to work.</w:t>
      </w:r>
    </w:p>
    <w:p>
      <w:pPr>
        <w:pStyle w:val="BodyText"/>
      </w:pPr>
      <w:r>
        <w:t xml:space="preserve">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This gendered division in mobility of care is perhaps unsurprising as women tend to complete a disproportionate amount of household-serving labour, such as caring for children and other dependents, preparing meals, cleaning, and running errands, when compared to men</w:t>
      </w:r>
      <w:r>
        <w:t xml:space="preserve"> </w:t>
      </w:r>
      <w:r>
        <w:t xml:space="preserve">(Moyser and Burlock 2018)</w:t>
      </w:r>
      <w:r>
        <w:t xml:space="preserve">. This gender gap varies geographically</w:t>
      </w:r>
      <w:r>
        <w:t xml:space="preserve"> </w:t>
      </w:r>
      <w:r>
        <w:t xml:space="preserve">(Ferrant, Pesando, and Nowacka 2014)</w:t>
      </w:r>
      <w:r>
        <w:t xml:space="preserve">. In Canada, adult women complete 1.9 hours, on average, more of unpaid care than men every day</w:t>
      </w:r>
      <w:r>
        <w:t xml:space="preserve"> </w:t>
      </w:r>
      <w:r>
        <w:t xml:space="preserve">(Moyser and Burlock 2018)</w:t>
      </w:r>
      <w:r>
        <w:t xml:space="preserve">. This labour is essential, and a large component of daily life.</w:t>
      </w:r>
    </w:p>
    <w:p>
      <w:pPr>
        <w:pStyle w:val="BodyText"/>
      </w:pPr>
      <w:r>
        <w:t xml:space="preserve">From this research motivation, Sánchez de Madariaga coined the term</w:t>
      </w:r>
      <w:r>
        <w:t xml:space="preserve"> </w:t>
      </w:r>
      <w:r>
        <w:t xml:space="preserve">‘</w:t>
      </w:r>
      <w:r>
        <w:t xml:space="preserve">mobility of care</w:t>
      </w:r>
      <w:r>
        <w:t xml:space="preserve">’</w:t>
      </w:r>
      <w:r>
        <w:t xml:space="preserve"> </w:t>
      </w:r>
      <w:r>
        <w:t xml:space="preserve">in 2013 to refer to all travel required to sustain the needs of a household, such as grocery shopping, escorting children, travelling to health appointments, and running errands</w:t>
      </w:r>
      <w:r>
        <w:t xml:space="preserve"> </w:t>
      </w:r>
      <w:r>
        <w:t xml:space="preserve">(Sánchez de Madariaga 2013)</w:t>
      </w:r>
      <w:r>
        <w:t xml:space="preserve">.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w:t>
      </w:r>
      <w:r>
        <w:t xml:space="preserve"> </w:t>
      </w:r>
      <w:r>
        <w:t xml:space="preserve">(Sánchez de Madariaga 2013; Sánchez de Madariaga and Zucchini 2019; 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Transport surveys and tools do not directly capture mobility of care, which re-enforces the idea that these trips are not a significant part of daily mobility.</w:t>
      </w:r>
    </w:p>
    <w:p>
      <w:pPr>
        <w:pStyle w:val="BodyText"/>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private spaces organization within cities. In this light, we focus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bookmarkStart w:id="21" w:name="feminist-15-minute-neighbourhoods"/>
    <w:p>
      <w:pPr>
        <w:pStyle w:val="Heading2"/>
      </w:pPr>
      <w:r>
        <w:t xml:space="preserve">Feminist 15-minute neighbourhoods</w:t>
      </w:r>
    </w:p>
    <w:p>
      <w:pPr>
        <w:pStyle w:val="FirstParagraph"/>
      </w:pPr>
      <w:r>
        <w:t xml:space="preserve">Within the backdrop of urban planning and</w:t>
      </w:r>
      <w:r>
        <w:t xml:space="preserve"> </w:t>
      </w:r>
      <w:r>
        <w:t xml:space="preserve">‘</w:t>
      </w:r>
      <w:r>
        <w:t xml:space="preserve">mobility of care</w:t>
      </w:r>
      <w:r>
        <w:t xml:space="preserve">’</w:t>
      </w:r>
      <w:r>
        <w:t xml:space="preserve">, we connect our work to the 15-minute neighbourhood concept.</w:t>
      </w:r>
    </w:p>
    <w:p>
      <w:pPr>
        <w:pStyle w:val="BodyText"/>
      </w:pPr>
      <w:r>
        <w:t xml:space="preserve">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w:t>
      </w:r>
      <w:r>
        <w:t xml:space="preserve"> </w:t>
      </w:r>
      <w:r>
        <w:t xml:space="preserve">(Schneider 1981; Sweet, Bullivant, and Kanaroglou 2017)</w:t>
      </w:r>
      <w:r>
        <w:t xml:space="preserve">. This concept may have different interpretations depending on the spatial and geographical scales</w:t>
      </w:r>
      <w:r>
        <w:t xml:space="preserve"> </w:t>
      </w:r>
      <w:r>
        <w:t xml:space="preserve">(Hall 2009)</w:t>
      </w:r>
      <w:r>
        <w:t xml:space="preserve">.</w:t>
      </w:r>
    </w:p>
    <w:p>
      <w:pPr>
        <w:pStyle w:val="BodyText"/>
      </w:pPr>
      <w:r>
        <w:t xml:space="preserve">In the last decades, the need for more sustainable, healthier, and liveable cities has received more attention. Planners and policy makers have proposed different alternatives where residents reach</w:t>
      </w:r>
      <w:r>
        <w:t xml:space="preserve"> </w:t>
      </w:r>
      <w:r>
        <w:t xml:space="preserve">“</w:t>
      </w:r>
      <w:r>
        <w:t xml:space="preserve">essential activities</w:t>
      </w:r>
      <w:r>
        <w:t xml:space="preserve">”</w:t>
      </w:r>
      <w:r>
        <w:t xml:space="preserve"> </w:t>
      </w:r>
      <w:r>
        <w:t xml:space="preserve">within walkable or cycling distances, reducing the need for using motorised transportation modes. The 15-minutes cities, 20-minutes or x-minutes cities, have been long under the spotlight. This approach has also received the name of Chrono-urbanism or the</w:t>
      </w:r>
      <w:r>
        <w:t xml:space="preserve"> </w:t>
      </w:r>
      <w:r>
        <w:t xml:space="preserve">“</w:t>
      </w:r>
      <w:r>
        <w:t xml:space="preserve">cities of proximity</w:t>
      </w:r>
      <w:r>
        <w:t xml:space="preserve">”</w:t>
      </w:r>
      <w:r>
        <w:t xml:space="preserve"> </w:t>
      </w:r>
      <w:r>
        <w:t xml:space="preserve">(Logan et al. 2022; Moreno et al. 2021)</w:t>
      </w:r>
      <w:r>
        <w:t xml:space="preserve">.</w:t>
      </w:r>
    </w:p>
    <w:p>
      <w:pPr>
        <w:pStyle w:val="BodyText"/>
      </w:pPr>
      <w:r>
        <w:t xml:space="preserve">In the international context, there are different examples that highlight the importance of good access to different services and amenities within walkable distances. Probably one of the first cities to adopt the proximity approach was Portland. The Portland Plan</w:t>
      </w:r>
      <w:r>
        <w:t xml:space="preserve"> </w:t>
      </w:r>
      <w:r>
        <w:t xml:space="preserve">(Portland 2010)</w:t>
      </w:r>
      <w:r>
        <w:t xml:space="preserve"> </w:t>
      </w:r>
      <w:r>
        <w:t xml:space="preserve">was adopted by the City Council on April 25, 2012 aiming at fostering an inclusive city development for the following 30 years. The plan is based on the following principles: prosperity, education, health, and equity.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w:t>
      </w:r>
      <w:r>
        <w:t xml:space="preserve"> </w:t>
      </w:r>
      <w:r>
        <w:t xml:space="preserve">(Government 2017)</w:t>
      </w:r>
      <w:r>
        <w:t xml:space="preserve">.</w:t>
      </w:r>
    </w:p>
    <w:p>
      <w:pPr>
        <w:pStyle w:val="BodyText"/>
      </w:pPr>
      <w:r>
        <w:t xml:space="preserve">In Paris, the adoption of the 15-Minute city put into the spotlight this approach. In Paris, they targeted six social functions that had to be easily accessible at any part of the city: housing, work, health care, groceries, education and leisure</w:t>
      </w:r>
      <w:r>
        <w:t xml:space="preserve"> </w:t>
      </w:r>
      <w:r>
        <w:t xml:space="preserve">(Paris 2022)</w:t>
      </w:r>
      <w:r>
        <w:t xml:space="preserve">. In 2021, Ottawa also adopted a 15-Minutes approach in the new City of Ottawa Official Plan</w:t>
      </w:r>
      <w:r>
        <w:t xml:space="preserve"> </w:t>
      </w:r>
      <w:r>
        <w:t xml:space="preserve">(d’Ottawa 2021)</w:t>
      </w:r>
      <w:r>
        <w:t xml:space="preserve">.</w:t>
      </w:r>
    </w:p>
    <w:p>
      <w:pPr>
        <w:pStyle w:val="BodyText"/>
      </w:pPr>
      <w:r>
        <w:t xml:space="preserve">More recently,</w:t>
      </w:r>
      <w:r>
        <w:t xml:space="preserve"> </w:t>
      </w:r>
      <w:r>
        <w:t xml:space="preserve">Moreno et al. (2021)</w:t>
      </w:r>
      <w:r>
        <w:t xml:space="preserve"> </w:t>
      </w:r>
      <w:r>
        <w:t xml:space="preserve">considers four dimensions on how the 15-minute city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w:t>
      </w:r>
    </w:p>
    <w:p>
      <w:pPr>
        <w:pStyle w:val="BodyText"/>
      </w:pPr>
      <w:r>
        <w:t xml:space="preserve">It can be observed that the feminist perspective of the cities of proximity is still underestimated. Only few examples exist that specifically target this issue</w:t>
      </w:r>
      <w:r>
        <w:t xml:space="preserve"> </w:t>
      </w:r>
      <w:r>
        <w:t xml:space="preserve">(Gil Solá and Vilhelmson 2022; MacIntyre 2022)</w:t>
      </w:r>
      <w:r>
        <w:t xml:space="preserve">.</w:t>
      </w:r>
    </w:p>
    <w:p>
      <w:pPr>
        <w:pStyle w:val="BodyText"/>
      </w:pPr>
      <w:r>
        <w:t xml:space="preserve">Even if we are on the right direction to facilitate caring activities, develop human-centred urban areas, the chrono-urbanism needs to set the ground on aspects that specifically target caring activities and gender. Similarly, it is necessary to provide alternatives to measure progress on this important issue. On the other hand, an intersectional approach to understand how different personal identities interact in our daily day activities in the cities is necessary. There is still room for improvement.</w:t>
      </w:r>
    </w:p>
    <w:bookmarkEnd w:id="21"/>
    <w:bookmarkStart w:id="22" w:name="mobility-of-care-and-mode-constraints"/>
    <w:p>
      <w:pPr>
        <w:pStyle w:val="Heading2"/>
      </w:pPr>
      <w:r>
        <w:t xml:space="preserve">Mobility of care and mode-constraints</w:t>
      </w:r>
    </w:p>
    <w:p>
      <w:pPr>
        <w:pStyle w:val="FirstParagraph"/>
      </w:pPr>
      <w:r>
        <w:t xml:space="preserve">Given that almost one third of daily trips are for care purposes</w:t>
      </w:r>
      <w:r>
        <w:t xml:space="preserve"> </w:t>
      </w:r>
      <w:r>
        <w:t xml:space="preserve">(Sánchez de Madariaga 2013)</w:t>
      </w:r>
      <w:r>
        <w:t xml:space="preserve">, it is important to plan for mobility of care. There are also equity considerations to consider: as discussed, women, and especially low-income women,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w:t>
      </w:r>
      <w:r>
        <w:t xml:space="preserve"> </w:t>
      </w:r>
      <w:r>
        <w:t xml:space="preserve">(Ravensbergen, Fournier, and El-Geneidy 2023; Scheiner and Holz-Rau 2015)</w:t>
      </w:r>
      <w:r>
        <w:t xml:space="preserve">.</w:t>
      </w:r>
    </w:p>
    <w:p>
      <w:pPr>
        <w:pStyle w:val="BodyText"/>
      </w:pPr>
      <w:r>
        <w:t xml:space="preserve">Further, compared to the trip to work, mobility of care trips are more frequently completed by car and by foot, and less frequently done by transit or bicycle</w:t>
      </w:r>
      <w:r>
        <w:t xml:space="preserve"> </w:t>
      </w:r>
      <w:r>
        <w:t xml:space="preserve">(Ravensbergen, Fournier, and El-Geneidy 2023)</w:t>
      </w:r>
      <w:r>
        <w:t xml:space="preserve">. Evidence for why this modal difference is observed exists. For instance, it is possible that walking is more common for care than for work trips because care trips tend to be short</w:t>
      </w:r>
      <w:r>
        <w:t xml:space="preserve"> </w:t>
      </w:r>
      <w:r>
        <w:t xml:space="preserve">(Ravensbergen, Fournier, and El-Geneidy 2023)</w:t>
      </w:r>
      <w:r>
        <w:t xml:space="preserve">. In other words, if care destinations are closer to the home, it is more likely that these destinations are walkable. Ample literature examines the benefits and barriers to walking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Little of this work uses the mobility of care framework. Instead, it tends to consider singular care destinations in research focusing on walkability.</w:t>
      </w:r>
    </w:p>
    <w:p>
      <w:pPr>
        <w:pStyle w:val="BodyText"/>
      </w:pPr>
      <w:r>
        <w:t xml:space="preserve">In car dependent cities, cycling commute rates tend to be low. Emerging evidence has found that they are even lower for care trips than for work trips. For instance, in Montréal it is estimated that 2% of work trips completed by adults are done by bicycle, while only 1.1% of care trips are done using this sustainable travel mode</w:t>
      </w:r>
      <w:r>
        <w:t xml:space="preserve"> </w:t>
      </w:r>
      <w:r>
        <w:t xml:space="preserve">(Ravensbergen, Fournier, and El-Geneidy 2023)</w:t>
      </w:r>
      <w:r>
        <w:t xml:space="preserve">. Qualitative research has also found that in car-dependent contexts, many consider it inappropriate and unsafe to conduct escort trips by bicycle</w:t>
      </w:r>
      <w:r>
        <w:t xml:space="preserve"> </w:t>
      </w:r>
      <w:r>
        <w:t xml:space="preserve">(Ravensbergen, Buliung, and Sersli 2020; Sersli et al. 2020)</w:t>
      </w:r>
      <w:r>
        <w:t xml:space="preserve">. Then again, other studies have uncovered the joys inherent in travelling by bicycle with children</w:t>
      </w:r>
      <w:r>
        <w:t xml:space="preserve"> </w:t>
      </w:r>
      <w:r>
        <w:t xml:space="preserve">(McIlvenny 2015)</w:t>
      </w:r>
      <w:r>
        <w:t xml:space="preserve">.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w:t>
      </w:r>
      <w:r>
        <w:t xml:space="preserve">(Ravensbergen, Buliung, and Sersli 2020)</w:t>
      </w:r>
      <w:r>
        <w:t xml:space="preserve">.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w:t>
      </w:r>
      <w:r>
        <w:t xml:space="preserve"> </w:t>
      </w:r>
      <w:r>
        <w:t xml:space="preserve">(Eye and Ferreira 2015)</w:t>
      </w:r>
      <w:r>
        <w:t xml:space="preserve">. Taken together, it is evident that the bicycle has potential to serve mobility of care: it is flexible, low-cost, and used for these trips in many contexts. Other barriers to this travel mode seems to exist in low-cycling contexts.</w:t>
      </w:r>
    </w:p>
    <w:p>
      <w:pPr>
        <w:pStyle w:val="BodyText"/>
      </w:pPr>
      <w:r>
        <w:t xml:space="preserve">The difference in uptake of public transport for work compared to care trips is staggering. In Montréal, it is estimated that 18.7% of trips to work are made by transit. In contrast only 5.8% of care trips are made using transit</w:t>
      </w:r>
      <w:r>
        <w:t xml:space="preserve"> </w:t>
      </w:r>
      <w:r>
        <w:t xml:space="preserve">(Ravensbergen, Fournier, and El-Geneidy 2023)</w:t>
      </w:r>
      <w:r>
        <w:t xml:space="preserve">. While research examining accessibility to care destinations by transit exists (e.g.,</w:t>
      </w:r>
      <w:r>
        <w:t xml:space="preserve"> </w:t>
      </w:r>
      <w:r>
        <w:t xml:space="preserve">(Michael J. Widener et al. 2015; Michael J. Widener et al. 2017; Niedzielski 2021; Ermagun and Tilahun 2020)</w:t>
      </w:r>
      <w:r>
        <w:t xml:space="preserve">),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w:t>
      </w:r>
      <w:r>
        <w:t xml:space="preserve"> </w:t>
      </w:r>
      <w:r>
        <w:t xml:space="preserve">(Ravensbergen, Fournier, and El-Geneidy 2023)</w:t>
      </w:r>
      <w:r>
        <w:t xml:space="preserve">. In many cities, public transport is not designed to meet household demands in a convenient way</w:t>
      </w:r>
      <w:r>
        <w:t xml:space="preserve"> </w:t>
      </w:r>
      <w:r>
        <w:t xml:space="preserve">(Dowling 2000; Grant-Smith, Osborne, and Johnson 2016)</w:t>
      </w:r>
      <w:r>
        <w:t xml:space="preserve">.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pPr>
        <w:pStyle w:val="BodyText"/>
      </w:pPr>
      <w:r>
        <w:t xml:space="preserve">It appears that the car is the preferred travel mode for mobility of care. In one study, car use was higher for mobility of care trips than the commute to work (82.3% vs. 74.7%)</w:t>
      </w:r>
      <w:r>
        <w:t xml:space="preserve"> </w:t>
      </w:r>
      <w:r>
        <w:t xml:space="preserve">(Ravensbergen, Fournier, and El-Geneidy 2023)</w:t>
      </w:r>
      <w:r>
        <w:t xml:space="preserve">. Further, the rate of car use is higher amongst trips that are part of a chain than those that are not (85.28% v. 78.09%)</w:t>
      </w:r>
      <w:r>
        <w:t xml:space="preserve"> </w:t>
      </w:r>
      <w:r>
        <w:t xml:space="preserve">(Ravensbergen, Fournier, and El-Geneidy 2023)</w:t>
      </w:r>
      <w:r>
        <w:t xml:space="preserve">. Some studies found that a car is viewed as the easier way to incorporate unpaid mobility of care into one’s daily travel as it provides convenience and mitigates concerns about traffic and stranger danger</w:t>
      </w:r>
      <w:r>
        <w:t xml:space="preserve"> </w:t>
      </w:r>
      <w:r>
        <w:t xml:space="preserve">Carver, Timperio, and Crawford (2013)</w:t>
      </w:r>
      <w:r>
        <w:t xml:space="preserve">. Others, however, have found that women are more likely to complete household-serving travel duties by alternative modes than men due to their lower car access</w:t>
      </w:r>
      <w:r>
        <w:t xml:space="preserve"> </w:t>
      </w:r>
      <w:r>
        <w:t xml:space="preserve">(Scheiner and Holz-Rau 2012; Vance and Iovanna 2007)</w:t>
      </w:r>
      <w:r>
        <w:t xml:space="preserve">. It seems that car use may be preferred for mobility of care trips, but planning mobility of care for the car may leave those who do not have access to a car, many of them low-income women, with difficult mobility of care trips.</w:t>
      </w:r>
    </w:p>
    <w:p>
      <w:pPr>
        <w:pStyle w:val="BodyText"/>
      </w:pPr>
      <w:r>
        <w:t xml:space="preserve">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w:t>
      </w:r>
      <w:r>
        <w:t xml:space="preserve"> </w:t>
      </w:r>
      <w:r>
        <w:t xml:space="preserve">(Hanson 2010; Law 1999; Hanson and Pratt 1988; England 1993)</w:t>
      </w:r>
      <w:r>
        <w:t xml:space="preserve">. This trend has been found to be surprisingly resilient, with improvements only taking places slowly</w:t>
      </w:r>
      <w:r>
        <w:t xml:space="preserve"> </w:t>
      </w:r>
      <w:r>
        <w:t xml:space="preserve">(Wheatley 2013)</w:t>
      </w:r>
      <w:r>
        <w:t xml:space="preserve">. Evidence has also shown that this spatial entrapment can be more in car dependent contexts, as access to cars impacts employment rates</w:t>
      </w:r>
      <w:r>
        <w:t xml:space="preserve"> </w:t>
      </w:r>
      <w:r>
        <w:t xml:space="preserve">(Ong and Miller 2005)</w:t>
      </w:r>
      <w:r>
        <w:t xml:space="preserve">, and is lower amongst women, and especially women of colour</w:t>
      </w:r>
      <w:r>
        <w:t xml:space="preserve"> </w:t>
      </w:r>
      <w:r>
        <w:t xml:space="preserve">(Matsuo 2020)</w:t>
      </w:r>
      <w:r>
        <w:t xml:space="preserve">.</w:t>
      </w:r>
    </w:p>
    <w:p>
      <w:pPr>
        <w:pStyle w:val="BodyText"/>
      </w:pPr>
      <w:r>
        <w:t xml:space="preserve">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bookmarkEnd w:id="22"/>
    <w:bookmarkEnd w:id="23"/>
    <w:bookmarkStart w:id="37" w:name="data-and-methods"/>
    <w:p>
      <w:pPr>
        <w:pStyle w:val="Heading1"/>
      </w:pPr>
      <w:r>
        <w:t xml:space="preserve">Data and Methods</w:t>
      </w:r>
    </w:p>
    <w:bookmarkStart w:id="28" w:name="case-study-context"/>
    <w:p>
      <w:pPr>
        <w:pStyle w:val="Heading2"/>
      </w:pPr>
      <w:r>
        <w:t xml:space="preserve">Case study context</w:t>
      </w:r>
    </w:p>
    <w:p>
      <w:pPr>
        <w:pStyle w:val="FirstParagraph"/>
      </w:pPr>
      <w:r>
        <w:t xml:space="preserve">In Canada, women have become more educated and have an achieved an increased participation in the labour market</w:t>
      </w:r>
      <w:r>
        <w:t xml:space="preserve"> </w:t>
      </w:r>
      <w:r>
        <w:t xml:space="preserve">(Government of Canada 2023a)</w:t>
      </w:r>
      <w:r>
        <w:t xml:space="preserve">. In fact, the educational level of women has surpassed most men</w:t>
      </w:r>
      <w:r>
        <w:t xml:space="preserve"> </w:t>
      </w:r>
      <w:r>
        <w:t xml:space="preserve">(Government of Canada 2023b)</w:t>
      </w:r>
      <w:r>
        <w:t xml:space="preserve">. Reports observe that the gender pay gap has narrowed but disparities persist</w:t>
      </w:r>
      <w:r>
        <w:t xml:space="preserve"> </w:t>
      </w:r>
      <w:r>
        <w:t xml:space="preserve">(Drolet and Mardare Amini 2023; Pay Equity Office 2023)</w:t>
      </w:r>
      <w:r>
        <w:t xml:space="preserve">. According to the statistics, in Ontario between 1998 to 2022 the gender gap narrowed but still women make 87 cents on average for every dollar made by a man</w:t>
      </w:r>
      <w:r>
        <w:t xml:space="preserve"> </w:t>
      </w:r>
      <w:r>
        <w:t xml:space="preserve">(Pay Equity Office 2023)</w:t>
      </w:r>
      <w:r>
        <w:t xml:space="preserve">.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w:t>
      </w:r>
      <w:r>
        <w:t xml:space="preserve"> </w:t>
      </w:r>
      <w:r>
        <w:t xml:space="preserve">(Drolet and Mardare Amini 2023)</w:t>
      </w:r>
      <w:r>
        <w:t xml:space="preserve">. Furthermore, women are underemployed, and make up most part-time work. In this respect, the lack of childcare alternatives enforces this obligatory part-time work</w:t>
      </w:r>
      <w:r>
        <w:t xml:space="preserve"> </w:t>
      </w:r>
      <w:r>
        <w:t xml:space="preserve">(Coalition 2022)</w:t>
      </w:r>
      <w:r>
        <w:t xml:space="preserve">. All researchers and organisations agree that an intersectional approach is of utmost importance to better plan policies to enforce gender equality.</w:t>
      </w:r>
    </w:p>
    <w:p>
      <w:pPr>
        <w:numPr>
          <w:ilvl w:val="0"/>
          <w:numId w:val="1001"/>
        </w:numPr>
        <w:pStyle w:val="Compact"/>
      </w:pPr>
      <w:r>
        <w:t xml:space="preserve">Next: describe hamilton’s land-use context; communities which are urban, rural, suburban. Also describe the residential parcels summary statistics, ~140,000 points, aggregated at the level of Canadian Census DA. See population descriptive plots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Fig1"/>
          <w:p>
            <w:pPr>
              <w:pStyle w:val="Compact"/>
              <w:jc w:val="center"/>
            </w:pPr>
            <w:r>
              <w:drawing>
                <wp:inline>
                  <wp:extent cx="5334000" cy="5334000"/>
                  <wp:effectExtent b="0" l="0" r="0" t="0"/>
                  <wp:docPr descr="" title="" id="25" name="Picture"/>
                  <a:graphic>
                    <a:graphicData uri="http://schemas.openxmlformats.org/drawingml/2006/picture">
                      <pic:pic>
                        <pic:nvPicPr>
                          <pic:cNvPr descr="data/pop_descriptive_plots.tiff"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and the rate of population per dwelling per DA (middle) and prevalence of Low-income cut-offs after-tax (LICO-AT) per DA (bottom)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7"/>
        </w:tc>
      </w:tr>
    </w:tbl>
    <w:bookmarkEnd w:id="28"/>
    <w:bookmarkStart w:id="29" w:name="estimated-travel-times"/>
    <w:p>
      <w:pPr>
        <w:pStyle w:val="Heading2"/>
      </w:pPr>
      <w:r>
        <w:t xml:space="preserve">Estimated travel times</w:t>
      </w:r>
    </w:p>
    <w:p>
      <w:pPr>
        <w:numPr>
          <w:ilvl w:val="0"/>
          <w:numId w:val="1002"/>
        </w:numPr>
        <w:pStyle w:val="Compact"/>
      </w:pPr>
      <w:r>
        <w:t xml:space="preserve">Next: describe the estimated 15-minute walk travel times using {r5r}, from all residential parcel points to all care destinations assuming default walking speed and OSM road network for Hamilton. Provide summary statistics.</w:t>
      </w:r>
    </w:p>
    <w:bookmarkEnd w:id="29"/>
    <w:bookmarkStart w:id="35" w:name="care-destination-dataset"/>
    <w:p>
      <w:pPr>
        <w:pStyle w:val="Heading2"/>
      </w:pPr>
      <w:r>
        <w:t xml:space="preserve">Care destination dataset</w:t>
      </w:r>
    </w:p>
    <w:p>
      <w:pPr>
        <w:pStyle w:val="FirstParagraph"/>
      </w:pPr>
      <w:r>
        <w:t xml:space="preserve">A spatial dataset of care destinations for Hamilton was compiled; sources include provincial and municipal open data portals</w:t>
      </w:r>
      <w:r>
        <w:t xml:space="preserve"> </w:t>
      </w:r>
      <w:r>
        <w:t xml:space="preserve">(Ontario 2023b; Hamilton 2023c)</w:t>
      </w:r>
      <w:r>
        <w:t xml:space="preserve">, Data Axle, a consumer dataset compiled of businesses and companies within Canada</w:t>
      </w:r>
      <w:r>
        <w:t xml:space="preserve"> </w:t>
      </w:r>
      <w:r>
        <w:t xml:space="preserve">(Axle Data 2023)</w:t>
      </w:r>
      <w:r>
        <w:t xml:space="preserve"> </w:t>
      </w:r>
      <w:r>
        <w:t xml:space="preserve">and manual retrieved through Google Maps. Each destination was categorized based on the specific type of care being accessed following the mobility of care research by Sanchez de Madariaga &amp; Zucchini (2019)</w:t>
      </w:r>
      <w:r>
        <w:t xml:space="preserve"> </w:t>
      </w:r>
      <w:r>
        <w:t xml:space="preserve">(Sánchez de Madariaga and Zucchini 2019)</w:t>
      </w:r>
      <w:r>
        <w:t xml:space="preserve">. Initial categories include child, elder, grocery, health, and errand -centric destinations. For the purpose of this study, child- and elder- centric are combined to represent a</w:t>
      </w:r>
      <w:r>
        <w:t xml:space="preserve"> </w:t>
      </w:r>
      <w:r>
        <w:t xml:space="preserve">‘</w:t>
      </w:r>
      <w:r>
        <w:t xml:space="preserve">dependent-centric</w:t>
      </w:r>
      <w:r>
        <w:t xml:space="preserve">’</w:t>
      </w:r>
      <w:r>
        <w:t xml:space="preserve"> </w:t>
      </w:r>
      <w:r>
        <w:t xml:space="preserve">category. Category sources of data and preparation notes are detailed in</w:t>
      </w:r>
      <w:r>
        <w:t xml:space="preserve"> </w:t>
      </w:r>
      <w:hyperlink w:anchor="tbl-Tbl1">
        <w:r>
          <w:rPr>
            <w:rStyle w:val="Hyperlink"/>
          </w:rPr>
          <w:t xml:space="preserve">Table 1</w:t>
        </w:r>
      </w:hyperlink>
      <w:r>
        <w:t xml:space="preserve">. Their spatial distribution and sub-categories are visualised in</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tbl-Tbl1"/>
          <w:p>
            <w:pPr>
              <w:jc w:val="center"/>
            </w:pPr>
            <w:pPr>
              <w:jc w:val="start"/>
              <w:spacing w:before="200"/>
              <w:pStyle w:val="ImageCaption"/>
            </w:pPr>
            <w:r>
              <w:t xml:space="preserve">Table 1: Details on the preparation and data sources of care destinations.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Elder-centric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dentistry-orientation.</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firms.</w:t>
                  </w:r>
                </w:p>
              </w:tc>
            </w:tr>
          </w:tbl>
          <w:bookmarkEnd w:id="30"/>
        </w:tc>
      </w:tr>
    </w:tbl>
    <w:tbl>
      <w:tblPr>
        <w:tblStyle w:val="Table"/>
        <w:tblW w:type="pct" w:w="5000"/>
        <w:tblLook w:firstRow="0" w:lastRow="0" w:firstColumn="0" w:lastColumn="0" w:noHBand="0" w:noVBand="0" w:val="0000"/>
        <w:jc w:val="start"/>
        <w:tblLayout w:type="fixed"/>
      </w:tblPr>
      <w:tblGrid>
        <w:gridCol w:w="7920"/>
      </w:tblGrid>
      <w:tr>
        <w:tc>
          <w:tcPr/>
          <w:bookmarkStart w:id="34" w:name="fig-Fig2"/>
          <w:p>
            <w:pPr>
              <w:pStyle w:val="Compact"/>
              <w:jc w:val="center"/>
            </w:pPr>
            <w:r>
              <w:drawing>
                <wp:inline>
                  <wp:extent cx="5334000" cy="5334000"/>
                  <wp:effectExtent b="0" l="0" r="0" t="0"/>
                  <wp:docPr descr="" title="" id="32" name="Picture"/>
                  <a:graphic>
                    <a:graphicData uri="http://schemas.openxmlformats.org/drawingml/2006/picture">
                      <pic:pic>
                        <pic:nvPicPr>
                          <pic:cNvPr descr="data/care_categories_plot.tiff"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4"/>
        </w:tc>
      </w:tr>
    </w:tbl>
    <w:p>
      <w:pPr>
        <w:pStyle w:val="BodyText"/>
      </w:pPr>
      <w:r>
        <w:t xml:space="preserve">For the purpose of this analysis and in absence of city-wide household preferences for care destinations, all locations are re-weighted to make each of the four categories conceptually equivalent i.e., each location within each category</w:t>
      </w:r>
      <w:r>
        <w:t xml:space="preserve"> </w:t>
      </w:r>
      <m:oMath>
        <m:r>
          <m:t>c</m:t>
        </m:r>
      </m:oMath>
      <w:r>
        <w:t xml:space="preserve"> </w:t>
      </w:r>
      <w:r>
        <w:t xml:space="preserve">is</w:t>
      </w:r>
      <w:r>
        <w:t xml:space="preserve"> </w:t>
      </w:r>
      <w:commentRangeStart w:id="0"/>
      <w:r>
        <w:t xml:space="preserve">weighted to equal</w:t>
      </w:r>
      <w:commentRangeEnd w:id="0"/>
      <w:r>
        <w:rPr>
          <w:rStyle w:val="CommentReference"/>
        </w:rPr>
        <w:commentReference w:id="0"/>
      </w:r>
      <w:r>
        <w:t xml:space="preserve"> </w:t>
      </w:r>
      <m:oMath>
        <m:sSubSup>
          <m:e>
            <m:r>
              <m:t>W</m:t>
            </m:r>
          </m:e>
          <m:sub>
            <m:r>
              <m:t>j</m:t>
            </m:r>
          </m:sub>
          <m:sup>
            <m:r>
              <m:t>c</m:t>
            </m:r>
          </m:sup>
        </m:sSubSup>
        <m:r>
          <m:rPr>
            <m:sty m:val="p"/>
          </m:rPr>
          <m:t>=</m:t>
        </m:r>
        <m:f>
          <m:fPr>
            <m:type m:val="bar"/>
          </m:fPr>
          <m:num>
            <m:r>
              <m:t>1</m:t>
            </m:r>
          </m:num>
          <m:den>
            <m:r>
              <m:t>C</m:t>
            </m:r>
          </m:den>
        </m:f>
        <m:f>
          <m:fPr>
            <m:type m:val="bar"/>
          </m:fPr>
          <m:num>
            <m:nary>
              <m:naryPr>
                <m:chr m:val="∑"/>
                <m:limLoc m:val="undOvr"/>
                <m:subHide m:val="off"/>
                <m:supHide m:val="on"/>
              </m:naryPr>
              <m:sub>
                <m:r>
                  <m:t>c</m:t>
                </m:r>
              </m:sub>
              <m:sup>
                <m:r>
                  <m:t>​</m:t>
                </m:r>
              </m:sup>
              <m:e>
                <m:sSubSup>
                  <m:e>
                    <m:r>
                      <m:t>O</m:t>
                    </m:r>
                  </m:e>
                  <m:sub>
                    <m:r>
                      <m:t>j</m:t>
                    </m:r>
                  </m:sub>
                  <m:sup>
                    <m:r>
                      <m:t>c</m:t>
                    </m:r>
                  </m:sup>
                </m:sSubSup>
              </m:e>
            </m:nary>
          </m:num>
          <m:den>
            <m:sSubSup>
              <m:e>
                <m:r>
                  <m:t>O</m:t>
                </m:r>
              </m:e>
              <m:sub>
                <m:r>
                  <m:t>j</m:t>
                </m:r>
              </m:sub>
              <m:sup>
                <m:r>
                  <m:t>c</m:t>
                </m:r>
              </m:sup>
            </m:sSubSup>
          </m:den>
        </m:f>
      </m:oMath>
      <w:r>
        <w:t xml:space="preserve"> </w:t>
      </w:r>
      <w:r>
        <w:t xml:space="preserve">where</w:t>
      </w:r>
      <w:r>
        <w:t xml:space="preserve"> </w:t>
      </w:r>
      <m:oMath>
        <m:r>
          <m:t>C</m:t>
        </m:r>
      </m:oMath>
      <w:r>
        <w:t xml:space="preserve"> </w:t>
      </w:r>
      <w:r>
        <w:t xml:space="preserve">is the total number of categories and</w:t>
      </w:r>
      <w:r>
        <w:t xml:space="preserve"> </w:t>
      </w:r>
      <m:oMath>
        <m:sSubSup>
          <m:e>
            <m:r>
              <m:t>O</m:t>
            </m:r>
          </m:e>
          <m:sub>
            <m:r>
              <m:t>j</m:t>
            </m:r>
          </m:sub>
          <m:sup>
            <m:r>
              <m:t>c</m:t>
            </m:r>
          </m:sup>
        </m:sSubSup>
      </m:oMath>
      <w:r>
        <w:t xml:space="preserve"> </w:t>
      </w:r>
      <w:r>
        <w:t xml:space="preserve">is a location at destination</w:t>
      </w:r>
      <w:r>
        <w:t xml:space="preserve"> </w:t>
      </w:r>
      <m:oMath>
        <m:r>
          <m:t>j</m:t>
        </m:r>
      </m:oMath>
      <w:r>
        <w:t xml:space="preserve"> </w:t>
      </w:r>
      <w:r>
        <w:t xml:space="preserve">within a category</w:t>
      </w:r>
      <w:r>
        <w:t xml:space="preserve"> </w:t>
      </w:r>
      <m:oMath>
        <m:r>
          <m:t>c</m:t>
        </m:r>
      </m:oMath>
      <w:r>
        <w:t xml:space="preserve">. The total sum of locations is preserved after weighting such that</w:t>
      </w:r>
      <w:r>
        <w:t xml:space="preserve"> </w:t>
      </w:r>
      <m:oMath>
        <m:nary>
          <m:naryPr>
            <m:chr m:val="∑"/>
            <m:limLoc m:val="undOvr"/>
            <m:subHide m:val="off"/>
            <m:supHide m:val="on"/>
          </m:naryPr>
          <m:sub>
            <m:r>
              <m:t>c</m:t>
            </m:r>
          </m:sub>
          <m:sup>
            <m:r>
              <m:t>​</m:t>
            </m:r>
          </m:sup>
          <m:e>
            <m:nary>
              <m:naryPr>
                <m:chr m:val="∑"/>
                <m:limLoc m:val="undOvr"/>
                <m:subHide m:val="off"/>
                <m:supHide m:val="on"/>
              </m:naryPr>
              <m:sub>
                <m:r>
                  <m:t>j</m:t>
                </m:r>
              </m:sub>
              <m:sup>
                <m:r>
                  <m:t>​</m:t>
                </m:r>
              </m:sup>
              <m:e>
                <m:sSubSup>
                  <m:e>
                    <m:r>
                      <m:t>O</m:t>
                    </m:r>
                  </m:e>
                  <m:sub>
                    <m:r>
                      <m:t>j</m:t>
                    </m:r>
                  </m:sub>
                  <m:sup>
                    <m:r>
                      <m:t>c</m:t>
                    </m:r>
                  </m:sup>
                </m:sSubSup>
              </m:e>
            </m:nary>
          </m:e>
        </m:nary>
        <m:r>
          <m:rPr>
            <m:sty m:val="p"/>
          </m:rPr>
          <m:t>=</m:t>
        </m:r>
        <m:nary>
          <m:naryPr>
            <m:chr m:val="∑"/>
            <m:limLoc m:val="undOvr"/>
            <m:subHide m:val="off"/>
            <m:supHide m:val="on"/>
          </m:naryPr>
          <m:sub>
            <m:r>
              <m:t>c</m:t>
            </m:r>
          </m:sub>
          <m:sup>
            <m:r>
              <m:t>​</m:t>
            </m:r>
          </m:sup>
          <m:e>
            <m:nary>
              <m:naryPr>
                <m:chr m:val="∑"/>
                <m:limLoc m:val="undOvr"/>
                <m:subHide m:val="off"/>
                <m:supHide m:val="on"/>
              </m:naryPr>
              <m:sub>
                <m:r>
                  <m:t>j</m:t>
                </m:r>
              </m:sub>
              <m:sup>
                <m:r>
                  <m:t>​</m:t>
                </m:r>
              </m:sup>
              <m:e>
                <m:sSubSup>
                  <m:e>
                    <m:r>
                      <m:t>W</m:t>
                    </m:r>
                  </m:e>
                  <m:sub>
                    <m:r>
                      <m:t>j</m:t>
                    </m:r>
                  </m:sub>
                  <m:sup>
                    <m:r>
                      <m:t>c</m:t>
                    </m:r>
                  </m:sup>
                </m:sSubSup>
              </m:e>
            </m:nary>
          </m:e>
        </m:nary>
        <m:r>
          <m:rPr>
            <m:sty m:val="p"/>
          </m:rPr>
          <m:t>*</m:t>
        </m:r>
        <m:sSubSup>
          <m:e>
            <m:r>
              <m:t>O</m:t>
            </m:r>
          </m:e>
          <m:sub>
            <m:r>
              <m:t>j</m:t>
            </m:r>
          </m:sub>
          <m:sup>
            <m:r>
              <m:t>c</m:t>
            </m:r>
          </m:sup>
        </m:sSubSup>
      </m:oMath>
      <w:r>
        <w:t xml:space="preserve">. Conceptually, this simplistic re-weight makes destinations in categories with fewer locations more important and destinations in categories with more locations less important. The underlying assumption is the status-quo of locations per category is sufficient, e.g., many daycares (smaller capacities) and few hospitals (larger capacities) sufficiently serves the populations’ care needs. Re-weighting in this way ensures that populations who are near</w:t>
      </w:r>
      <w:r>
        <w:t xml:space="preserve"> </w:t>
      </w:r>
      <w:r>
        <w:rPr>
          <w:iCs/>
          <w:i/>
        </w:rPr>
        <w:t xml:space="preserve">assumed</w:t>
      </w:r>
      <w:r>
        <w:t xml:space="preserve"> </w:t>
      </w:r>
      <w:r>
        <w:t xml:space="preserve">smaller capacity destinations such as daycares are not assigned a disproportionately high accessibility score and vice versa for populations near destinations with larger service capacities like hospitals. In absence of empirical data for amenity weight calibration, this methodological assumption is a limitation.</w:t>
      </w:r>
    </w:p>
    <w:p>
      <w:pPr>
        <w:numPr>
          <w:ilvl w:val="0"/>
          <w:numId w:val="1003"/>
        </w:numPr>
        <w:pStyle w:val="Compact"/>
      </w:pPr>
      <w:r>
        <w:t xml:space="preserve">Dependent-centric (1265 destinations each at 0.4397233),</w:t>
      </w:r>
    </w:p>
    <w:p>
      <w:pPr>
        <w:numPr>
          <w:ilvl w:val="0"/>
          <w:numId w:val="1003"/>
        </w:numPr>
        <w:pStyle w:val="Compact"/>
      </w:pPr>
      <w:r>
        <w:t xml:space="preserve">Errand-centric (158 destinations each at 3.5205696),</w:t>
      </w:r>
    </w:p>
    <w:p>
      <w:pPr>
        <w:numPr>
          <w:ilvl w:val="0"/>
          <w:numId w:val="1003"/>
        </w:numPr>
        <w:pStyle w:val="Compact"/>
      </w:pPr>
      <w:r>
        <w:t xml:space="preserve">Grocery-centric (381 destinations each at 1.4599738) and,</w:t>
      </w:r>
    </w:p>
    <w:p>
      <w:pPr>
        <w:numPr>
          <w:ilvl w:val="0"/>
          <w:numId w:val="1003"/>
        </w:numPr>
        <w:pStyle w:val="Compact"/>
      </w:pPr>
      <w:r>
        <w:t xml:space="preserve">Health- centric (421 destinations each at 1.3212589) .</w:t>
      </w:r>
    </w:p>
    <w:bookmarkEnd w:id="35"/>
    <w:bookmarkStart w:id="36" w:name="methods"/>
    <w:p>
      <w:pPr>
        <w:pStyle w:val="Heading2"/>
      </w:pPr>
      <w:r>
        <w:t xml:space="preserve">Methods</w:t>
      </w:r>
    </w:p>
    <w:p>
      <w:pPr>
        <w:pStyle w:val="FirstParagraph"/>
      </w:pPr>
      <w:r>
        <w:t xml:space="preserve">Cumulative opportunity method; 15-minute normative catchment for walk mode (and cycling, travel time matrix already calculated but to be added later) is used to represent the 15-minute neighbourhood concept. This has been done in previous literature such as</w:t>
      </w:r>
      <w:r>
        <w:t xml:space="preserve"> </w:t>
      </w:r>
      <w:r>
        <w:t xml:space="preserve">Vale and Lopes (2023)</w:t>
      </w:r>
      <w:r>
        <w:t xml:space="preserve">,</w:t>
      </w:r>
      <w:r>
        <w:t xml:space="preserve"> </w:t>
      </w:r>
      <w:r>
        <w:t xml:space="preserve">Graells-Garrido et al. (2021)</w:t>
      </w:r>
      <w:r>
        <w:t xml:space="preserve"> </w:t>
      </w:r>
      <w:r>
        <w:t xml:space="preserve">and</w:t>
      </w:r>
      <w:r>
        <w:t xml:space="preserve"> </w:t>
      </w:r>
      <w:r>
        <w:t xml:space="preserve">Gaglione et al. (2022)</w:t>
      </w:r>
      <w:r>
        <w:t xml:space="preserve">.</w:t>
      </w:r>
    </w:p>
    <w:p>
      <w:pPr>
        <w:pStyle w:val="BodyText"/>
      </w:pPr>
      <w:r>
        <w:t xml:space="preserve">In this work, the cumulative opportunity score is calculated for each parcel and aggregated by care category at the DA level. The Q3 number of opportunities accessibility in a 15 minute walk per care category in retained for each DA. So in this analysis,</w:t>
      </w:r>
      <w:r>
        <w:t xml:space="preserve"> </w:t>
      </w:r>
      <m:oMath>
        <m:r>
          <m:t>i</m:t>
        </m:r>
      </m:oMath>
      <w:r>
        <w:t xml:space="preserve"> </w:t>
      </w:r>
      <w:r>
        <w:t xml:space="preserve">is both the parcel and DA spatial unit. To the author’s this is one of the first 15-minute neighbourhood analyse with a focus on care destinations.</w:t>
      </w:r>
    </w:p>
    <w:p>
      <w:pPr>
        <w:pStyle w:val="BodyText"/>
      </w:pPr>
      <w:r>
        <w:rPr>
          <w:bCs/>
          <w:b/>
        </w:rPr>
        <w:t xml:space="preserve">Cumulative opportunity accessibility</w:t>
      </w:r>
      <w:r>
        <w:t xml:space="preserve"> </w:t>
      </w:r>
      <w:r>
        <w:t xml:space="preserve">takes the following form:</w:t>
      </w:r>
    </w:p>
    <w:p>
      <w:pPr>
        <w:pStyle w:val="BodyText"/>
      </w:pPr>
      <m:oMathPara>
        <m:oMathParaPr>
          <m:jc m:val="center"/>
        </m:oMathParaPr>
        <m:oMath>
          <m:sSubSup>
            <m:e>
              <m:r>
                <m:t>S</m:t>
              </m:r>
            </m:e>
            <m:sub>
              <m:r>
                <m:t>i</m:t>
              </m:r>
            </m:sub>
            <m:sup>
              <m:r>
                <m:t>c</m:t>
              </m:r>
            </m:sup>
          </m:sSubSup>
          <m:r>
            <m:rPr>
              <m:sty m:val="p"/>
            </m:rPr>
            <m:t>=</m:t>
          </m:r>
          <m:nary>
            <m:naryPr>
              <m:chr m:val="∑"/>
              <m:limLoc m:val="undOvr"/>
              <m:subHide m:val="off"/>
              <m:supHide m:val="on"/>
            </m:naryPr>
            <m:sub>
              <m:r>
                <m:t>j</m:t>
              </m:r>
            </m:sub>
            <m:sup>
              <m:r>
                <m:t>​</m:t>
              </m:r>
            </m:sup>
            <m:e>
              <m:sSubSup>
                <m:e>
                  <m:r>
                    <m:t>W</m:t>
                  </m:r>
                </m:e>
                <m:sub>
                  <m:r>
                    <m:t>j</m:t>
                  </m:r>
                </m:sub>
                <m:sup>
                  <m:r>
                    <m:t>c</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numPr>
          <w:ilvl w:val="0"/>
          <w:numId w:val="1004"/>
        </w:numPr>
        <w:pStyle w:val="Compact"/>
      </w:pPr>
      <m:oMath>
        <m:r>
          <m:t>i</m:t>
        </m:r>
      </m:oMath>
      <w:r>
        <w:t xml:space="preserve"> </w:t>
      </w:r>
      <w:r>
        <w:t xml:space="preserve">is a set of parcel point origin locations.</w:t>
      </w:r>
    </w:p>
    <w:p>
      <w:pPr>
        <w:numPr>
          <w:ilvl w:val="0"/>
          <w:numId w:val="1004"/>
        </w:numPr>
        <w:pStyle w:val="Compact"/>
      </w:pPr>
      <m:oMath>
        <m:r>
          <m:t>j</m:t>
        </m:r>
      </m:oMath>
      <w:r>
        <w:t xml:space="preserve"> </w:t>
      </w:r>
      <w:r>
        <w:t xml:space="preserve">is a set of destination locations.</w:t>
      </w:r>
    </w:p>
    <w:p>
      <w:pPr>
        <w:numPr>
          <w:ilvl w:val="0"/>
          <w:numId w:val="1004"/>
        </w:numPr>
        <w:pStyle w:val="Compact"/>
      </w:pPr>
      <m:oMath>
        <m:r>
          <m:t>c</m:t>
        </m:r>
      </m:oMath>
      <w:r>
        <w:t xml:space="preserve"> </w:t>
      </w:r>
      <w:r>
        <w:t xml:space="preserve">is a set of care categories.</w:t>
      </w:r>
    </w:p>
    <w:p>
      <w:pPr>
        <w:numPr>
          <w:ilvl w:val="0"/>
          <w:numId w:val="1004"/>
        </w:numPr>
        <w:pStyle w:val="Compact"/>
      </w:pPr>
      <m:oMath>
        <m:sSubSup>
          <m:e>
            <m:r>
              <m:t>W</m:t>
            </m:r>
          </m:e>
          <m:sub>
            <m:r>
              <m:t>j</m:t>
            </m:r>
          </m:sub>
          <m:sup>
            <m:r>
              <m:t>c</m:t>
            </m:r>
          </m:sup>
        </m:sSubSup>
      </m:oMath>
      <w:r>
        <w:t xml:space="preserve"> </w:t>
      </w:r>
      <w:r>
        <w:t xml:space="preserve">is a number of weighted opportunities (</w:t>
      </w:r>
      <m:oMath>
        <m:sSubSup>
          <m:e>
            <m:r>
              <m:t>O</m:t>
            </m:r>
          </m:e>
          <m:sub>
            <m:r>
              <m:t>j</m:t>
            </m:r>
          </m:sub>
          <m:sup>
            <m:r>
              <m:t>c</m:t>
            </m:r>
          </m:sup>
        </m:sSubSup>
      </m:oMath>
      <w:r>
        <w:t xml:space="preserve">) of category</w:t>
      </w:r>
      <w:r>
        <w:t xml:space="preserve"> </w:t>
      </w:r>
      <m:oMath>
        <m:r>
          <m:t>c</m:t>
        </m:r>
      </m:oMath>
      <w:r>
        <w:t xml:space="preserve"> </w:t>
      </w:r>
      <w:r>
        <w:t xml:space="preserve">at</w:t>
      </w:r>
      <w:r>
        <w:t xml:space="preserve"> </w:t>
      </w:r>
      <m:oMath>
        <m:r>
          <m:t>j</m:t>
        </m:r>
      </m:oMath>
      <w:r>
        <w:t xml:space="preserve">.</w:t>
      </w:r>
    </w:p>
    <w:p>
      <w:pPr>
        <w:numPr>
          <w:ilvl w:val="0"/>
          <w:numId w:val="1004"/>
        </w:numPr>
        <w:pStyle w:val="Compact"/>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numPr>
          <w:ilvl w:val="0"/>
          <w:numId w:val="1004"/>
        </w:numPr>
        <w:pStyle w:val="Compact"/>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(Handy and Niemeier 1997)</w:t>
      </w:r>
      <w:r>
        <w:t xml:space="preserve">.</w:t>
      </w:r>
    </w:p>
    <w:p>
      <w:pPr>
        <w:numPr>
          <w:ilvl w:val="0"/>
          <w:numId w:val="1004"/>
        </w:numPr>
        <w:pStyle w:val="Compact"/>
      </w:pPr>
      <m:oMath>
        <m:sSubSup>
          <m:e>
            <m:r>
              <m:t>S</m:t>
            </m:r>
          </m:e>
          <m:sub>
            <m:r>
              <m:t>i</m:t>
            </m:r>
          </m:sub>
          <m:sup>
            <m:r>
              <m:t>c</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c</m:t>
        </m:r>
      </m:oMath>
      <w:r>
        <w:t xml:space="preserve">.</w:t>
      </w:r>
    </w:p>
    <w:p>
      <w:pPr>
        <w:pStyle w:val="FirstParagraph"/>
      </w:pPr>
      <w:r>
        <w:t xml:space="preserve">Next, the Q3 (median + standard deviation) of all</w:t>
      </w:r>
      <w:r>
        <w:t xml:space="preserve"> </w:t>
      </w:r>
      <m:oMath>
        <m:nary>
          <m:naryPr>
            <m:chr m:val="∑"/>
            <m:limLoc m:val="undOvr"/>
            <m:subHide m:val="off"/>
            <m:supHide m:val="on"/>
          </m:naryPr>
          <m:sub>
            <m:r>
              <m:t>c</m:t>
            </m:r>
          </m:sub>
          <m:sup>
            <m:r>
              <m:t>​</m:t>
            </m:r>
          </m:sup>
          <m:e>
            <m:sSubSup>
              <m:e>
                <m:r>
                  <m:t>S</m:t>
                </m:r>
              </m:e>
              <m:sub>
                <m:r>
                  <m:t>i</m:t>
                </m:r>
              </m:sub>
              <m:sup>
                <m:r>
                  <m:t>c</m:t>
                </m:r>
              </m:sup>
            </m:sSubSup>
          </m:e>
        </m:nary>
      </m:oMath>
      <w:r>
        <w:t xml:space="preserve"> </w:t>
      </w:r>
      <w:r>
        <w:t xml:space="preserve">values for each DA are taken and represented as</w:t>
      </w:r>
      <w:r>
        <w:t xml:space="preserve"> </w:t>
      </w:r>
      <m:oMath>
        <m:sSubSup>
          <m:e>
            <m:r>
              <m:t>S</m:t>
            </m:r>
          </m:e>
          <m:sub>
            <m:r>
              <m:t>D</m:t>
            </m:r>
            <m:r>
              <m:t>A</m:t>
            </m:r>
          </m:sub>
          <m:sup>
            <m:r>
              <m:t>c</m:t>
            </m:r>
          </m:sup>
        </m:sSubSup>
      </m:oMath>
      <w:r>
        <w:t xml:space="preserve">.</w:t>
      </w:r>
      <w:r>
        <w:t xml:space="preserve"> </w:t>
      </w:r>
      <m:oMath>
        <m:sSubSup>
          <m:e>
            <m:r>
              <m:t>S</m:t>
            </m:r>
          </m:e>
          <m:sub>
            <m:r>
              <m:t>D</m:t>
            </m:r>
            <m:r>
              <m:t>A</m:t>
            </m:r>
          </m:sub>
          <m:sup>
            <m:r>
              <m:t>c</m:t>
            </m:r>
          </m:sup>
        </m:sSubSup>
      </m:oMath>
      <w:r>
        <w:t xml:space="preserve"> </w:t>
      </w:r>
      <w:r>
        <w:t xml:space="preserve">is the upper quartile number of weighted care destinations that can be potentially interacted with within a 15 minute walk by parcels within a DA: an optimistic perspective on how many opportunities can be potentially reached</w:t>
      </w:r>
      <w:r>
        <w:t xml:space="preserve"> </w:t>
      </w:r>
      <w:commentRangeStart w:id="0"/>
      <w:r>
        <w:t xml:space="preserve">.</w:t>
      </w:r>
      <w:commentRangeEnd w:id="0"/>
      <w:r>
        <w:rPr>
          <w:rStyle w:val="CommentReference"/>
        </w:rPr>
        <w:commentReference w:id="0"/>
      </w:r>
    </w:p>
    <w:p>
      <w:pPr>
        <w:pStyle w:val="BodyText"/>
      </w:pPr>
      <w:r>
        <w:rPr>
          <w:iCs/>
          <w:i/>
        </w:rPr>
        <w:t xml:space="preserve">Entropy</w:t>
      </w:r>
      <w:r>
        <w:t xml:space="preserve"> </w:t>
      </w:r>
      <w:r>
        <w:t xml:space="preserve">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 (this measure among other species diversity indices of the time are reviewed in</w:t>
      </w:r>
      <w:r>
        <w:t xml:space="preserve"> </w:t>
      </w:r>
      <w:r>
        <w:t xml:space="preserve">Whittaker (1972)</w:t>
      </w:r>
      <w:r>
        <w:t xml:space="preserve">). In the realm of urban studies and planning literature, it has since been widely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Work that has used diversity indices alongside accessibility analysis are scarce, though examples of its use as parameters within accessibility scores in the case of employment opportunities</w:t>
      </w:r>
      <w:r>
        <w:t xml:space="preserve"> </w:t>
      </w:r>
      <w:r>
        <w:t xml:space="preserve">(Cheng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w:t>
      </w:r>
    </w:p>
    <w:p>
      <w:pPr>
        <w:pStyle w:val="BodyText"/>
      </w:pPr>
      <w:r>
        <w:t xml:space="preserve">In our work, each destination is a specific type</w:t>
      </w:r>
      <w:r>
        <w:t xml:space="preserve"> </w:t>
      </w:r>
      <m:oMath>
        <m:r>
          <m:t>s</m:t>
        </m:r>
        <m:r>
          <m:t>t</m:t>
        </m:r>
      </m:oMath>
      <w:r>
        <w:t xml:space="preserve"> </w:t>
      </w:r>
      <w:r>
        <w:t xml:space="preserve">(i.e., Daycare or EarlyON, Community or Recreation Centre, School, Long-Term Care or Retirement Home, Senior Centre, Bank or ATM, Library, Post Office, Convenience Store, Grocer, Hospital or Clinic, Dentist, Pharmacy, Park) as well as a care category</w:t>
      </w:r>
      <w:r>
        <w:t xml:space="preserve"> </w:t>
      </w:r>
      <m:oMath>
        <m:r>
          <m:t>c</m:t>
        </m:r>
      </m:oMath>
      <w:r>
        <w:t xml:space="preserve">. When</w:t>
      </w:r>
      <w:r>
        <w:t xml:space="preserve"> </w:t>
      </w:r>
      <m:oMath>
        <m:sSubSup>
          <m:e>
            <m:r>
              <m:t>S</m:t>
            </m:r>
          </m:e>
          <m:sub>
            <m:r>
              <m:t>i</m:t>
            </m:r>
          </m:sub>
          <m:sup>
            <m:r>
              <m:t>c</m:t>
            </m:r>
          </m:sup>
        </m:sSubSup>
      </m:oMath>
      <w:r>
        <w:t xml:space="preserve"> </w:t>
      </w:r>
      <w:r>
        <w:t xml:space="preserve">is aggregated for each category at the</w:t>
      </w:r>
      <w:r>
        <w:t xml:space="preserve"> </w:t>
      </w:r>
      <m:oMath>
        <m:r>
          <m:t>D</m:t>
        </m:r>
        <m:r>
          <m:t>A</m:t>
        </m:r>
      </m:oMath>
      <w:r>
        <w:t xml:space="preserve"> </w:t>
      </w:r>
      <w:r>
        <w:t xml:space="preserve">it reflects how all opportunities from all four care categories can be reached. The four care categories have meaning to the mobility of care conceptualisation. However, it doesn’t explicitly reflect the specific type of destination. In our work, the diversity of the specific type of destination is of interest, we calculate</w:t>
      </w:r>
      <w:r>
        <w:t xml:space="preserve"> </w:t>
      </w:r>
      <m:oMath>
        <m:sSubSup>
          <m:e>
            <m:r>
              <m:t>S</m:t>
            </m:r>
          </m:e>
          <m:sub>
            <m:r>
              <m:t>i</m:t>
            </m:r>
          </m:sub>
          <m:sup>
            <m:r>
              <m:t>s</m:t>
            </m:r>
            <m:r>
              <m:t>t</m:t>
            </m:r>
          </m:sup>
        </m:sSubSup>
      </m:oMath>
      <w:r>
        <w:t xml:space="preserve"> </w:t>
      </w:r>
      <w:r>
        <w:t xml:space="preserve">for each parcel</w:t>
      </w:r>
      <w:r>
        <w:t xml:space="preserve"> </w:t>
      </w:r>
      <m:oMath>
        <m:r>
          <m:t>i</m:t>
        </m:r>
      </m:oMath>
      <w:r>
        <w:t xml:space="preserve"> </w:t>
      </w:r>
      <w:r>
        <w:t xml:space="preserve">for each</w:t>
      </w:r>
      <w:r>
        <w:t xml:space="preserve"> </w:t>
      </w:r>
      <m:oMath>
        <m:r>
          <m:t>s</m:t>
        </m:r>
        <m:r>
          <m:t>t</m:t>
        </m:r>
      </m:oMath>
      <w:r>
        <w:t xml:space="preserve"> </w:t>
      </w:r>
      <w:r>
        <w:t xml:space="preserve">type following the equation for</w:t>
      </w:r>
      <w:r>
        <w:t xml:space="preserve"> </w:t>
      </w:r>
      <m:oMath>
        <m:sSubSup>
          <m:e>
            <m:r>
              <m:t>S</m:t>
            </m:r>
          </m:e>
          <m:sub>
            <m:r>
              <m:t>i</m:t>
            </m:r>
          </m:sub>
          <m:sup>
            <m:r>
              <m:t>s</m:t>
            </m:r>
            <m:r>
              <m:t>t</m:t>
            </m:r>
          </m:sup>
        </m:sSubSup>
      </m:oMath>
      <w:r>
        <w:t xml:space="preserve">. This upper quartile is aggregated at the</w:t>
      </w:r>
      <w:r>
        <w:t xml:space="preserve"> </w:t>
      </w:r>
      <m:oMath>
        <m:r>
          <m:t>D</m:t>
        </m:r>
        <m:r>
          <m:t>A</m:t>
        </m:r>
      </m:oMath>
      <w:r>
        <w:t xml:space="preserve"> </w:t>
      </w:r>
      <w:r>
        <w:t xml:space="preserve">to come up with a</w:t>
      </w:r>
      <w:r>
        <w:t xml:space="preserve"> </w:t>
      </w:r>
      <m:oMath>
        <m:sSubSup>
          <m:e>
            <m:r>
              <m:t>S</m:t>
            </m:r>
          </m:e>
          <m:sub>
            <m:r>
              <m:t>D</m:t>
            </m:r>
            <m:r>
              <m:t>A</m:t>
            </m:r>
          </m:sub>
          <m:sup>
            <m:r>
              <m:t>s</m:t>
            </m:r>
            <m:r>
              <m:t>t</m:t>
            </m:r>
          </m:sup>
        </m:sSubSup>
      </m:oMath>
      <w:r>
        <w:t xml:space="preserve"> </w:t>
      </w:r>
      <w:commentRangeStart w:id="0"/>
      <w:r>
        <w:t xml:space="preserve">.</w:t>
      </w:r>
      <w:commentRangeEnd w:id="0"/>
      <w:r>
        <w:rPr>
          <w:rStyle w:val="CommentReference"/>
        </w:rPr>
        <w:commentReference w:id="0"/>
      </w:r>
    </w:p>
    <w:p>
      <w:pPr>
        <w:pStyle w:val="BodyText"/>
      </w:pPr>
      <w:r>
        <w:t xml:space="preserve">As such, the entropy measure is used to reflect the diversity of specific type of care destinations. The value ranges from 0 to 1, with 1 representing total evenness in the number of (weighted) specific type</w:t>
      </w:r>
      <w:r>
        <w:t xml:space="preserve"> </w:t>
      </w:r>
      <m:oMath>
        <m:r>
          <m:t>s</m:t>
        </m:r>
        <m:r>
          <m:t>t</m:t>
        </m:r>
      </m:oMath>
      <w:r>
        <w:t xml:space="preserve"> </w:t>
      </w:r>
      <w:r>
        <w:t xml:space="preserve">care opportunities can be reached at the aggregated spatial unit</w:t>
      </w:r>
      <w:r>
        <w:t xml:space="preserve"> </w:t>
      </w:r>
      <m:oMath>
        <m:r>
          <m:t>D</m:t>
        </m:r>
        <m:r>
          <m:t>A</m:t>
        </m:r>
      </m:oMath>
      <w:r>
        <w:t xml:space="preserve">:</w:t>
      </w:r>
    </w:p>
    <w:p>
      <w:pPr>
        <w:pStyle w:val="BodyText"/>
      </w:pPr>
      <m:oMathPara>
        <m:oMathParaPr>
          <m:jc m:val="center"/>
        </m:oMathParaPr>
        <m:oMath>
          <m:sSubSup>
            <m:e>
              <m:r>
                <m:t>D</m:t>
              </m:r>
            </m:e>
            <m:sub>
              <m:r>
                <m:t>D</m:t>
              </m:r>
              <m:r>
                <m:t>A</m:t>
              </m:r>
            </m:sub>
            <m:sup>
              <m:r>
                <m:t>s</m:t>
              </m:r>
              <m:r>
                <m:t>t</m:t>
              </m:r>
            </m:sup>
          </m:sSubSup>
          <m:r>
            <m:rPr>
              <m:sty m:val="p"/>
            </m:rPr>
            <m:t>=</m:t>
          </m:r>
          <m:f>
            <m:fPr>
              <m:type m:val="bar"/>
            </m:fPr>
            <m:num>
              <m:r>
                <m:rPr>
                  <m:sty m:val="p"/>
                </m:rPr>
                <m:t>−</m:t>
              </m:r>
              <m:nary>
                <m:naryPr>
                  <m:chr m:val="∑"/>
                  <m:limLoc m:val="undOvr"/>
                  <m:subHide m:val="off"/>
                  <m:supHide m:val="on"/>
                </m:naryPr>
                <m:sub>
                  <m:r>
                    <m:t>c</m:t>
                  </m:r>
                </m:sub>
                <m:sup>
                  <m:r>
                    <m:t>​</m:t>
                  </m:r>
                </m:sup>
                <m:e>
                  <m:sSubSup>
                    <m:e>
                      <m:r>
                        <m:t>S</m:t>
                      </m:r>
                    </m:e>
                    <m:sub>
                      <m:r>
                        <m:t>i</m:t>
                      </m:r>
                    </m:sub>
                    <m:sup>
                      <m:r>
                        <m:t>s</m:t>
                      </m:r>
                      <m:r>
                        <m:t>t</m:t>
                      </m:r>
                    </m:sup>
                  </m:sSubSup>
                </m:e>
              </m:nary>
              <m:r>
                <m:rPr>
                  <m:sty m:val="p"/>
                </m:rPr>
                <m:t>/</m:t>
              </m:r>
              <m:sSubSup>
                <m:e>
                  <m:r>
                    <m:t>S</m:t>
                  </m:r>
                </m:e>
                <m:sub>
                  <m:r>
                    <m:t>D</m:t>
                  </m:r>
                  <m:r>
                    <m:t>A</m:t>
                  </m:r>
                </m:sub>
                <m:sup>
                  <m:r>
                    <m:t>s</m:t>
                  </m:r>
                  <m:r>
                    <m:t>t</m:t>
                  </m:r>
                </m:sup>
              </m:sSubSup>
              <m:r>
                <m:rPr>
                  <m:sty m:val="p"/>
                </m:rPr>
                <m:t>×</m:t>
              </m:r>
              <m:r>
                <m:t>l</m:t>
              </m:r>
              <m:r>
                <m:t>n</m:t>
              </m:r>
              <m:d>
                <m:dPr>
                  <m:begChr m:val="("/>
                  <m:endChr m:val=")"/>
                  <m:sepChr m:val=""/>
                  <m:grow/>
                </m:dPr>
                <m:e>
                  <m:sSubSup>
                    <m:e>
                      <m:r>
                        <m:t>S</m:t>
                      </m:r>
                    </m:e>
                    <m:sub>
                      <m:r>
                        <m:t>i</m:t>
                      </m:r>
                    </m:sub>
                    <m:sup>
                      <m:r>
                        <m:t>s</m:t>
                      </m:r>
                      <m:r>
                        <m:t>t</m:t>
                      </m:r>
                    </m:sup>
                  </m:sSubSup>
                  <m:r>
                    <m:rPr>
                      <m:sty m:val="p"/>
                    </m:rPr>
                    <m:t>/</m:t>
                  </m:r>
                  <m:sSubSup>
                    <m:e>
                      <m:r>
                        <m:t>S</m:t>
                      </m:r>
                    </m:e>
                    <m:sub>
                      <m:r>
                        <m:t>D</m:t>
                      </m:r>
                      <m:r>
                        <m:t>A</m:t>
                      </m:r>
                    </m:sub>
                    <m:sup>
                      <m:r>
                        <m:t>s</m:t>
                      </m:r>
                      <m:r>
                        <m:t>t</m:t>
                      </m:r>
                    </m:sup>
                  </m:sSubSup>
                </m:e>
              </m:d>
            </m:num>
            <m:den>
              <m:r>
                <m:t>l</m:t>
              </m:r>
              <m:r>
                <m:t>n</m:t>
              </m:r>
              <m:d>
                <m:dPr>
                  <m:begChr m:val="("/>
                  <m:endChr m:val=")"/>
                  <m:sepChr m:val=""/>
                  <m:grow/>
                </m:dPr>
                <m:e>
                  <m:r>
                    <m:t>S</m:t>
                  </m:r>
                  <m:r>
                    <m:t>T</m:t>
                  </m:r>
                </m:e>
              </m:d>
            </m:den>
          </m:f>
        </m:oMath>
      </m:oMathPara>
    </w:p>
    <w:p>
      <w:pPr>
        <w:pStyle w:val="FirstParagraph"/>
      </w:pPr>
      <w:r>
        <w:t xml:space="preserve">Where:</w:t>
      </w:r>
    </w:p>
    <w:p>
      <w:pPr>
        <w:numPr>
          <w:ilvl w:val="0"/>
          <w:numId w:val="1005"/>
        </w:numPr>
        <w:pStyle w:val="Compact"/>
      </w:pPr>
      <m:oMath>
        <m:r>
          <m:t>i</m:t>
        </m:r>
      </m:oMath>
      <w:r>
        <w:t xml:space="preserve"> </w:t>
      </w:r>
      <w:r>
        <w:t xml:space="preserve">is a set of parcel point origin locations.</w:t>
      </w:r>
    </w:p>
    <w:p>
      <w:pPr>
        <w:numPr>
          <w:ilvl w:val="0"/>
          <w:numId w:val="1005"/>
        </w:numPr>
        <w:pStyle w:val="Compact"/>
      </w:pPr>
      <m:oMath>
        <m:r>
          <m:t>s</m:t>
        </m:r>
        <m:r>
          <m:t>t</m:t>
        </m:r>
      </m:oMath>
      <w:r>
        <w:t xml:space="preserve"> </w:t>
      </w:r>
      <w:r>
        <w:t xml:space="preserve">is a set of specific type care categories. In our work they are Daycare or EarlyON, Community or Recreation Centre, School, Long-Term Care or Retirement Home, Senior Centre, Bank or ATM, Library, Post Office, Convenience Store, Grocer, Hospital or Clinic, Dentist, Pharmacy, Park.</w:t>
      </w:r>
    </w:p>
    <w:p>
      <w:pPr>
        <w:numPr>
          <w:ilvl w:val="0"/>
          <w:numId w:val="1005"/>
        </w:numPr>
        <w:pStyle w:val="Compact"/>
      </w:pPr>
      <m:oMath>
        <m:r>
          <m:t>D</m:t>
        </m:r>
        <m:r>
          <m:t>A</m:t>
        </m:r>
      </m:oMath>
      <w:r>
        <w:t xml:space="preserve"> </w:t>
      </w:r>
      <w:r>
        <w:t xml:space="preserve">is a set of DA spatial units (to aggregate parcel point data).</w:t>
      </w:r>
    </w:p>
    <w:p>
      <w:pPr>
        <w:numPr>
          <w:ilvl w:val="0"/>
          <w:numId w:val="1005"/>
        </w:numPr>
        <w:pStyle w:val="Compact"/>
      </w:pPr>
      <m:oMath>
        <m:sSubSup>
          <m:e>
            <m:r>
              <m:t>S</m:t>
            </m:r>
          </m:e>
          <m:sub>
            <m:r>
              <m:t>i</m:t>
            </m:r>
          </m:sub>
          <m:sup>
            <m:r>
              <m:t>s</m:t>
            </m:r>
            <m:r>
              <m:t>t</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s</m:t>
        </m:r>
        <m:r>
          <m:t>t</m:t>
        </m:r>
      </m:oMath>
      <w:r>
        <w:t xml:space="preserve">.</w:t>
      </w:r>
    </w:p>
    <w:p>
      <w:pPr>
        <w:numPr>
          <w:ilvl w:val="0"/>
          <w:numId w:val="1005"/>
        </w:numPr>
        <w:pStyle w:val="Compact"/>
      </w:pPr>
      <m:oMath>
        <m:sSubSup>
          <m:e>
            <m:r>
              <m:t>S</m:t>
            </m:r>
          </m:e>
          <m:sub>
            <m:r>
              <m:t>D</m:t>
            </m:r>
            <m:r>
              <m:t>A</m:t>
            </m:r>
          </m:sub>
          <m:sup>
            <m:r>
              <m:t>s</m:t>
            </m:r>
            <m:r>
              <m:t>t</m:t>
            </m:r>
          </m:sup>
        </m:sSubSup>
      </m:oMath>
      <w:r>
        <w:t xml:space="preserve"> </w:t>
      </w:r>
      <w:r>
        <w:t xml:space="preserve">is the aggregated unconstrained accessibility at each</w:t>
      </w:r>
      <w:r>
        <w:t xml:space="preserve"> </w:t>
      </w:r>
      <m:oMath>
        <m:r>
          <m:t>D</m:t>
        </m:r>
        <m:r>
          <m:t>A</m:t>
        </m:r>
      </m:oMath>
      <w:r>
        <w:t xml:space="preserve">. In our work, it is the upper quartile of</w:t>
      </w:r>
      <w:r>
        <w:t xml:space="preserve"> </w:t>
      </w:r>
      <m:oMath>
        <m:sSubSup>
          <m:e>
            <m:r>
              <m:t>S</m:t>
            </m:r>
          </m:e>
          <m:sub>
            <m:r>
              <m:t>i</m:t>
            </m:r>
          </m:sub>
          <m:sup>
            <m:r>
              <m:t>s</m:t>
            </m:r>
            <m:r>
              <m:t>t</m:t>
            </m:r>
          </m:sup>
        </m:sSubSup>
      </m:oMath>
      <w:r>
        <w:t xml:space="preserve"> </w:t>
      </w:r>
      <w:r>
        <w:t xml:space="preserve">values in a</w:t>
      </w:r>
      <w:r>
        <w:t xml:space="preserve"> </w:t>
      </w:r>
      <m:oMath>
        <m:r>
          <m:t>D</m:t>
        </m:r>
        <m:r>
          <m:t>A</m:t>
        </m:r>
      </m:oMath>
      <w:r>
        <w:t xml:space="preserve">.</w:t>
      </w:r>
    </w:p>
    <w:p>
      <w:pPr>
        <w:numPr>
          <w:ilvl w:val="0"/>
          <w:numId w:val="1005"/>
        </w:numPr>
        <w:pStyle w:val="Compact"/>
      </w:pPr>
      <m:oMath>
        <m:r>
          <m:t>S</m:t>
        </m:r>
        <m:r>
          <m:t>T</m:t>
        </m:r>
      </m:oMath>
      <w:r>
        <w:t xml:space="preserve"> </w:t>
      </w:r>
      <w:r>
        <w:t xml:space="preserve">is the total sum of categories. In our work, this is equal to 14.</w:t>
      </w:r>
    </w:p>
    <w:p>
      <w:pPr>
        <w:numPr>
          <w:ilvl w:val="0"/>
          <w:numId w:val="1005"/>
        </w:numPr>
        <w:pStyle w:val="Compact"/>
      </w:pPr>
      <m:oMath>
        <m:sSubSup>
          <m:e>
            <m:r>
              <m:t>D</m:t>
            </m:r>
          </m:e>
          <m:sub>
            <m:r>
              <m:t>D</m:t>
            </m:r>
            <m:r>
              <m:t>A</m:t>
            </m:r>
          </m:sub>
          <m:sup>
            <m:r>
              <m:t>s</m:t>
            </m:r>
            <m:r>
              <m:t>t</m:t>
            </m:r>
          </m:sup>
        </m:sSubSup>
      </m:oMath>
      <w:r>
        <w:t xml:space="preserve"> </w:t>
      </w:r>
      <w:r>
        <w:t xml:space="preserve">is the entropy index.</w:t>
      </w:r>
    </w:p>
    <w:bookmarkEnd w:id="36"/>
    <w:bookmarkEnd w:id="37"/>
    <w:bookmarkStart w:id="54" w:name="results"/>
    <w:p>
      <w:pPr>
        <w:pStyle w:val="Heading1"/>
      </w:pPr>
      <w:r>
        <w:t xml:space="preserve">Results</w:t>
      </w:r>
    </w:p>
    <w:tbl>
      <w:tblPr>
        <w:tblStyle w:val="Table"/>
        <w:tblW w:type="pct" w:w="5000"/>
        <w:tblLook w:firstRow="0" w:lastRow="0" w:firstColumn="0" w:lastColumn="0" w:noHBand="0" w:noVBand="0" w:val="0000"/>
        <w:jc w:val="start"/>
        <w:tblLayout w:type="fixed"/>
      </w:tblPr>
      <w:tblGrid>
        <w:gridCol w:w="7920"/>
      </w:tblGrid>
      <w:tr>
        <w:tc>
          <w:tcPr/>
          <w:bookmarkStart w:id="41" w:name="fig-Fig3"/>
          <w:p>
            <w:pPr>
              <w:pStyle w:val="Compact"/>
              <w:jc w:val="center"/>
            </w:pPr>
            <w:r>
              <w:drawing>
                <wp:inline>
                  <wp:extent cx="5334000" cy="5334000"/>
                  <wp:effectExtent b="0" l="0" r="0" t="0"/>
                  <wp:docPr descr="" title="" id="39" name="Picture"/>
                  <a:graphic>
                    <a:graphicData uri="http://schemas.openxmlformats.org/drawingml/2006/picture">
                      <pic:pic>
                        <pic:nvPicPr>
                          <pic:cNvPr descr="data/all_cats_copp_weighted_plot.tif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cumulative opportunity measure. The number of care destinations that can be reached, per DA, within 15 min walk. Visualised as</w:t>
            </w:r>
            <w:r>
              <w:t xml:space="preserve"> </w:t>
            </w:r>
            <w:r>
              <w:t xml:space="preserve">‘</w:t>
            </w:r>
            <w:r>
              <w:t xml:space="preserve">caring</w:t>
            </w:r>
            <w:r>
              <w:t xml:space="preserve">’</w:t>
            </w:r>
            <w:r>
              <w:t xml:space="preserve"> </w:t>
            </w:r>
            <w:r>
              <w:t xml:space="preserve">(based on the opportunity reachable number; Caring is approximately the median) and if complete (if all care categories can be reached; this is an arbitrary selection).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1"/>
        </w:tc>
      </w:tr>
    </w:tbl>
    <w:tbl>
      <w:tblPr>
        <w:tblStyle w:val="Table"/>
        <w:tblW w:type="pct" w:w="5000"/>
        <w:tblLook w:firstRow="0" w:lastRow="0" w:firstColumn="0" w:lastColumn="0" w:noHBand="0" w:noVBand="0" w:val="0000"/>
        <w:jc w:val="start"/>
        <w:tblLayout w:type="fixed"/>
      </w:tblPr>
      <w:tblGrid>
        <w:gridCol w:w="7920"/>
      </w:tblGrid>
      <w:tr>
        <w:tc>
          <w:tcPr/>
          <w:bookmarkStart w:id="45" w:name="fig-Fig4"/>
          <w:p>
            <w:pPr>
              <w:pStyle w:val="Compact"/>
              <w:jc w:val="center"/>
            </w:pPr>
            <w:r>
              <w:drawing>
                <wp:inline>
                  <wp:extent cx="5334000" cy="5334000"/>
                  <wp:effectExtent b="0" l="0" r="0" t="0"/>
                  <wp:docPr descr="" title="" id="43" name="Picture"/>
                  <a:graphic>
                    <a:graphicData uri="http://schemas.openxmlformats.org/drawingml/2006/picture">
                      <pic:pic>
                        <pic:nvPicPr>
                          <pic:cNvPr descr="data/all_cats_entropy_copp_weighted_plot.tiff"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diversity measure based on the</w:t>
            </w:r>
            <w:r>
              <w:t xml:space="preserve"> </w:t>
            </w:r>
            <w:r>
              <w:rPr>
                <w:iCs/>
                <w:i/>
              </w:rPr>
              <w:t xml:space="preserve">specific type</w:t>
            </w:r>
            <w:r>
              <w:t xml:space="preserve"> </w:t>
            </w:r>
            <w:r>
              <w:t xml:space="preserve">of destination cumulative opportunity DA measure.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5"/>
        </w:tc>
      </w:tr>
    </w:tbl>
    <w:tbl>
      <w:tblPr>
        <w:tblStyle w:val="Table"/>
        <w:tblW w:type="pct" w:w="5000"/>
        <w:tblLook w:firstRow="0" w:lastRow="0" w:firstColumn="0" w:lastColumn="0" w:noHBand="0" w:noVBand="0" w:val="0000"/>
        <w:jc w:val="start"/>
        <w:tblLayout w:type="fixed"/>
      </w:tblPr>
      <w:tblGrid>
        <w:gridCol w:w="7920"/>
      </w:tblGrid>
      <w:tr>
        <w:tc>
          <w:tcPr/>
          <w:bookmarkStart w:id="49" w:name="fig-Fig5"/>
          <w:p>
            <w:pPr>
              <w:pStyle w:val="Compact"/>
              <w:jc w:val="center"/>
            </w:pPr>
            <w:r>
              <w:drawing>
                <wp:inline>
                  <wp:extent cx="5334000" cy="5334000"/>
                  <wp:effectExtent b="0" l="0" r="0" t="0"/>
                  <wp:docPr descr="" title="" id="47" name="Picture"/>
                  <a:graphic>
                    <a:graphicData uri="http://schemas.openxmlformats.org/drawingml/2006/picture">
                      <pic:pic>
                        <pic:nvPicPr>
                          <pic:cNvPr descr="data/all_cats_bivariate_entropy_copp_plot.tiff"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bivariate map of the cumulative opportuninities map (aggregated per category at DA - fig3) and the diversity measure (fig 4). Amenity diverse = diviersity index above the region median. Caring/Complete = accessibility value above the region median. The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9"/>
        </w:tc>
      </w:tr>
    </w:tbl>
    <w:p>
      <w:pPr>
        <w:pStyle w:val="BodyText"/>
      </w:pPr>
      <w:r>
        <w:t xml:space="preserve">BONUS! Per capita spatial availability. This is not discussed in the methods. The spatial availability calculation assumes population is</w:t>
      </w:r>
      <w:r>
        <w:t xml:space="preserve"> </w:t>
      </w:r>
      <w:r>
        <w:t xml:space="preserve">‘</w:t>
      </w:r>
      <w:r>
        <w:t xml:space="preserve">population density</w:t>
      </w:r>
      <w:r>
        <w:t xml:space="preserve">’</w:t>
      </w:r>
      <w:r>
        <w:t xml:space="preserve"> </w:t>
      </w:r>
      <w:r>
        <w:t xml:space="preserve">and weighted opportunity count. With this map we can start thinking about per capita availability of opportunities.</w:t>
      </w:r>
    </w:p>
    <w:tbl>
      <w:tblPr>
        <w:tblStyle w:val="Table"/>
        <w:tblW w:type="pct" w:w="5000"/>
        <w:tblLook w:firstRow="0" w:lastRow="0" w:firstColumn="0" w:lastColumn="0" w:noHBand="0" w:noVBand="0" w:val="0000"/>
        <w:jc w:val="start"/>
        <w:tblLayout w:type="fixed"/>
      </w:tblPr>
      <w:tblGrid>
        <w:gridCol w:w="7920"/>
      </w:tblGrid>
      <w:tr>
        <w:tc>
          <w:tcPr/>
          <w:bookmarkStart w:id="53" w:name="fig-Fig6"/>
          <w:p>
            <w:pPr>
              <w:pStyle w:val="Compact"/>
              <w:jc w:val="center"/>
            </w:pPr>
            <w:r>
              <w:drawing>
                <wp:inline>
                  <wp:extent cx="5334000" cy="5334000"/>
                  <wp:effectExtent b="0" l="0" r="0" t="0"/>
                  <wp:docPr descr="" title="" id="51" name="Picture"/>
                  <a:graphic>
                    <a:graphicData uri="http://schemas.openxmlformats.org/drawingml/2006/picture">
                      <pic:pic>
                        <pic:nvPicPr>
                          <pic:cNvPr descr="data/all_cats_vvi_plot.tiff"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Per capita spatial availability of care opportunities. Uses weighted care opportunities, population density as competition, and 15 minute binary cut-off. Aggregates parcel level spatial availability at the DA level (by summation) and divides by the DA population.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53"/>
        </w:tc>
      </w:tr>
    </w:tbl>
    <w:p>
      <w:pPr>
        <w:pStyle w:val="BodyText"/>
      </w:pPr>
      <w:commentRangeStart w:id="0"/>
      <w:r>
        <w:t xml:space="preserve"> </w:t>
      </w:r>
      <w:commentRangeEnd w:id="0"/>
      <w:r>
        <w:rPr>
          <w:rStyle w:val="CommentReference"/>
        </w:rPr>
        <w:commentReference w:id="0"/>
      </w:r>
    </w:p>
    <w:bookmarkEnd w:id="54"/>
    <w:bookmarkStart w:id="226" w:name="references"/>
    <w:p>
      <w:pPr>
        <w:pStyle w:val="Heading1"/>
      </w:pPr>
      <w:r>
        <w:t xml:space="preserve">References</w:t>
      </w:r>
    </w:p>
    <w:bookmarkStart w:id="225" w:name="refs"/>
    <w:bookmarkStart w:id="55"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Cs/>
          <w:i/>
        </w:rPr>
        <w:t xml:space="preserve">The Lancet Planetary Health</w:t>
      </w:r>
      <w:r>
        <w:t xml:space="preserve"> </w:t>
      </w:r>
      <w:r>
        <w:t xml:space="preserve">6 (3): e181–83.</w:t>
      </w:r>
    </w:p>
    <w:bookmarkEnd w:id="55"/>
    <w:bookmarkStart w:id="57"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56">
        <w:r>
          <w:rPr>
            <w:rStyle w:val="Hyperlink"/>
          </w:rPr>
          <w:t xml:space="preserve">https://www.data-axle.com/our-data/</w:t>
        </w:r>
      </w:hyperlink>
      <w:r>
        <w:t xml:space="preserve">.</w:t>
      </w:r>
    </w:p>
    <w:bookmarkEnd w:id="57"/>
    <w:bookmarkStart w:id="59"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58">
        <w:r>
          <w:rPr>
            <w:rStyle w:val="Hyperlink"/>
          </w:rPr>
          <w:t xml:space="preserve">https://branchlocator.bmo.com/index.html</w:t>
        </w:r>
      </w:hyperlink>
      <w:r>
        <w:t xml:space="preserve">.</w:t>
      </w:r>
    </w:p>
    <w:bookmarkEnd w:id="59"/>
    <w:bookmarkStart w:id="61"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60">
        <w:r>
          <w:rPr>
            <w:rStyle w:val="Hyperlink"/>
          </w:rPr>
          <w:t xml:space="preserve">https://www.canadapost-postescanada.ca/information/app/fpo/personal/findpostoffice</w:t>
        </w:r>
      </w:hyperlink>
      <w:r>
        <w:t xml:space="preserve">.</w:t>
      </w:r>
    </w:p>
    <w:bookmarkEnd w:id="61"/>
    <w:bookmarkStart w:id="63" w:name="ref-carverParentalChauffeursWhat2013"/>
    <w:p>
      <w:pPr>
        <w:pStyle w:val="Bibliography"/>
      </w:pPr>
      <w:r>
        <w:t xml:space="preserve">Carver, Alison, Anna Timperio, and David Crawford. 2013.</w:t>
      </w:r>
      <w:r>
        <w:t xml:space="preserve"> </w:t>
      </w:r>
      <w:r>
        <w:t xml:space="preserve">“Parental Chauffeurs: What Drives Their Transport Choice?”</w:t>
      </w:r>
      <w:r>
        <w:t xml:space="preserve"> Journal Article.</w:t>
      </w:r>
      <w:r>
        <w:t xml:space="preserve"> </w:t>
      </w:r>
      <w:r>
        <w:rPr>
          <w:iCs/>
          <w:i/>
        </w:rPr>
        <w:t xml:space="preserve">Journal of Transport Geography</w:t>
      </w:r>
      <w:r>
        <w:t xml:space="preserve"> </w:t>
      </w:r>
      <w:r>
        <w:t xml:space="preserve">26: 72–77.</w:t>
      </w:r>
      <w:r>
        <w:t xml:space="preserve"> </w:t>
      </w:r>
      <w:hyperlink r:id="rId62">
        <w:r>
          <w:rPr>
            <w:rStyle w:val="Hyperlink"/>
          </w:rPr>
          <w:t xml:space="preserve">https://doi.org/10.1016/j.jtrangeo.2012.08.017</w:t>
        </w:r>
      </w:hyperlink>
      <w:r>
        <w:t xml:space="preserve">.</w:t>
      </w:r>
    </w:p>
    <w:bookmarkEnd w:id="63"/>
    <w:bookmarkStart w:id="65"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Cs/>
          <w:i/>
        </w:rPr>
        <w:t xml:space="preserve">Journal of Transport Geography</w:t>
      </w:r>
      <w:r>
        <w:t xml:space="preserve"> </w:t>
      </w:r>
      <w:r>
        <w:t xml:space="preserve">30 (June): 100–109.</w:t>
      </w:r>
      <w:r>
        <w:t xml:space="preserve"> </w:t>
      </w:r>
      <w:hyperlink r:id="rId64">
        <w:r>
          <w:rPr>
            <w:rStyle w:val="Hyperlink"/>
          </w:rPr>
          <w:t xml:space="preserve">https://doi.org/10.1016/j.jtrangeo.2013.03.005</w:t>
        </w:r>
      </w:hyperlink>
      <w:r>
        <w:t xml:space="preserve">.</w:t>
      </w:r>
    </w:p>
    <w:bookmarkEnd w:id="65"/>
    <w:bookmarkStart w:id="67" w:name="ref-equal_pay_coalition_myths_2022"/>
    <w:p>
      <w:pPr>
        <w:pStyle w:val="Bibliography"/>
      </w:pPr>
      <w:r>
        <w:t xml:space="preserve">Coalition, Equal Pay. 2022.</w:t>
      </w:r>
      <w:r>
        <w:t xml:space="preserve"> </w:t>
      </w:r>
      <w:r>
        <w:t xml:space="preserve">“Myths</w:t>
      </w:r>
      <w:r>
        <w:t xml:space="preserve"> </w:t>
      </w:r>
      <w:r>
        <w:t xml:space="preserve">About</w:t>
      </w:r>
      <w:r>
        <w:t xml:space="preserve"> </w:t>
      </w:r>
      <w:r>
        <w:t xml:space="preserve">the</w:t>
      </w:r>
      <w:r>
        <w:t xml:space="preserve"> </w:t>
      </w:r>
      <w:r>
        <w:t xml:space="preserve">Pay</w:t>
      </w:r>
      <w:r>
        <w:t xml:space="preserve"> </w:t>
      </w:r>
      <w:r>
        <w:t xml:space="preserve">Gap</w:t>
      </w:r>
      <w:r>
        <w:t xml:space="preserve"> </w:t>
      </w:r>
      <w:r>
        <w:t xml:space="preserve">–</w:t>
      </w:r>
      <w:r>
        <w:t xml:space="preserve"> </w:t>
      </w:r>
      <w:r>
        <w:t xml:space="preserve">Equal</w:t>
      </w:r>
      <w:r>
        <w:t xml:space="preserve"> </w:t>
      </w:r>
      <w:r>
        <w:t xml:space="preserve">Pay</w:t>
      </w:r>
      <w:r>
        <w:t xml:space="preserve"> </w:t>
      </w:r>
      <w:r>
        <w:t xml:space="preserve">Coalition</w:t>
      </w:r>
      <w:r>
        <w:t xml:space="preserve">.”</w:t>
      </w:r>
      <w:r>
        <w:t xml:space="preserve"> </w:t>
      </w:r>
      <w:hyperlink r:id="rId66">
        <w:r>
          <w:rPr>
            <w:rStyle w:val="Hyperlink"/>
          </w:rPr>
          <w:t xml:space="preserve">https://equalpaycoalition.org/myths-about-the-gap/</w:t>
        </w:r>
      </w:hyperlink>
      <w:r>
        <w:t xml:space="preserve">.</w:t>
      </w:r>
    </w:p>
    <w:bookmarkEnd w:id="67"/>
    <w:bookmarkStart w:id="69"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68">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69"/>
    <w:bookmarkStart w:id="71"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70">
        <w:r>
          <w:rPr>
            <w:rStyle w:val="Hyperlink"/>
          </w:rPr>
          <w:t xml:space="preserve">https://participons.ottawa.ca/nouveau-plan-officiel/news_feed/quartier-du-quart-d-heure</w:t>
        </w:r>
      </w:hyperlink>
      <w:r>
        <w:t xml:space="preserve">.</w:t>
      </w:r>
    </w:p>
    <w:bookmarkEnd w:id="71"/>
    <w:bookmarkStart w:id="73"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Cs/>
          <w:i/>
        </w:rPr>
        <w:t xml:space="preserve">Cities</w:t>
      </w:r>
      <w:r>
        <w:t xml:space="preserve"> </w:t>
      </w:r>
      <w:r>
        <w:t xml:space="preserve">78 (August): 108–15.</w:t>
      </w:r>
      <w:r>
        <w:t xml:space="preserve"> </w:t>
      </w:r>
      <w:hyperlink r:id="rId72">
        <w:r>
          <w:rPr>
            <w:rStyle w:val="Hyperlink"/>
          </w:rPr>
          <w:t xml:space="preserve">https://doi.org/10.1016/j.cities.2018.02.003</w:t>
        </w:r>
      </w:hyperlink>
      <w:r>
        <w:t xml:space="preserve">.</w:t>
      </w:r>
    </w:p>
    <w:bookmarkEnd w:id="73"/>
    <w:bookmarkStart w:id="75" w:name="ref-RN20"/>
    <w:p>
      <w:pPr>
        <w:pStyle w:val="Bibliography"/>
      </w:pPr>
      <w:r>
        <w:t xml:space="preserve">Dowling, Robyn. 2000.</w:t>
      </w:r>
      <w:r>
        <w:t xml:space="preserve"> </w:t>
      </w:r>
      <w:r>
        <w:t xml:space="preserve">“Cultures of Mothering and Car Use in Suburban Sydney: A Preliminary Investigation.”</w:t>
      </w:r>
      <w:r>
        <w:t xml:space="preserve"> </w:t>
      </w:r>
      <w:r>
        <w:t xml:space="preserve">Journal Article.</w:t>
      </w:r>
      <w:r>
        <w:t xml:space="preserve"> </w:t>
      </w:r>
      <w:r>
        <w:rPr>
          <w:iCs/>
          <w:i/>
        </w:rPr>
        <w:t xml:space="preserve">Geoforum</w:t>
      </w:r>
      <w:r>
        <w:t xml:space="preserve"> </w:t>
      </w:r>
      <w:r>
        <w:t xml:space="preserve">31 (3): 345–53. https://doi.org/</w:t>
      </w:r>
      <w:hyperlink r:id="rId74">
        <w:r>
          <w:rPr>
            <w:rStyle w:val="Hyperlink"/>
          </w:rPr>
          <w:t xml:space="preserve">https://doi.org/10.1016/S0016-7185(99)00048-2</w:t>
        </w:r>
      </w:hyperlink>
      <w:r>
        <w:t xml:space="preserve">.</w:t>
      </w:r>
    </w:p>
    <w:bookmarkEnd w:id="75"/>
    <w:bookmarkStart w:id="77" w:name="ref-drolet_intersectional_2023"/>
    <w:p>
      <w:pPr>
        <w:pStyle w:val="Bibliography"/>
      </w:pPr>
      <w:r>
        <w:t xml:space="preserve">Drolet, Marie, and Mandana Mardare Amini. 2023.</w:t>
      </w:r>
      <w:r>
        <w:t xml:space="preserve"> </w:t>
      </w:r>
      <w:r>
        <w:t xml:space="preserve">“Intersectional</w:t>
      </w:r>
      <w:r>
        <w:t xml:space="preserve"> </w:t>
      </w:r>
      <w:r>
        <w:t xml:space="preserve">Perspective</w:t>
      </w:r>
      <w:r>
        <w:t xml:space="preserve"> </w:t>
      </w:r>
      <w:r>
        <w:t xml:space="preserve">on the</w:t>
      </w:r>
      <w:r>
        <w:t xml:space="preserve"> </w:t>
      </w:r>
      <w:r>
        <w:t xml:space="preserve">Canadian</w:t>
      </w:r>
      <w:r>
        <w:t xml:space="preserve"> </w:t>
      </w:r>
      <w:r>
        <w:t xml:space="preserve">Gender</w:t>
      </w:r>
      <w:r>
        <w:t xml:space="preserve"> </w:t>
      </w:r>
      <w:r>
        <w:t xml:space="preserve">Wage</w:t>
      </w:r>
      <w:r>
        <w:t xml:space="preserve"> </w:t>
      </w:r>
      <w:r>
        <w:t xml:space="preserve">Gap</w:t>
      </w:r>
      <w:r>
        <w:t xml:space="preserve">.”</w:t>
      </w:r>
      <w:r>
        <w:t xml:space="preserve"> </w:t>
      </w:r>
      <w:r>
        <w:t xml:space="preserve">Studies on {Gender} and {Intersecting} {Identities}. Canada: Government of Canada.</w:t>
      </w:r>
      <w:r>
        <w:t xml:space="preserve"> </w:t>
      </w:r>
      <w:hyperlink r:id="rId76">
        <w:r>
          <w:rPr>
            <w:rStyle w:val="Hyperlink"/>
          </w:rPr>
          <w:t xml:space="preserve">https://www150.statcan.gc.ca/n1/pub/45-20-0002/452000022023002-eng.htm</w:t>
        </w:r>
      </w:hyperlink>
      <w:r>
        <w:t xml:space="preserve">.</w:t>
      </w:r>
    </w:p>
    <w:bookmarkEnd w:id="77"/>
    <w:bookmarkStart w:id="78" w:name="ref-RN29"/>
    <w:p>
      <w:pPr>
        <w:pStyle w:val="Bibliography"/>
      </w:pPr>
      <w:r>
        <w:t xml:space="preserve">England, Kim VL. 1993.</w:t>
      </w:r>
      <w:r>
        <w:t xml:space="preserve"> </w:t>
      </w:r>
      <w:r>
        <w:t xml:space="preserve">“Suburban Pink Collar Ghettos: The Spatial Entrapment of Women?”</w:t>
      </w:r>
      <w:r>
        <w:t xml:space="preserve"> Journal Article.</w:t>
      </w:r>
      <w:r>
        <w:t xml:space="preserve"> </w:t>
      </w:r>
      <w:r>
        <w:rPr>
          <w:iCs/>
          <w:i/>
        </w:rPr>
        <w:t xml:space="preserve">Annals of the Association of American Geographers</w:t>
      </w:r>
      <w:r>
        <w:t xml:space="preserve"> </w:t>
      </w:r>
      <w:r>
        <w:t xml:space="preserve">83 (2): 225–42.</w:t>
      </w:r>
    </w:p>
    <w:bookmarkEnd w:id="78"/>
    <w:bookmarkStart w:id="80" w:name="ref-RN19"/>
    <w:p>
      <w:pPr>
        <w:pStyle w:val="Bibliography"/>
      </w:pPr>
      <w:r>
        <w:t xml:space="preserve">Ermagun, Alireza, and Nebiyou Tilahun. 2020.</w:t>
      </w:r>
      <w:r>
        <w:t xml:space="preserve"> </w:t>
      </w:r>
      <w:r>
        <w:t xml:space="preserve">“Equity of Transit Accessibility Across Chicago.”</w:t>
      </w:r>
      <w:r>
        <w:t xml:space="preserve"> </w:t>
      </w:r>
      <w:r>
        <w:t xml:space="preserve">Journal Article.</w:t>
      </w:r>
      <w:r>
        <w:t xml:space="preserve"> </w:t>
      </w:r>
      <w:r>
        <w:rPr>
          <w:iCs/>
          <w:i/>
        </w:rPr>
        <w:t xml:space="preserve">Transportation Research Part D: Transport and Environment</w:t>
      </w:r>
      <w:r>
        <w:t xml:space="preserve"> </w:t>
      </w:r>
      <w:r>
        <w:t xml:space="preserve">86: 102461. https://doi.org/</w:t>
      </w:r>
      <w:hyperlink r:id="rId79">
        <w:r>
          <w:rPr>
            <w:rStyle w:val="Hyperlink"/>
          </w:rPr>
          <w:t xml:space="preserve">https://doi.org/10.1016/j.trd.2020.102461</w:t>
        </w:r>
      </w:hyperlink>
      <w:r>
        <w:t xml:space="preserve">.</w:t>
      </w:r>
    </w:p>
    <w:bookmarkEnd w:id="80"/>
    <w:bookmarkStart w:id="82"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Cs/>
          <w:i/>
        </w:rPr>
        <w:t xml:space="preserve">Journal of the American Planning Association</w:t>
      </w:r>
      <w:r>
        <w:t xml:space="preserve"> </w:t>
      </w:r>
      <w:r>
        <w:t xml:space="preserve">76 (3): 265–94.</w:t>
      </w:r>
      <w:r>
        <w:t xml:space="preserve"> </w:t>
      </w:r>
      <w:hyperlink r:id="rId81">
        <w:r>
          <w:rPr>
            <w:rStyle w:val="Hyperlink"/>
          </w:rPr>
          <w:t xml:space="preserve">https://doi.org/10.1080/01944361003766766</w:t>
        </w:r>
      </w:hyperlink>
      <w:r>
        <w:t xml:space="preserve">.</w:t>
      </w:r>
    </w:p>
    <w:bookmarkEnd w:id="82"/>
    <w:bookmarkStart w:id="83" w:name="ref-RN15"/>
    <w:p>
      <w:pPr>
        <w:pStyle w:val="Bibliography"/>
      </w:pPr>
      <w:r>
        <w:t xml:space="preserve">Eye, A., and A. Ferreira. 2015.</w:t>
      </w:r>
      <w:r>
        <w:t xml:space="preserve"> </w:t>
      </w:r>
      <w:r>
        <w:t xml:space="preserve">“Taking the Tyke on a Bike: Mothers’ and Childless Women’s Space–Time Geographies in Amsterdam Compared.”</w:t>
      </w:r>
      <w:r>
        <w:t xml:space="preserve"> Journal Article.</w:t>
      </w:r>
      <w:r>
        <w:t xml:space="preserve"> </w:t>
      </w:r>
      <w:r>
        <w:rPr>
          <w:iCs/>
          <w:i/>
        </w:rPr>
        <w:t xml:space="preserve">Environment and Planning A</w:t>
      </w:r>
      <w:r>
        <w:t xml:space="preserve"> </w:t>
      </w:r>
      <w:r>
        <w:t xml:space="preserve">47: 691–708.</w:t>
      </w:r>
    </w:p>
    <w:bookmarkEnd w:id="83"/>
    <w:bookmarkStart w:id="84"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Cs/>
          <w:i/>
        </w:rPr>
        <w:t xml:space="preserve">Boulogne Billancourt: OECD Development Center</w:t>
      </w:r>
      <w:r>
        <w:t xml:space="preserve">.</w:t>
      </w:r>
    </w:p>
    <w:bookmarkEnd w:id="84"/>
    <w:bookmarkStart w:id="86"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Cs/>
          <w:i/>
        </w:rPr>
        <w:t xml:space="preserve">American Journal of Preventive Medicine</w:t>
      </w:r>
      <w:r>
        <w:t xml:space="preserve"> </w:t>
      </w:r>
      <w:r>
        <w:t xml:space="preserve">28 (2): 117–25.</w:t>
      </w:r>
      <w:r>
        <w:t xml:space="preserve"> </w:t>
      </w:r>
      <w:hyperlink r:id="rId85">
        <w:r>
          <w:rPr>
            <w:rStyle w:val="Hyperlink"/>
          </w:rPr>
          <w:t xml:space="preserve">https://doi.org/10.1016/j.amepre.2004.11.001</w:t>
        </w:r>
      </w:hyperlink>
      <w:r>
        <w:t xml:space="preserve">.</w:t>
      </w:r>
    </w:p>
    <w:bookmarkEnd w:id="86"/>
    <w:bookmarkStart w:id="88"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Cs/>
          <w:i/>
        </w:rPr>
        <w:t xml:space="preserve">Transportation Research Procedia</w:t>
      </w:r>
      <w:r>
        <w:t xml:space="preserve"> </w:t>
      </w:r>
      <w:r>
        <w:t xml:space="preserve">60: 378–85.</w:t>
      </w:r>
      <w:r>
        <w:t xml:space="preserve"> </w:t>
      </w:r>
      <w:hyperlink r:id="rId87">
        <w:r>
          <w:rPr>
            <w:rStyle w:val="Hyperlink"/>
          </w:rPr>
          <w:t xml:space="preserve">https://doi.org/10.1016/j.trpro.2021.12.049</w:t>
        </w:r>
      </w:hyperlink>
      <w:r>
        <w:t xml:space="preserve">.</w:t>
      </w:r>
    </w:p>
    <w:bookmarkEnd w:id="88"/>
    <w:bookmarkStart w:id="90"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Cs/>
          <w:i/>
        </w:rPr>
        <w:t xml:space="preserve">Journal of Transport Geography</w:t>
      </w:r>
      <w:r>
        <w:t xml:space="preserve"> </w:t>
      </w:r>
      <w:r>
        <w:t xml:space="preserve">99 (February): 103301.</w:t>
      </w:r>
      <w:r>
        <w:t xml:space="preserve"> </w:t>
      </w:r>
      <w:hyperlink r:id="rId89">
        <w:r>
          <w:rPr>
            <w:rStyle w:val="Hyperlink"/>
          </w:rPr>
          <w:t xml:space="preserve">https://doi.org/10.1016/j.jtrangeo.2022.103301</w:t>
        </w:r>
      </w:hyperlink>
      <w:r>
        <w:t xml:space="preserve">.</w:t>
      </w:r>
    </w:p>
    <w:bookmarkEnd w:id="90"/>
    <w:bookmarkStart w:id="92" w:name="ref-gordon_womans_1976"/>
    <w:p>
      <w:pPr>
        <w:pStyle w:val="Bibliography"/>
      </w:pPr>
      <w:r>
        <w:t xml:space="preserve">Gordon, Linda. 1976.</w:t>
      </w:r>
      <w:r>
        <w:t xml:space="preserve"> </w:t>
      </w:r>
      <w:r>
        <w:rPr>
          <w:iCs/>
          <w:i/>
        </w:rPr>
        <w:t xml:space="preserve">Woman’s</w:t>
      </w:r>
      <w:r>
        <w:rPr>
          <w:iCs/>
          <w:i/>
        </w:rPr>
        <w:t xml:space="preserve"> </w:t>
      </w:r>
      <w:r>
        <w:rPr>
          <w:iCs/>
          <w:i/>
        </w:rPr>
        <w:t xml:space="preserve">Body</w:t>
      </w:r>
      <w:r>
        <w:rPr>
          <w:iCs/>
          <w:i/>
        </w:rPr>
        <w:t xml:space="preserve">,</w:t>
      </w:r>
      <w:r>
        <w:rPr>
          <w:iCs/>
          <w:i/>
        </w:rPr>
        <w:t xml:space="preserve"> </w:t>
      </w:r>
      <w:r>
        <w:rPr>
          <w:iCs/>
          <w:i/>
        </w:rPr>
        <w:t xml:space="preserve">Woman</w:t>
      </w:r>
      <w:r>
        <w:rPr>
          <w:iCs/>
          <w:i/>
        </w:rPr>
        <w:t xml:space="preserve">’s</w:t>
      </w:r>
      <w:r>
        <w:rPr>
          <w:iCs/>
          <w:i/>
        </w:rPr>
        <w:t xml:space="preserve"> </w:t>
      </w:r>
      <w:r>
        <w:rPr>
          <w:iCs/>
          <w:i/>
        </w:rPr>
        <w:t xml:space="preserve">Right</w:t>
      </w:r>
      <w:r>
        <w:rPr>
          <w:iCs/>
          <w:i/>
        </w:rPr>
        <w:t xml:space="preserve">:</w:t>
      </w:r>
      <w:r>
        <w:rPr>
          <w:iCs/>
          <w:i/>
        </w:rPr>
        <w:t xml:space="preserve"> </w:t>
      </w:r>
      <w:r>
        <w:rPr>
          <w:iCs/>
          <w:i/>
        </w:rPr>
        <w:t xml:space="preserve">A</w:t>
      </w:r>
      <w:r>
        <w:rPr>
          <w:iCs/>
          <w:i/>
        </w:rPr>
        <w:t xml:space="preserve"> </w:t>
      </w:r>
      <w:r>
        <w:rPr>
          <w:iCs/>
          <w:i/>
        </w:rPr>
        <w:t xml:space="preserve">Social</w:t>
      </w:r>
      <w:r>
        <w:rPr>
          <w:iCs/>
          <w:i/>
        </w:rPr>
        <w:t xml:space="preserve"> </w:t>
      </w:r>
      <w:r>
        <w:rPr>
          <w:iCs/>
          <w:i/>
        </w:rPr>
        <w:t xml:space="preserve">History</w:t>
      </w:r>
      <w:r>
        <w:rPr>
          <w:iCs/>
          <w:i/>
        </w:rPr>
        <w:t xml:space="preserve"> </w:t>
      </w:r>
      <w:r>
        <w:rPr>
          <w:iCs/>
          <w:i/>
        </w:rPr>
        <w:t xml:space="preserve">of</w:t>
      </w:r>
      <w:r>
        <w:rPr>
          <w:iCs/>
          <w:i/>
        </w:rPr>
        <w:t xml:space="preserve"> </w:t>
      </w:r>
      <w:r>
        <w:rPr>
          <w:iCs/>
          <w:i/>
        </w:rPr>
        <w:t xml:space="preserve">Birth</w:t>
      </w:r>
      <w:r>
        <w:rPr>
          <w:iCs/>
          <w:i/>
        </w:rPr>
        <w:t xml:space="preserve"> </w:t>
      </w:r>
      <w:r>
        <w:rPr>
          <w:iCs/>
          <w:i/>
        </w:rPr>
        <w:t xml:space="preserve">Control</w:t>
      </w:r>
      <w:r>
        <w:rPr>
          <w:iCs/>
          <w:i/>
        </w:rPr>
        <w:t xml:space="preserve"> </w:t>
      </w:r>
      <w:r>
        <w:rPr>
          <w:iCs/>
          <w:i/>
        </w:rPr>
        <w:t xml:space="preserve">in</w:t>
      </w:r>
      <w:r>
        <w:rPr>
          <w:iCs/>
          <w:i/>
        </w:rPr>
        <w:t xml:space="preserve"> </w:t>
      </w:r>
      <w:r>
        <w:rPr>
          <w:iCs/>
          <w:i/>
        </w:rPr>
        <w:t xml:space="preserve">America</w:t>
      </w:r>
      <w:r>
        <w:t xml:space="preserve">. Grossman.</w:t>
      </w:r>
      <w:r>
        <w:t xml:space="preserve"> </w:t>
      </w:r>
      <w:hyperlink r:id="rId91">
        <w:r>
          <w:rPr>
            <w:rStyle w:val="Hyperlink"/>
          </w:rPr>
          <w:t xml:space="preserve">https://books.google.de/books?id=lGxoAAAAIAAJ</w:t>
        </w:r>
      </w:hyperlink>
      <w:r>
        <w:t xml:space="preserve">.</w:t>
      </w:r>
    </w:p>
    <w:bookmarkEnd w:id="92"/>
    <w:bookmarkStart w:id="94" w:name="ref-government_of_canada_gender_2023"/>
    <w:p>
      <w:pPr>
        <w:pStyle w:val="Bibliography"/>
      </w:pPr>
      <w:r>
        <w:t xml:space="preserve">Government of Canada, Statistics Canada. 2023a.</w:t>
      </w:r>
      <w:r>
        <w:t xml:space="preserve"> </w:t>
      </w:r>
      <w:r>
        <w:t xml:space="preserve">“Gender</w:t>
      </w:r>
      <w:r>
        <w:t xml:space="preserve"> </w:t>
      </w:r>
      <w:r>
        <w:t xml:space="preserve">Equality</w:t>
      </w:r>
      <w:r>
        <w:t xml:space="preserve"> </w:t>
      </w:r>
      <w:r>
        <w:t xml:space="preserve">Week</w:t>
      </w:r>
      <w:r>
        <w:t xml:space="preserve">:</w:t>
      </w:r>
      <w:r>
        <w:t xml:space="preserve"> </w:t>
      </w:r>
      <w:r>
        <w:t xml:space="preserve">Examining</w:t>
      </w:r>
      <w:r>
        <w:t xml:space="preserve"> </w:t>
      </w:r>
      <w:r>
        <w:t xml:space="preserve">the Intersectional Gender Wage Gap in</w:t>
      </w:r>
      <w:r>
        <w:t xml:space="preserve"> </w:t>
      </w:r>
      <w:r>
        <w:t xml:space="preserve">Canada</w:t>
      </w:r>
      <w:r>
        <w:t xml:space="preserve">.”</w:t>
      </w:r>
      <w:r>
        <w:t xml:space="preserve"> </w:t>
      </w:r>
      <w:hyperlink r:id="rId93">
        <w:r>
          <w:rPr>
            <w:rStyle w:val="Hyperlink"/>
          </w:rPr>
          <w:t xml:space="preserve">https://www.statcan.gc.ca/o1/en/plus/4555-gender-equality-week-examining-intersectional-gender-wage-gap-canada</w:t>
        </w:r>
      </w:hyperlink>
      <w:r>
        <w:t xml:space="preserve">.</w:t>
      </w:r>
    </w:p>
    <w:bookmarkEnd w:id="94"/>
    <w:bookmarkStart w:id="96" w:name="ref-government_of_canada_women_2023"/>
    <w:p>
      <w:pPr>
        <w:pStyle w:val="Bibliography"/>
      </w:pPr>
      <w:r>
        <w:t xml:space="preserve">———. 2023b.</w:t>
      </w:r>
      <w:r>
        <w:t xml:space="preserve"> </w:t>
      </w:r>
      <w:r>
        <w:t xml:space="preserve">“Women in the Labour Market:</w:t>
      </w:r>
      <w:r>
        <w:t xml:space="preserve"> </w:t>
      </w:r>
      <w:r>
        <w:t xml:space="preserve">Increased</w:t>
      </w:r>
      <w:r>
        <w:t xml:space="preserve"> </w:t>
      </w:r>
      <w:r>
        <w:t xml:space="preserve">Potential, Pay, and Participation.”</w:t>
      </w:r>
      <w:r>
        <w:t xml:space="preserve"> </w:t>
      </w:r>
      <w:hyperlink r:id="rId95">
        <w:r>
          <w:rPr>
            <w:rStyle w:val="Hyperlink"/>
          </w:rPr>
          <w:t xml:space="preserve">https://www.statcan.gc.ca/o1/en/plus/4823-women-labour-market-increased-potential-pay-and-participation</w:t>
        </w:r>
      </w:hyperlink>
      <w:r>
        <w:t xml:space="preserve">.</w:t>
      </w:r>
    </w:p>
    <w:bookmarkEnd w:id="96"/>
    <w:bookmarkStart w:id="97"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97"/>
    <w:bookmarkStart w:id="99"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Cs/>
          <w:i/>
        </w:rPr>
        <w:t xml:space="preserve">PLoS One</w:t>
      </w:r>
      <w:r>
        <w:t xml:space="preserve"> </w:t>
      </w:r>
      <w:r>
        <w:t xml:space="preserve">16 (5): e0250080.</w:t>
      </w:r>
      <w:r>
        <w:t xml:space="preserve"> </w:t>
      </w:r>
      <w:hyperlink r:id="rId98">
        <w:r>
          <w:rPr>
            <w:rStyle w:val="Hyperlink"/>
          </w:rPr>
          <w:t xml:space="preserve">https://doi.org/10.1371/journal.pone.0250080</w:t>
        </w:r>
      </w:hyperlink>
      <w:r>
        <w:t xml:space="preserve">.</w:t>
      </w:r>
    </w:p>
    <w:bookmarkEnd w:id="99"/>
    <w:bookmarkStart w:id="101"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 Australian Perspective.”</w:t>
      </w:r>
      <w:r>
        <w:t xml:space="preserve"> </w:t>
      </w:r>
      <w:r>
        <w:t xml:space="preserve">Journal Article.</w:t>
      </w:r>
      <w:r>
        <w:t xml:space="preserve"> </w:t>
      </w:r>
      <w:r>
        <w:rPr>
          <w:iCs/>
          <w:i/>
        </w:rPr>
        <w:t xml:space="preserve">Community, Work &amp; Family</w:t>
      </w:r>
      <w:r>
        <w:t xml:space="preserve"> </w:t>
      </w:r>
      <w:r>
        <w:t xml:space="preserve">20 (2): 201–10.</w:t>
      </w:r>
      <w:r>
        <w:t xml:space="preserve"> </w:t>
      </w:r>
      <w:hyperlink r:id="rId100">
        <w:r>
          <w:rPr>
            <w:rStyle w:val="Hyperlink"/>
          </w:rPr>
          <w:t xml:space="preserve">https://doi.org/10.1080/13668803.2016.1202194</w:t>
        </w:r>
      </w:hyperlink>
      <w:r>
        <w:t xml:space="preserve">.</w:t>
      </w:r>
    </w:p>
    <w:bookmarkEnd w:id="101"/>
    <w:bookmarkStart w:id="103" w:name="ref-hall_polycentricity_2009"/>
    <w:p>
      <w:pPr>
        <w:pStyle w:val="Bibliography"/>
      </w:pPr>
      <w:r>
        <w:t xml:space="preserve">Hall, Peter. 2009.</w:t>
      </w:r>
      <w:r>
        <w:t xml:space="preserve"> </w:t>
      </w:r>
      <w:r>
        <w:t xml:space="preserve">“Polycentricity.”</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Human</w:t>
      </w:r>
      <w:r>
        <w:rPr>
          <w:iCs/>
          <w:i/>
        </w:rPr>
        <w:t xml:space="preserve"> </w:t>
      </w:r>
      <w:r>
        <w:rPr>
          <w:iCs/>
          <w:i/>
        </w:rPr>
        <w:t xml:space="preserve">Geography</w:t>
      </w:r>
      <w:r>
        <w:t xml:space="preserve">, 213–17. Elsevier.</w:t>
      </w:r>
      <w:r>
        <w:t xml:space="preserve"> </w:t>
      </w:r>
      <w:hyperlink r:id="rId102">
        <w:r>
          <w:rPr>
            <w:rStyle w:val="Hyperlink"/>
          </w:rPr>
          <w:t xml:space="preserve">https://doi.org/10.1016/B978-0-08-102295-5.10415-9</w:t>
        </w:r>
      </w:hyperlink>
      <w:r>
        <w:t xml:space="preserve">.</w:t>
      </w:r>
    </w:p>
    <w:bookmarkEnd w:id="103"/>
    <w:bookmarkStart w:id="105"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04">
        <w:r>
          <w:rPr>
            <w:rStyle w:val="Hyperlink"/>
          </w:rPr>
          <w:t xml:space="preserve">https://open.hamilton.ca/datasets/cccae6f029334927856da6e20a50561f_19/explore</w:t>
        </w:r>
      </w:hyperlink>
      <w:r>
        <w:t xml:space="preserve">.</w:t>
      </w:r>
    </w:p>
    <w:bookmarkEnd w:id="105"/>
    <w:bookmarkStart w:id="107"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06">
        <w:r>
          <w:rPr>
            <w:rStyle w:val="Hyperlink"/>
          </w:rPr>
          <w:t xml:space="preserve">https://open.hamilton.ca/datasets/67a54ea25d944cf7b66750ba57da822c_1/explore?location=43.259483%2C-79.917850%2C11.81</w:t>
        </w:r>
      </w:hyperlink>
      <w:r>
        <w:t xml:space="preserve">.</w:t>
      </w:r>
    </w:p>
    <w:bookmarkEnd w:id="107"/>
    <w:bookmarkStart w:id="109"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08">
        <w:r>
          <w:rPr>
            <w:rStyle w:val="Hyperlink"/>
          </w:rPr>
          <w:t xml:space="preserve">https://open.hamilton.ca/datasets/4f1b554e743b423f9574e7a3ca814cce_6/explore?location=43.273379%2C-79.919100%2C11.87&amp;showTable=true</w:t>
        </w:r>
      </w:hyperlink>
      <w:r>
        <w:t xml:space="preserve">.</w:t>
      </w:r>
    </w:p>
    <w:bookmarkEnd w:id="109"/>
    <w:bookmarkStart w:id="111"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10">
        <w:r>
          <w:rPr>
            <w:rStyle w:val="Hyperlink"/>
          </w:rPr>
          <w:t xml:space="preserve">https://open.hamilton.ca/datasets/272667665de646768db14e9fa1676405_11/explore?location=43.278136%2C-79.921850%2C11.65</w:t>
        </w:r>
      </w:hyperlink>
      <w:r>
        <w:t xml:space="preserve">.</w:t>
      </w:r>
    </w:p>
    <w:bookmarkEnd w:id="111"/>
    <w:bookmarkStart w:id="113"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12">
        <w:r>
          <w:rPr>
            <w:rStyle w:val="Hyperlink"/>
          </w:rPr>
          <w:t xml:space="preserve">https://www.hamilton.ca/people-programs/early-years-child-care/child-care-services/child-care-registry</w:t>
        </w:r>
      </w:hyperlink>
      <w:r>
        <w:t xml:space="preserve">.</w:t>
      </w:r>
    </w:p>
    <w:bookmarkEnd w:id="113"/>
    <w:bookmarkStart w:id="115" w:name="ref-opendatahamiltonCityBoundary2023"/>
    <w:p>
      <w:pPr>
        <w:pStyle w:val="Bibliography"/>
      </w:pPr>
      <w:r>
        <w:t xml:space="preserve">———. 2023b.</w:t>
      </w:r>
      <w:r>
        <w:t xml:space="preserve"> </w:t>
      </w:r>
      <w:r>
        <w:t xml:space="preserve">“City Boundary.”</w:t>
      </w:r>
      <w:r>
        <w:t xml:space="preserve"> </w:t>
      </w:r>
      <w:hyperlink r:id="rId114">
        <w:r>
          <w:rPr>
            <w:rStyle w:val="Hyperlink"/>
          </w:rPr>
          <w:t xml:space="preserve">https://open.hamilton.ca/datasets/dd522e1245b1461887d998c6c17edff7_13/explore?location=43.099541%2C-79.560176%2C9.73</w:t>
        </w:r>
      </w:hyperlink>
      <w:r>
        <w:t xml:space="preserve">.</w:t>
      </w:r>
    </w:p>
    <w:bookmarkEnd w:id="115"/>
    <w:bookmarkStart w:id="117" w:name="ref-cityofhamiltonOpenData2023"/>
    <w:p>
      <w:pPr>
        <w:pStyle w:val="Bibliography"/>
      </w:pPr>
      <w:r>
        <w:t xml:space="preserve">———. 2023c.</w:t>
      </w:r>
      <w:r>
        <w:t xml:space="preserve"> </w:t>
      </w:r>
      <w:r>
        <w:t xml:space="preserve">“Hamilton Open Data Portal.”</w:t>
      </w:r>
      <w:r>
        <w:t xml:space="preserve"> </w:t>
      </w:r>
      <w:r>
        <w:t xml:space="preserve">Web Page.</w:t>
      </w:r>
      <w:r>
        <w:t xml:space="preserve"> </w:t>
      </w:r>
      <w:hyperlink r:id="rId116">
        <w:r>
          <w:rPr>
            <w:rStyle w:val="Hyperlink"/>
          </w:rPr>
          <w:t xml:space="preserve">https://open.hamilton.ca/</w:t>
        </w:r>
      </w:hyperlink>
      <w:r>
        <w:t xml:space="preserve">.</w:t>
      </w:r>
    </w:p>
    <w:bookmarkEnd w:id="117"/>
    <w:bookmarkStart w:id="119"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Cs/>
          <w:i/>
        </w:rPr>
        <w:t xml:space="preserve">Environment and Planning A: Economy and Space</w:t>
      </w:r>
      <w:r>
        <w:t xml:space="preserve"> </w:t>
      </w:r>
      <w:r>
        <w:t xml:space="preserve">29 (7): 1175–94.</w:t>
      </w:r>
      <w:r>
        <w:t xml:space="preserve"> </w:t>
      </w:r>
      <w:hyperlink r:id="rId118">
        <w:r>
          <w:rPr>
            <w:rStyle w:val="Hyperlink"/>
          </w:rPr>
          <w:t xml:space="preserve">https://doi.org/10.1068/a291175</w:t>
        </w:r>
      </w:hyperlink>
      <w:r>
        <w:t xml:space="preserve">.</w:t>
      </w:r>
    </w:p>
    <w:bookmarkEnd w:id="119"/>
    <w:bookmarkStart w:id="121" w:name="ref-hansonGenderMobilityNew2010"/>
    <w:p>
      <w:pPr>
        <w:pStyle w:val="Bibliography"/>
      </w:pPr>
      <w:r>
        <w:t xml:space="preserve">Hanson, Susan. 2010.</w:t>
      </w:r>
      <w:r>
        <w:t xml:space="preserve"> </w:t>
      </w:r>
      <w:r>
        <w:t xml:space="preserve">“Gender and Mobility: New Approaches for Informing Sustainability.”</w:t>
      </w:r>
      <w:r>
        <w:t xml:space="preserve"> </w:t>
      </w:r>
      <w:r>
        <w:t xml:space="preserve">Journal Article.</w:t>
      </w:r>
      <w:r>
        <w:t xml:space="preserve"> </w:t>
      </w:r>
      <w:r>
        <w:rPr>
          <w:iCs/>
          <w:i/>
        </w:rPr>
        <w:t xml:space="preserve">Gender, Place &amp; Culture</w:t>
      </w:r>
      <w:r>
        <w:t xml:space="preserve"> </w:t>
      </w:r>
      <w:r>
        <w:t xml:space="preserve">17 (1): 5–23.</w:t>
      </w:r>
      <w:r>
        <w:t xml:space="preserve"> </w:t>
      </w:r>
      <w:hyperlink r:id="rId120">
        <w:r>
          <w:rPr>
            <w:rStyle w:val="Hyperlink"/>
          </w:rPr>
          <w:t xml:space="preserve">https://doi.org/10.1080/09663690903498225</w:t>
        </w:r>
      </w:hyperlink>
      <w:r>
        <w:t xml:space="preserve">.</w:t>
      </w:r>
    </w:p>
    <w:bookmarkEnd w:id="121"/>
    <w:bookmarkStart w:id="123" w:name="ref-RN28"/>
    <w:p>
      <w:pPr>
        <w:pStyle w:val="Bibliography"/>
      </w:pPr>
      <w:r>
        <w:t xml:space="preserve">Hanson, Susan, and Geraldine Pratt. 1988.</w:t>
      </w:r>
      <w:r>
        <w:t xml:space="preserve"> </w:t>
      </w:r>
      <w:r>
        <w:t xml:space="preserve">“SPATIAL DIMENSIONS OF THE GENDER DIVISION OF LABOR IN a LOCAL LABOR MARKET.”</w:t>
      </w:r>
      <w:r>
        <w:t xml:space="preserve"> </w:t>
      </w:r>
      <w:r>
        <w:t xml:space="preserve">Journal Article.</w:t>
      </w:r>
      <w:r>
        <w:t xml:space="preserve"> </w:t>
      </w:r>
      <w:r>
        <w:rPr>
          <w:iCs/>
          <w:i/>
        </w:rPr>
        <w:t xml:space="preserve">Urban Geography</w:t>
      </w:r>
      <w:r>
        <w:t xml:space="preserve"> </w:t>
      </w:r>
      <w:r>
        <w:t xml:space="preserve">9 (2): 180–202.</w:t>
      </w:r>
      <w:r>
        <w:t xml:space="preserve"> </w:t>
      </w:r>
      <w:hyperlink r:id="rId122">
        <w:r>
          <w:rPr>
            <w:rStyle w:val="Hyperlink"/>
          </w:rPr>
          <w:t xml:space="preserve">https://doi.org/10.2747/0272-3638.9.2.180</w:t>
        </w:r>
      </w:hyperlink>
      <w:r>
        <w:t xml:space="preserve">.</w:t>
      </w:r>
    </w:p>
    <w:bookmarkEnd w:id="123"/>
    <w:bookmarkStart w:id="125"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24">
        <w:r>
          <w:rPr>
            <w:rStyle w:val="Hyperlink"/>
          </w:rPr>
          <w:t xml:space="preserve">https://www.hnhbhealthline.ca/listServices.aspx?id=10072&amp;region=Hamilton</w:t>
        </w:r>
      </w:hyperlink>
      <w:r>
        <w:t xml:space="preserve">.</w:t>
      </w:r>
    </w:p>
    <w:bookmarkEnd w:id="125"/>
    <w:bookmarkStart w:id="127" w:name="ref-hochschild_second_2012"/>
    <w:p>
      <w:pPr>
        <w:pStyle w:val="Bibliography"/>
      </w:pPr>
      <w:r>
        <w:t xml:space="preserve">Hochschild, Arlie, and Anne Machung. 2012.</w:t>
      </w:r>
      <w:r>
        <w:t xml:space="preserve"> </w:t>
      </w:r>
      <w:r>
        <w:rPr>
          <w:iCs/>
          <w:i/>
        </w:rPr>
        <w:t xml:space="preserve">The Second Shift:</w:t>
      </w:r>
      <w:r>
        <w:rPr>
          <w:iCs/>
          <w:i/>
        </w:rPr>
        <w:t xml:space="preserve"> </w:t>
      </w:r>
      <w:r>
        <w:rPr>
          <w:iCs/>
          <w:i/>
        </w:rPr>
        <w:t xml:space="preserve">Working</w:t>
      </w:r>
      <w:r>
        <w:rPr>
          <w:iCs/>
          <w:i/>
        </w:rPr>
        <w:t xml:space="preserve"> </w:t>
      </w:r>
      <w:r>
        <w:rPr>
          <w:iCs/>
          <w:i/>
        </w:rPr>
        <w:t xml:space="preserve">Families and the Revolution at Home</w:t>
      </w:r>
      <w:r>
        <w:t xml:space="preserve">. Penguin.</w:t>
      </w:r>
      <w:r>
        <w:t xml:space="preserve"> </w:t>
      </w:r>
      <w:hyperlink r:id="rId126">
        <w:r>
          <w:rPr>
            <w:rStyle w:val="Hyperlink"/>
          </w:rPr>
          <w:t xml:space="preserve">https://books.google.de/books?hl=de&amp;lr=&amp;id=St_6kWcPJS8C&amp;oi=fnd&amp;pg=PT25&amp;ots=8IZZkZu4cf&amp;sig=W1cAH6vLmc8SUYRgLvUUz3zfHWs&amp;redir_esc=y#v=onepage&amp;q&amp;f=false</w:t>
        </w:r>
      </w:hyperlink>
      <w:r>
        <w:t xml:space="preserve">.</w:t>
      </w:r>
    </w:p>
    <w:bookmarkEnd w:id="127"/>
    <w:bookmarkStart w:id="129"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28">
        <w:r>
          <w:rPr>
            <w:rStyle w:val="Hyperlink"/>
          </w:rPr>
          <w:t xml:space="preserve">https://www.hsbc.ca/branch-locator/</w:t>
        </w:r>
      </w:hyperlink>
      <w:r>
        <w:t xml:space="preserve">.</w:t>
      </w:r>
    </w:p>
    <w:bookmarkEnd w:id="129"/>
    <w:bookmarkStart w:id="131"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30">
        <w:r>
          <w:rPr>
            <w:rStyle w:val="Hyperlink"/>
          </w:rPr>
          <w:t xml:space="preserve">https://webapps.ilo.org/wcmsp5/groups/public/---dgreports/---dcomm/---publ/documents/publication/wcms_633135.pdf</w:t>
        </w:r>
      </w:hyperlink>
      <w:r>
        <w:t xml:space="preserve">.</w:t>
      </w:r>
    </w:p>
    <w:bookmarkEnd w:id="131"/>
    <w:bookmarkStart w:id="133"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r>
        <w:t xml:space="preserve"> </w:t>
      </w:r>
      <w:hyperlink r:id="rId132">
        <w:r>
          <w:rPr>
            <w:rStyle w:val="Hyperlink"/>
          </w:rPr>
          <w:t xml:space="preserve">https://doi.org/10.1191/030913299666161864</w:t>
        </w:r>
      </w:hyperlink>
      <w:r>
        <w:t xml:space="preserve">.</w:t>
      </w:r>
    </w:p>
    <w:bookmarkEnd w:id="133"/>
    <w:bookmarkStart w:id="134" w:name="ref-levy1991towards"/>
    <w:p>
      <w:pPr>
        <w:pStyle w:val="Bibliography"/>
      </w:pPr>
      <w:r>
        <w:t xml:space="preserve">Levy, Caren. 1991.</w:t>
      </w:r>
      <w:r>
        <w:t xml:space="preserve"> </w:t>
      </w:r>
      <w:r>
        <w:t xml:space="preserve">“Towards Gender-Aware Urban Transport Planning.”</w:t>
      </w:r>
    </w:p>
    <w:bookmarkEnd w:id="134"/>
    <w:bookmarkStart w:id="135" w:name="ref-Oestergaard1992"/>
    <w:p>
      <w:pPr>
        <w:pStyle w:val="Bibliography"/>
      </w:pPr>
      <w:r>
        <w:t xml:space="preserve">———. 1992.</w:t>
      </w:r>
      <w:r>
        <w:t xml:space="preserve"> </w:t>
      </w:r>
      <w:r>
        <w:t xml:space="preserve">“Transport.”</w:t>
      </w:r>
      <w:r>
        <w:t xml:space="preserve"> </w:t>
      </w:r>
      <w:r>
        <w:t xml:space="preserve">In</w:t>
      </w:r>
      <w:r>
        <w:t xml:space="preserve"> </w:t>
      </w:r>
      <w:r>
        <w:rPr>
          <w:iCs/>
          <w:i/>
        </w:rPr>
        <w:t xml:space="preserve">Gender and Development : A Practical Guide</w:t>
      </w:r>
      <w:r>
        <w:t xml:space="preserve">, edited by Lise Oestergaard. London: Routledge.</w:t>
      </w:r>
    </w:p>
    <w:bookmarkEnd w:id="135"/>
    <w:bookmarkStart w:id="136" w:name="ref-levy2013travel"/>
    <w:p>
      <w:pPr>
        <w:pStyle w:val="Bibliography"/>
      </w:pPr>
      <w:r>
        <w:t xml:space="preserve">———. 2013.</w:t>
      </w:r>
      <w:r>
        <w:t xml:space="preserve"> </w:t>
      </w:r>
      <w:r>
        <w:t xml:space="preserve">“Travel Choice Reframed:</w:t>
      </w:r>
      <w:r>
        <w:t xml:space="preserve">‘deep Distribution’</w:t>
      </w:r>
      <w:r>
        <w:t xml:space="preserve"> </w:t>
      </w:r>
      <w:r>
        <w:t xml:space="preserve">and Gender in Urban Transport.”</w:t>
      </w:r>
      <w:r>
        <w:t xml:space="preserve"> </w:t>
      </w:r>
      <w:r>
        <w:rPr>
          <w:iCs/>
          <w:i/>
        </w:rPr>
        <w:t xml:space="preserve">Environment and Urbanization</w:t>
      </w:r>
      <w:r>
        <w:t xml:space="preserve"> </w:t>
      </w:r>
      <w:r>
        <w:t xml:space="preserve">25 (1): 47–63.</w:t>
      </w:r>
    </w:p>
    <w:bookmarkEnd w:id="136"/>
    <w:bookmarkStart w:id="138" w:name="ref-little_gender_1994"/>
    <w:p>
      <w:pPr>
        <w:pStyle w:val="Bibliography"/>
      </w:pPr>
      <w:r>
        <w:t xml:space="preserve">Little, Joe. 1994.</w:t>
      </w:r>
      <w:r>
        <w:t xml:space="preserve"> </w:t>
      </w:r>
      <w:r>
        <w:rPr>
          <w:iCs/>
          <w:i/>
        </w:rPr>
        <w:t xml:space="preserve">Gender,</w:t>
      </w:r>
      <w:r>
        <w:rPr>
          <w:iCs/>
          <w:i/>
        </w:rPr>
        <w:t xml:space="preserve"> </w:t>
      </w:r>
      <w:r>
        <w:rPr>
          <w:iCs/>
          <w:i/>
        </w:rPr>
        <w:t xml:space="preserve">Planning</w:t>
      </w:r>
      <w:r>
        <w:rPr>
          <w:iCs/>
          <w:i/>
        </w:rPr>
        <w:t xml:space="preserve">, and the</w:t>
      </w:r>
      <w:r>
        <w:rPr>
          <w:iCs/>
          <w:i/>
        </w:rPr>
        <w:t xml:space="preserve"> </w:t>
      </w:r>
      <w:r>
        <w:rPr>
          <w:iCs/>
          <w:i/>
        </w:rPr>
        <w:t xml:space="preserve">Policy</w:t>
      </w:r>
      <w:r>
        <w:rPr>
          <w:iCs/>
          <w:i/>
        </w:rPr>
        <w:t xml:space="preserve"> </w:t>
      </w:r>
      <w:r>
        <w:rPr>
          <w:iCs/>
          <w:i/>
        </w:rPr>
        <w:t xml:space="preserve">Process</w:t>
      </w:r>
      <w:r>
        <w:t xml:space="preserve">. Pergamon Press.</w:t>
      </w:r>
      <w:r>
        <w:t xml:space="preserve"> </w:t>
      </w:r>
      <w:hyperlink r:id="rId137">
        <w:r>
          <w:rPr>
            <w:rStyle w:val="Hyperlink"/>
          </w:rPr>
          <w:t xml:space="preserve">https://books.google.de/books/about/Gender_Planning_and_the_Policy_Process.html?id=h1y0AAAAIAAJ&amp;redir_esc=y</w:t>
        </w:r>
      </w:hyperlink>
      <w:r>
        <w:t xml:space="preserve">.</w:t>
      </w:r>
    </w:p>
    <w:bookmarkEnd w:id="138"/>
    <w:bookmarkStart w:id="139"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Cs/>
          <w:i/>
        </w:rPr>
        <w:t xml:space="preserve">Cities</w:t>
      </w:r>
      <w:r>
        <w:t xml:space="preserve"> </w:t>
      </w:r>
      <w:r>
        <w:t xml:space="preserve">131: 103924.</w:t>
      </w:r>
    </w:p>
    <w:bookmarkEnd w:id="139"/>
    <w:bookmarkStart w:id="141"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Cs/>
          <w:i/>
        </w:rPr>
        <w:t xml:space="preserve">Preventive Medicine</w:t>
      </w:r>
      <w:r>
        <w:t xml:space="preserve"> </w:t>
      </w:r>
      <w:r>
        <w:t xml:space="preserve">103 (October): S99–103.</w:t>
      </w:r>
      <w:r>
        <w:t xml:space="preserve"> </w:t>
      </w:r>
      <w:hyperlink r:id="rId140">
        <w:r>
          <w:rPr>
            <w:rStyle w:val="Hyperlink"/>
          </w:rPr>
          <w:t xml:space="preserve">https://doi.org/10.1016/j.ypmed.2016.08.042</w:t>
        </w:r>
      </w:hyperlink>
      <w:r>
        <w:t xml:space="preserve">.</w:t>
      </w:r>
    </w:p>
    <w:bookmarkEnd w:id="141"/>
    <w:bookmarkStart w:id="143" w:name="ref-maciejewskaHaveChildrenThus2019"/>
    <w:p>
      <w:pPr>
        <w:pStyle w:val="Bibliography"/>
      </w:pPr>
      <w:r>
        <w:t xml:space="preserve">Maciejewska, Monika, and Carme Miralles-Guasch. 2019.</w:t>
      </w:r>
      <w:r>
        <w:t xml:space="preserve"> </w:t>
      </w:r>
      <w:r>
        <w:t xml:space="preserve">“</w:t>
      </w:r>
      <w:r>
        <w:t xml:space="preserve">‘I Have Children and Thus i Drive’</w:t>
      </w:r>
      <w:r>
        <w:t xml:space="preserve">: Perceptions and Motivations of Modal Choice Among Suburban Commuting Mothers.”</w:t>
      </w:r>
      <w:r>
        <w:t xml:space="preserve"> </w:t>
      </w:r>
      <w:r>
        <w:t xml:space="preserve">Journal Article.</w:t>
      </w:r>
      <w:r>
        <w:t xml:space="preserve"> </w:t>
      </w:r>
      <w:r>
        <w:rPr>
          <w:iCs/>
          <w:i/>
        </w:rPr>
        <w:t xml:space="preserve">Finisterra</w:t>
      </w:r>
      <w:r>
        <w:t xml:space="preserve"> </w:t>
      </w:r>
      <w:r>
        <w:t xml:space="preserve">110: 55–74.</w:t>
      </w:r>
      <w:r>
        <w:t xml:space="preserve"> </w:t>
      </w:r>
      <w:hyperlink r:id="rId142">
        <w:r>
          <w:rPr>
            <w:rStyle w:val="Hyperlink"/>
          </w:rPr>
          <w:t xml:space="preserve">https://doi.org/10.18055/Finis16035</w:t>
        </w:r>
      </w:hyperlink>
      <w:r>
        <w:t xml:space="preserve">.</w:t>
      </w:r>
    </w:p>
    <w:bookmarkEnd w:id="143"/>
    <w:bookmarkStart w:id="145"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44">
        <w:r>
          <w:rPr>
            <w:rStyle w:val="Hyperlink"/>
          </w:rPr>
          <w:t xml:space="preserve">https://frw.studenttheses.ub.rug.nl/3996/</w:t>
        </w:r>
      </w:hyperlink>
      <w:r>
        <w:t xml:space="preserve">.</w:t>
      </w:r>
    </w:p>
    <w:bookmarkEnd w:id="145"/>
    <w:bookmarkStart w:id="147" w:name="ref-RN32"/>
    <w:p>
      <w:pPr>
        <w:pStyle w:val="Bibliography"/>
      </w:pPr>
      <w:r>
        <w:t xml:space="preserve">Matsuo, Miwa. 2020.</w:t>
      </w:r>
      <w:r>
        <w:t xml:space="preserve"> </w:t>
      </w:r>
      <w:r>
        <w:t xml:space="preserve">“Carpooling and Drivers Without Household Vehicles: Gender Disparity in Automobility Among Hispanics and Non-Hispanics in the u.s.”</w:t>
      </w:r>
      <w:r>
        <w:t xml:space="preserve"> </w:t>
      </w:r>
      <w:r>
        <w:t xml:space="preserve">Journal Article.</w:t>
      </w:r>
      <w:r>
        <w:t xml:space="preserve"> </w:t>
      </w:r>
      <w:r>
        <w:rPr>
          <w:iCs/>
          <w:i/>
        </w:rPr>
        <w:t xml:space="preserve">Transportation</w:t>
      </w:r>
      <w:r>
        <w:t xml:space="preserve"> </w:t>
      </w:r>
      <w:r>
        <w:t xml:space="preserve">47 (4): 1631–63.</w:t>
      </w:r>
      <w:r>
        <w:t xml:space="preserve"> </w:t>
      </w:r>
      <w:hyperlink r:id="rId146">
        <w:r>
          <w:rPr>
            <w:rStyle w:val="Hyperlink"/>
          </w:rPr>
          <w:t xml:space="preserve">https://doi.org/10.1007/s11116-019-09974-w</w:t>
        </w:r>
      </w:hyperlink>
      <w:r>
        <w:t xml:space="preserve">.</w:t>
      </w:r>
    </w:p>
    <w:bookmarkEnd w:id="147"/>
    <w:bookmarkStart w:id="149"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Cs/>
          <w:i/>
        </w:rPr>
        <w:t xml:space="preserve">Journal of Transport and Land Use</w:t>
      </w:r>
      <w:r>
        <w:t xml:space="preserve"> </w:t>
      </w:r>
      <w:r>
        <w:t xml:space="preserve">11 (1): 681–700.</w:t>
      </w:r>
      <w:r>
        <w:t xml:space="preserve"> </w:t>
      </w:r>
      <w:hyperlink r:id="rId148">
        <w:r>
          <w:rPr>
            <w:rStyle w:val="Hyperlink"/>
          </w:rPr>
          <w:t xml:space="preserve">https://www.jstor.org/stable/26622423</w:t>
        </w:r>
      </w:hyperlink>
      <w:r>
        <w:t xml:space="preserve">.</w:t>
      </w:r>
    </w:p>
    <w:bookmarkEnd w:id="149"/>
    <w:bookmarkStart w:id="151" w:name="ref-RN14"/>
    <w:p>
      <w:pPr>
        <w:pStyle w:val="Bibliography"/>
      </w:pPr>
      <w:r>
        <w:t xml:space="preserve">McIlvenny, P. 2015.</w:t>
      </w:r>
      <w:r>
        <w:t xml:space="preserve"> </w:t>
      </w:r>
      <w:r>
        <w:t xml:space="preserve">“The Joy of Biking Together: Sharing Everyday Experiences of Vélomobility.”</w:t>
      </w:r>
      <w:r>
        <w:t xml:space="preserve"> </w:t>
      </w:r>
      <w:r>
        <w:t xml:space="preserve">Journal Article.</w:t>
      </w:r>
      <w:r>
        <w:t xml:space="preserve"> </w:t>
      </w:r>
      <w:r>
        <w:rPr>
          <w:iCs/>
          <w:i/>
        </w:rPr>
        <w:t xml:space="preserve">Mobilities</w:t>
      </w:r>
      <w:r>
        <w:t xml:space="preserve"> </w:t>
      </w:r>
      <w:r>
        <w:t xml:space="preserve">10 (1): 55–82.</w:t>
      </w:r>
      <w:r>
        <w:t xml:space="preserve"> </w:t>
      </w:r>
      <w:hyperlink r:id="rId150">
        <w:r>
          <w:rPr>
            <w:rStyle w:val="Hyperlink"/>
          </w:rPr>
          <w:t xml:space="preserve">https://doi.org/10.1080/17450101.2013.844950</w:t>
        </w:r>
      </w:hyperlink>
      <w:r>
        <w:t xml:space="preserve">.</w:t>
      </w:r>
    </w:p>
    <w:bookmarkEnd w:id="151"/>
    <w:bookmarkStart w:id="153" w:name="ref-mejiadorantes_discussing_2019"/>
    <w:p>
      <w:pPr>
        <w:pStyle w:val="Bibliography"/>
      </w:pPr>
      <w:r>
        <w:t xml:space="preserve">Mejia-Dorantes, Lucia. 2019.</w:t>
      </w:r>
      <w:r>
        <w:t xml:space="preserve"> </w:t>
      </w:r>
      <w:r>
        <w:t xml:space="preserve">“Discussing Measures to Reduce the Gender Gap in Transport Companies:</w:t>
      </w:r>
      <w:r>
        <w:t xml:space="preserve"> </w:t>
      </w:r>
      <w:r>
        <w:t xml:space="preserve">A</w:t>
      </w:r>
      <w:r>
        <w:t xml:space="preserve"> </w:t>
      </w:r>
      <w:r>
        <w:t xml:space="preserve">Qualitative Approach.”</w:t>
      </w:r>
      <w:r>
        <w:t xml:space="preserve"> </w:t>
      </w:r>
      <w:r>
        <w:rPr>
          <w:iCs/>
          <w:i/>
        </w:rPr>
        <w:t xml:space="preserve">Research in Transportation Business &amp; Management</w:t>
      </w:r>
      <w:r>
        <w:t xml:space="preserve"> </w:t>
      </w:r>
      <w:r>
        <w:t xml:space="preserve">31 (June): 100416.</w:t>
      </w:r>
      <w:r>
        <w:t xml:space="preserve"> </w:t>
      </w:r>
      <w:hyperlink r:id="rId152">
        <w:r>
          <w:rPr>
            <w:rStyle w:val="Hyperlink"/>
          </w:rPr>
          <w:t xml:space="preserve">https://doi.org/10.1016/j.rtbm.2019.100416</w:t>
        </w:r>
      </w:hyperlink>
      <w:r>
        <w:t xml:space="preserve">.</w:t>
      </w:r>
    </w:p>
    <w:bookmarkEnd w:id="153"/>
    <w:bookmarkStart w:id="155" w:name="ref-mejia2021mobility"/>
    <w:p>
      <w:pPr>
        <w:pStyle w:val="Bibliography"/>
      </w:pPr>
      <w:r>
        <w:t xml:space="preserve">Mejía-Dorantes, Lucía, Lídia Montero, and Jaume Barceló. 2021.</w:t>
      </w:r>
      <w:r>
        <w:t xml:space="preserve"> </w:t>
      </w:r>
      <w:r>
        <w:t xml:space="preserve">“Mobility</w:t>
      </w:r>
      <w:r>
        <w:t xml:space="preserve"> </w:t>
      </w:r>
      <w:r>
        <w:t xml:space="preserve">Trends</w:t>
      </w:r>
      <w:r>
        <w:t xml:space="preserve"> </w:t>
      </w:r>
      <w:r>
        <w:t xml:space="preserve">Before and After the</w:t>
      </w:r>
      <w:r>
        <w:t xml:space="preserve"> </w:t>
      </w:r>
      <w:r>
        <w:t xml:space="preserve">Pandemic</w:t>
      </w:r>
      <w:r>
        <w:t xml:space="preserve"> </w:t>
      </w:r>
      <w:r>
        <w:t xml:space="preserve">Outbreak</w:t>
      </w:r>
      <w:r>
        <w:t xml:space="preserve">:</w:t>
      </w:r>
      <w:r>
        <w:t xml:space="preserve"> </w:t>
      </w:r>
      <w:r>
        <w:t xml:space="preserve">Analyzing</w:t>
      </w:r>
      <w:r>
        <w:t xml:space="preserve"> </w:t>
      </w:r>
      <w:r>
        <w:t xml:space="preserve">the</w:t>
      </w:r>
      <w:r>
        <w:t xml:space="preserve"> </w:t>
      </w:r>
      <w:r>
        <w:t xml:space="preserve">Metropolitan</w:t>
      </w:r>
      <w:r>
        <w:t xml:space="preserve"> </w:t>
      </w:r>
      <w:r>
        <w:t xml:space="preserve">Area</w:t>
      </w:r>
      <w:r>
        <w:t xml:space="preserve"> </w:t>
      </w:r>
      <w:r>
        <w:t xml:space="preserve">of</w:t>
      </w:r>
      <w:r>
        <w:t xml:space="preserve"> </w:t>
      </w:r>
      <w:r>
        <w:t xml:space="preserve">Barcelona</w:t>
      </w:r>
      <w:r>
        <w:t xml:space="preserve"> </w:t>
      </w:r>
      <w:r>
        <w:t xml:space="preserve">Through the</w:t>
      </w:r>
      <w:r>
        <w:t xml:space="preserve"> </w:t>
      </w:r>
      <w:r>
        <w:t xml:space="preserve">Lens</w:t>
      </w:r>
      <w:r>
        <w:t xml:space="preserve"> </w:t>
      </w:r>
      <w:r>
        <w:t xml:space="preserve">of</w:t>
      </w:r>
      <w:r>
        <w:t xml:space="preserve"> </w:t>
      </w:r>
      <w:r>
        <w:t xml:space="preserve">Equality</w:t>
      </w:r>
      <w:r>
        <w:t xml:space="preserve"> </w:t>
      </w:r>
      <w:r>
        <w:t xml:space="preserve">and</w:t>
      </w:r>
      <w:r>
        <w:t xml:space="preserve"> </w:t>
      </w:r>
      <w:r>
        <w:t xml:space="preserve">Sustainability</w:t>
      </w:r>
      <w:r>
        <w:t xml:space="preserve">.”</w:t>
      </w:r>
      <w:r>
        <w:t xml:space="preserve"> </w:t>
      </w:r>
      <w:r>
        <w:rPr>
          <w:iCs/>
          <w:i/>
        </w:rPr>
        <w:t xml:space="preserve">Sustainability</w:t>
      </w:r>
      <w:r>
        <w:t xml:space="preserve"> </w:t>
      </w:r>
      <w:r>
        <w:t xml:space="preserve">13 (14): 7908.</w:t>
      </w:r>
      <w:r>
        <w:t xml:space="preserve"> </w:t>
      </w:r>
      <w:hyperlink r:id="rId154">
        <w:r>
          <w:rPr>
            <w:rStyle w:val="Hyperlink"/>
          </w:rPr>
          <w:t xml:space="preserve">https://doi.org/10.3390/su13147908</w:t>
        </w:r>
      </w:hyperlink>
      <w:r>
        <w:t xml:space="preserve">.</w:t>
      </w:r>
    </w:p>
    <w:bookmarkEnd w:id="155"/>
    <w:bookmarkStart w:id="157"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Cs/>
          <w:i/>
        </w:rPr>
        <w:t xml:space="preserve">Smart Cities</w:t>
      </w:r>
      <w:r>
        <w:t xml:space="preserve"> </w:t>
      </w:r>
      <w:r>
        <w:t xml:space="preserve">4 (1): 93–111.</w:t>
      </w:r>
      <w:r>
        <w:t xml:space="preserve"> </w:t>
      </w:r>
      <w:hyperlink r:id="rId156">
        <w:r>
          <w:rPr>
            <w:rStyle w:val="Hyperlink"/>
          </w:rPr>
          <w:t xml:space="preserve">https://doi.org/10.3390/smartcities4010006</w:t>
        </w:r>
      </w:hyperlink>
      <w:r>
        <w:t xml:space="preserve">.</w:t>
      </w:r>
    </w:p>
    <w:bookmarkEnd w:id="157"/>
    <w:bookmarkStart w:id="159"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Cs/>
          <w:i/>
        </w:rPr>
        <w:t xml:space="preserve">Journal of Transport &amp; Health</w:t>
      </w:r>
      <w:r>
        <w:t xml:space="preserve"> </w:t>
      </w:r>
      <w:r>
        <w:t xml:space="preserve">32: 101668. https://doi.org/</w:t>
      </w:r>
      <w:hyperlink r:id="rId158">
        <w:r>
          <w:rPr>
            <w:rStyle w:val="Hyperlink"/>
          </w:rPr>
          <w:t xml:space="preserve">https://doi.org/10.1016/j.jth.2023.101668</w:t>
        </w:r>
      </w:hyperlink>
      <w:r>
        <w:t xml:space="preserve">.</w:t>
      </w:r>
    </w:p>
    <w:bookmarkEnd w:id="159"/>
    <w:bookmarkStart w:id="161" w:name="ref-RN4"/>
    <w:p>
      <w:pPr>
        <w:pStyle w:val="Bibliography"/>
      </w:pPr>
      <w:r>
        <w:t xml:space="preserve">Moyser, M., and A. Burlock. 2018.</w:t>
      </w:r>
      <w:r>
        <w:t xml:space="preserve"> </w:t>
      </w:r>
      <w:r>
        <w:t xml:space="preserve">“Time Use: Total Work Burden, Unpaid Work, and Leisure.”</w:t>
      </w:r>
      <w:r>
        <w:t xml:space="preserve"> </w:t>
      </w:r>
      <w:r>
        <w:t xml:space="preserve">Report. Statistics Canada.</w:t>
      </w:r>
      <w:r>
        <w:t xml:space="preserve"> </w:t>
      </w:r>
      <w:hyperlink r:id="rId160">
        <w:r>
          <w:rPr>
            <w:rStyle w:val="Hyperlink"/>
          </w:rPr>
          <w:t xml:space="preserve">https://www150.statcan.gc.ca/n1/pub/89-503-x/2015001/article/54931-eng.htm</w:t>
        </w:r>
      </w:hyperlink>
      <w:r>
        <w:t xml:space="preserve">.</w:t>
      </w:r>
    </w:p>
    <w:bookmarkEnd w:id="161"/>
    <w:bookmarkStart w:id="163"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Cs/>
          <w:i/>
        </w:rPr>
        <w:t xml:space="preserve">Journal of Environmental Psychology</w:t>
      </w:r>
      <w:r>
        <w:t xml:space="preserve"> </w:t>
      </w:r>
      <w:r>
        <w:t xml:space="preserve">31 (1): 45–51. https://doi.org/</w:t>
      </w:r>
      <w:hyperlink r:id="rId162">
        <w:r>
          <w:rPr>
            <w:rStyle w:val="Hyperlink"/>
          </w:rPr>
          <w:t xml:space="preserve">https://doi.org/10.1016/j.jenvp.2010.04.005</w:t>
        </w:r>
      </w:hyperlink>
      <w:r>
        <w:t xml:space="preserve">.</w:t>
      </w:r>
    </w:p>
    <w:bookmarkEnd w:id="163"/>
    <w:bookmarkStart w:id="165"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164">
        <w:r>
          <w:rPr>
            <w:rStyle w:val="Hyperlink"/>
          </w:rPr>
          <w:t xml:space="preserve">https://locator.nbc.ca/?=&amp;referrerPageUrl=https%3A%2F%2Fwww.google.com%2F&amp;query=&amp;facetFilters=%7B%7D&amp;filters=%7B%7D</w:t>
        </w:r>
      </w:hyperlink>
      <w:r>
        <w:t xml:space="preserve">.</w:t>
      </w:r>
    </w:p>
    <w:bookmarkEnd w:id="165"/>
    <w:bookmarkStart w:id="167"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Cs/>
          <w:i/>
        </w:rPr>
        <w:t xml:space="preserve">Journal of Urbanism: International Research on Placemaking and Urban Sustainability</w:t>
      </w:r>
      <w:r>
        <w:t xml:space="preserve"> </w:t>
      </w:r>
      <w:r>
        <w:t xml:space="preserve">9 (1): 51–72.</w:t>
      </w:r>
      <w:r>
        <w:t xml:space="preserve"> </w:t>
      </w:r>
      <w:hyperlink r:id="rId166">
        <w:r>
          <w:rPr>
            <w:rStyle w:val="Hyperlink"/>
          </w:rPr>
          <w:t xml:space="preserve">https://doi.org/10.1080/17549175.2014.990916</w:t>
        </w:r>
      </w:hyperlink>
      <w:r>
        <w:t xml:space="preserve">.</w:t>
      </w:r>
    </w:p>
    <w:bookmarkEnd w:id="167"/>
    <w:bookmarkStart w:id="169" w:name="ref-RN18"/>
    <w:p>
      <w:pPr>
        <w:pStyle w:val="Bibliography"/>
      </w:pPr>
      <w:r>
        <w:t xml:space="preserve">Niedzielski, Michał A. 2021.</w:t>
      </w:r>
      <w:r>
        <w:t xml:space="preserve"> </w:t>
      </w:r>
      <w:r>
        <w:t xml:space="preserve">“Grocery Store Accessibility: Different Metrics – Different Modal Disparity Results and Spatial Patterns.”</w:t>
      </w:r>
      <w:r>
        <w:t xml:space="preserve"> </w:t>
      </w:r>
      <w:r>
        <w:t xml:space="preserve">Journal Article.</w:t>
      </w:r>
      <w:r>
        <w:t xml:space="preserve"> </w:t>
      </w:r>
      <w:r>
        <w:rPr>
          <w:iCs/>
          <w:i/>
        </w:rPr>
        <w:t xml:space="preserve">Journal of Transport Geography</w:t>
      </w:r>
      <w:r>
        <w:t xml:space="preserve"> </w:t>
      </w:r>
      <w:r>
        <w:t xml:space="preserve">96: 103160. https://doi.org/</w:t>
      </w:r>
      <w:hyperlink r:id="rId168">
        <w:r>
          <w:rPr>
            <w:rStyle w:val="Hyperlink"/>
          </w:rPr>
          <w:t xml:space="preserve">https://doi.org/10.1016/j.jtrangeo.2021.103160</w:t>
        </w:r>
      </w:hyperlink>
      <w:r>
        <w:t xml:space="preserve">.</w:t>
      </w:r>
    </w:p>
    <w:bookmarkEnd w:id="169"/>
    <w:bookmarkStart w:id="171"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Cs/>
          <w:i/>
        </w:rPr>
        <w:t xml:space="preserve">Preventive Medicine</w:t>
      </w:r>
      <w:r>
        <w:t xml:space="preserve"> </w:t>
      </w:r>
      <w:r>
        <w:t xml:space="preserve">118: 191–95. https://doi.org/</w:t>
      </w:r>
      <w:hyperlink r:id="rId170">
        <w:r>
          <w:rPr>
            <w:rStyle w:val="Hyperlink"/>
          </w:rPr>
          <w:t xml:space="preserve">https://doi.org/10.1016/j.ypmed.2018.10.016</w:t>
        </w:r>
      </w:hyperlink>
      <w:r>
        <w:t xml:space="preserve">.</w:t>
      </w:r>
    </w:p>
    <w:bookmarkEnd w:id="171"/>
    <w:bookmarkStart w:id="173" w:name="ref-RN31"/>
    <w:p>
      <w:pPr>
        <w:pStyle w:val="Bibliography"/>
      </w:pPr>
      <w:r>
        <w:t xml:space="preserve">Ong, Paul M., and Douglas Miller. 2005.</w:t>
      </w:r>
      <w:r>
        <w:t xml:space="preserve"> </w:t>
      </w:r>
      <w:r>
        <w:t xml:space="preserve">“Spatial and Transportation Mismatch in Los Angeles.”</w:t>
      </w:r>
      <w:r>
        <w:t xml:space="preserve"> </w:t>
      </w:r>
      <w:r>
        <w:t xml:space="preserve">Journal Article.</w:t>
      </w:r>
      <w:r>
        <w:t xml:space="preserve"> </w:t>
      </w:r>
      <w:r>
        <w:rPr>
          <w:iCs/>
          <w:i/>
        </w:rPr>
        <w:t xml:space="preserve">Journal of Planning Education and Research</w:t>
      </w:r>
      <w:r>
        <w:t xml:space="preserve"> </w:t>
      </w:r>
      <w:r>
        <w:t xml:space="preserve">25 (1): 43–56.</w:t>
      </w:r>
      <w:r>
        <w:t xml:space="preserve"> </w:t>
      </w:r>
      <w:hyperlink r:id="rId172">
        <w:r>
          <w:rPr>
            <w:rStyle w:val="Hyperlink"/>
          </w:rPr>
          <w:t xml:space="preserve">https://doi.org/10.1177/0739456x04270244</w:t>
        </w:r>
      </w:hyperlink>
      <w:r>
        <w:t xml:space="preserve">.</w:t>
      </w:r>
    </w:p>
    <w:bookmarkEnd w:id="173"/>
    <w:bookmarkStart w:id="175"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174">
        <w:r>
          <w:rPr>
            <w:rStyle w:val="Hyperlink"/>
          </w:rPr>
          <w:t xml:space="preserve">https://efis.fma.csc.gov.on.ca/faab/Section%2023.htm</w:t>
        </w:r>
      </w:hyperlink>
      <w:r>
        <w:t xml:space="preserve">.</w:t>
      </w:r>
    </w:p>
    <w:bookmarkEnd w:id="175"/>
    <w:bookmarkStart w:id="177"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176">
        <w:r>
          <w:rPr>
            <w:rStyle w:val="Hyperlink"/>
          </w:rPr>
          <w:t xml:space="preserve">https://data.ontario.ca/</w:t>
        </w:r>
      </w:hyperlink>
      <w:r>
        <w:t xml:space="preserve">.</w:t>
      </w:r>
    </w:p>
    <w:bookmarkEnd w:id="177"/>
    <w:bookmarkStart w:id="179"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178">
        <w:r>
          <w:rPr>
            <w:rStyle w:val="Hyperlink"/>
          </w:rPr>
          <w:t xml:space="preserve">https://geohub.lio.gov.on.ca/datasets/ministry-of-health-service-provider-locations/explore?showTable=true</w:t>
        </w:r>
      </w:hyperlink>
      <w:r>
        <w:t xml:space="preserve">.</w:t>
      </w:r>
    </w:p>
    <w:bookmarkEnd w:id="179"/>
    <w:bookmarkStart w:id="181" w:name="ref-ville_de_paris_paris_2022"/>
    <w:p>
      <w:pPr>
        <w:pStyle w:val="Bibliography"/>
      </w:pPr>
      <w:r>
        <w:t xml:space="preserve">Paris, Ville de. 2022.</w:t>
      </w:r>
      <w:r>
        <w:t xml:space="preserve"> </w:t>
      </w:r>
      <w:r>
        <w:t xml:space="preserve">“Paris Ville Du Quart d’heure, Ou Le Pari de La Proximité.”</w:t>
      </w:r>
      <w:r>
        <w:t xml:space="preserve"> </w:t>
      </w:r>
      <w:hyperlink r:id="rId180">
        <w:r>
          <w:rPr>
            <w:rStyle w:val="Hyperlink"/>
          </w:rPr>
          <w:t xml:space="preserve">https://www.paris.fr/dossiers/paris-ville-du-quart-d-heure-ou-le-pari-de-la-proximite-37</w:t>
        </w:r>
      </w:hyperlink>
      <w:r>
        <w:t xml:space="preserve">.</w:t>
      </w:r>
    </w:p>
    <w:bookmarkEnd w:id="181"/>
    <w:bookmarkStart w:id="183" w:name="ref-pay_equity_office_gender_2023"/>
    <w:p>
      <w:pPr>
        <w:pStyle w:val="Bibliography"/>
      </w:pPr>
      <w:r>
        <w:t xml:space="preserve">Pay Equity Office. 2023.</w:t>
      </w:r>
      <w:r>
        <w:t xml:space="preserve"> </w:t>
      </w:r>
      <w:r>
        <w:t xml:space="preserve">“The</w:t>
      </w:r>
      <w:r>
        <w:t xml:space="preserve"> </w:t>
      </w:r>
      <w:r>
        <w:t xml:space="preserve">Gender</w:t>
      </w:r>
      <w:r>
        <w:t xml:space="preserve"> </w:t>
      </w:r>
      <w:r>
        <w:t xml:space="preserve">Wage</w:t>
      </w:r>
      <w:r>
        <w:t xml:space="preserve"> </w:t>
      </w:r>
      <w:r>
        <w:t xml:space="preserve">Gap</w:t>
      </w:r>
      <w:r>
        <w:t xml:space="preserve">:</w:t>
      </w:r>
      <w:r>
        <w:t xml:space="preserve"> </w:t>
      </w:r>
      <w:r>
        <w:t xml:space="preserve">It</w:t>
      </w:r>
      <w:r>
        <w:t xml:space="preserve">’s</w:t>
      </w:r>
      <w:r>
        <w:t xml:space="preserve"> </w:t>
      </w:r>
      <w:r>
        <w:t xml:space="preserve">More</w:t>
      </w:r>
      <w:r>
        <w:t xml:space="preserve"> </w:t>
      </w:r>
      <w:r>
        <w:t xml:space="preserve">Than</w:t>
      </w:r>
      <w:r>
        <w:t xml:space="preserve"> </w:t>
      </w:r>
      <w:r>
        <w:t xml:space="preserve">You</w:t>
      </w:r>
      <w:r>
        <w:t xml:space="preserve"> </w:t>
      </w:r>
      <w:r>
        <w:t xml:space="preserve">Think</w:t>
      </w:r>
      <w:r>
        <w:t xml:space="preserve">.”</w:t>
      </w:r>
      <w:r>
        <w:t xml:space="preserve"> </w:t>
      </w:r>
      <w:r>
        <w:t xml:space="preserve">Ontario {Canada}.</w:t>
      </w:r>
      <w:r>
        <w:t xml:space="preserve"> </w:t>
      </w:r>
      <w:r>
        <w:rPr>
          <w:iCs/>
          <w:i/>
        </w:rPr>
        <w:t xml:space="preserve">Pay Equity Office</w:t>
      </w:r>
      <w:r>
        <w:t xml:space="preserve">.</w:t>
      </w:r>
      <w:r>
        <w:t xml:space="preserve"> </w:t>
      </w:r>
      <w:hyperlink r:id="rId182">
        <w:r>
          <w:rPr>
            <w:rStyle w:val="Hyperlink"/>
          </w:rPr>
          <w:t xml:space="preserve">https://payequity.gov.on.ca/the-gender-wage-gap-its-more-than-you-think/</w:t>
        </w:r>
      </w:hyperlink>
      <w:r>
        <w:t xml:space="preserve">.</w:t>
      </w:r>
    </w:p>
    <w:bookmarkEnd w:id="183"/>
    <w:bookmarkStart w:id="185"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Cs/>
          <w:i/>
        </w:rPr>
        <w:t xml:space="preserve">Portland Plan</w:t>
      </w:r>
      <w:r>
        <w:t xml:space="preserve">.</w:t>
      </w:r>
      <w:r>
        <w:t xml:space="preserve"> </w:t>
      </w:r>
      <w:hyperlink r:id="rId184">
        <w:r>
          <w:rPr>
            <w:rStyle w:val="Hyperlink"/>
          </w:rPr>
          <w:t xml:space="preserve">https://www.portlandonline.com/portlandplan/index.cfm?c=52256&amp;a=288098</w:t>
        </w:r>
      </w:hyperlink>
      <w:r>
        <w:t xml:space="preserve">.</w:t>
      </w:r>
    </w:p>
    <w:bookmarkEnd w:id="185"/>
    <w:bookmarkStart w:id="187"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Cs/>
          <w:i/>
        </w:rPr>
        <w:t xml:space="preserve">Area</w:t>
      </w:r>
      <w:r>
        <w:t xml:space="preserve"> </w:t>
      </w:r>
      <w:r>
        <w:t xml:space="preserve">47 (4): 360–75.</w:t>
      </w:r>
      <w:r>
        <w:t xml:space="preserve"> </w:t>
      </w:r>
      <w:hyperlink r:id="rId186">
        <w:r>
          <w:rPr>
            <w:rStyle w:val="Hyperlink"/>
          </w:rPr>
          <w:t xml:space="preserve">https://doi.org/10.1111/area.12182</w:t>
        </w:r>
      </w:hyperlink>
      <w:r>
        <w:t xml:space="preserve">.</w:t>
      </w:r>
    </w:p>
    <w:bookmarkEnd w:id="187"/>
    <w:bookmarkStart w:id="189" w:name="X5de1ff5f3c1aca101fb121e2db7d1b1331c751e"/>
    <w:p>
      <w:pPr>
        <w:pStyle w:val="Bibliography"/>
      </w:pPr>
      <w:r>
        <w:t xml:space="preserve">Ravensbergen, Léa, Ron Buliung, and Stephanie Sersli. 2020.</w:t>
      </w:r>
      <w:r>
        <w:t xml:space="preserve"> </w:t>
      </w:r>
      <w:r>
        <w:t xml:space="preserve">“Vélomobilities of Care in a Low-Cycling City.”</w:t>
      </w:r>
      <w:r>
        <w:t xml:space="preserve"> </w:t>
      </w:r>
      <w:r>
        <w:t xml:space="preserve">Journal Article.</w:t>
      </w:r>
      <w:r>
        <w:t xml:space="preserve"> </w:t>
      </w:r>
      <w:r>
        <w:rPr>
          <w:iCs/>
          <w:i/>
        </w:rPr>
        <w:t xml:space="preserve">Transportation Research Part A: Policy and Practice</w:t>
      </w:r>
      <w:r>
        <w:t xml:space="preserve"> </w:t>
      </w:r>
      <w:r>
        <w:t xml:space="preserve">134: 336–47.</w:t>
      </w:r>
      <w:r>
        <w:t xml:space="preserve"> </w:t>
      </w:r>
      <w:hyperlink r:id="rId188">
        <w:r>
          <w:rPr>
            <w:rStyle w:val="Hyperlink"/>
          </w:rPr>
          <w:t xml:space="preserve">https://doi.org/10.1016/j.tra.2020.02.014</w:t>
        </w:r>
      </w:hyperlink>
      <w:r>
        <w:t xml:space="preserve">.</w:t>
      </w:r>
    </w:p>
    <w:bookmarkEnd w:id="189"/>
    <w:bookmarkStart w:id="190"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Cs/>
          <w:i/>
        </w:rPr>
        <w:t xml:space="preserve">Transportation Research Record</w:t>
      </w:r>
      <w:r>
        <w:t xml:space="preserve"> </w:t>
      </w:r>
      <w:r>
        <w:t xml:space="preserve">2677 (1): 1499–509.</w:t>
      </w:r>
    </w:p>
    <w:bookmarkEnd w:id="190"/>
    <w:bookmarkStart w:id="192"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191">
        <w:r>
          <w:rPr>
            <w:rStyle w:val="Hyperlink"/>
          </w:rPr>
          <w:t xml:space="preserve">https://maps.rbc.com/rbcbank/</w:t>
        </w:r>
      </w:hyperlink>
      <w:r>
        <w:t xml:space="preserve">.</w:t>
      </w:r>
    </w:p>
    <w:bookmarkEnd w:id="192"/>
    <w:bookmarkStart w:id="193"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Cs/>
          <w:i/>
        </w:rPr>
        <w:t xml:space="preserve">Fair Shared Cities: The Impact of Gender Planning in Europe</w:t>
      </w:r>
      <w:r>
        <w:t xml:space="preserve">, edited by Sánchez de Madariaga I. and M. Roberts.</w:t>
      </w:r>
    </w:p>
    <w:bookmarkEnd w:id="193"/>
    <w:bookmarkStart w:id="194"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Cs/>
          <w:i/>
        </w:rPr>
        <w:t xml:space="preserve">Integrating Gender into Transport Planning</w:t>
      </w:r>
      <w:r>
        <w:t xml:space="preserve">, edited by T. Joelsson C. L. Scholten.</w:t>
      </w:r>
    </w:p>
    <w:bookmarkEnd w:id="194"/>
    <w:bookmarkStart w:id="195" w:name="ref-RN24"/>
    <w:p>
      <w:pPr>
        <w:pStyle w:val="Bibliography"/>
      </w:pPr>
      <w:r>
        <w:t xml:space="preserve">Scheiner, Joachim, and Christian Holz-Rau. 2012.</w:t>
      </w:r>
      <w:r>
        <w:t xml:space="preserve"> </w:t>
      </w:r>
      <w:r>
        <w:t xml:space="preserve">“Gendered Travel Mode Choice: A Focus on Car Deficient Households.”</w:t>
      </w:r>
      <w:r>
        <w:t xml:space="preserve"> </w:t>
      </w:r>
      <w:r>
        <w:t xml:space="preserve">Journal Article.</w:t>
      </w:r>
      <w:r>
        <w:t xml:space="preserve"> </w:t>
      </w:r>
      <w:r>
        <w:rPr>
          <w:iCs/>
          <w:i/>
        </w:rPr>
        <w:t xml:space="preserve">Journal of Transport Geography</w:t>
      </w:r>
      <w:r>
        <w:t xml:space="preserve"> </w:t>
      </w:r>
      <w:r>
        <w:t xml:space="preserve">24: 250–61.</w:t>
      </w:r>
    </w:p>
    <w:bookmarkEnd w:id="195"/>
    <w:bookmarkStart w:id="197" w:name="ref-scheinerWomenComplexDaily2015"/>
    <w:p>
      <w:pPr>
        <w:pStyle w:val="Bibliography"/>
      </w:pPr>
      <w:r>
        <w:t xml:space="preserve">———. 2015.</w:t>
      </w:r>
      <w:r>
        <w:t xml:space="preserve"> </w:t>
      </w:r>
      <w:r>
        <w:t xml:space="preserve">“Women’s Complex Daily Lives: A Gendered Look at Trip Chaining and Activity Pattern Entropy in Germany.”</w:t>
      </w:r>
      <w:r>
        <w:t xml:space="preserve"> </w:t>
      </w:r>
      <w:r>
        <w:t xml:space="preserve">Journal Article.</w:t>
      </w:r>
      <w:r>
        <w:t xml:space="preserve"> </w:t>
      </w:r>
      <w:r>
        <w:rPr>
          <w:iCs/>
          <w:i/>
        </w:rPr>
        <w:t xml:space="preserve">Transportation</w:t>
      </w:r>
      <w:r>
        <w:t xml:space="preserve"> </w:t>
      </w:r>
      <w:r>
        <w:t xml:space="preserve">44 (1): 117–38.</w:t>
      </w:r>
      <w:r>
        <w:t xml:space="preserve"> </w:t>
      </w:r>
      <w:hyperlink r:id="rId196">
        <w:r>
          <w:rPr>
            <w:rStyle w:val="Hyperlink"/>
          </w:rPr>
          <w:t xml:space="preserve">https://doi.org/10.1007/s11116-015-9627-9</w:t>
        </w:r>
      </w:hyperlink>
      <w:r>
        <w:t xml:space="preserve">.</w:t>
      </w:r>
    </w:p>
    <w:bookmarkEnd w:id="197"/>
    <w:bookmarkStart w:id="199" w:name="ref-schneider_transit_1981"/>
    <w:p>
      <w:pPr>
        <w:pStyle w:val="Bibliography"/>
      </w:pPr>
      <w:r>
        <w:t xml:space="preserve">Schneider, Jerry B. 1981.</w:t>
      </w:r>
      <w:r>
        <w:t xml:space="preserve"> </w:t>
      </w:r>
      <w:r>
        <w:t xml:space="preserve">“Transit and the</w:t>
      </w:r>
      <w:r>
        <w:t xml:space="preserve"> </w:t>
      </w:r>
      <w:r>
        <w:t xml:space="preserve">Polycentric</w:t>
      </w:r>
      <w:r>
        <w:t xml:space="preserve"> </w:t>
      </w:r>
      <w:r>
        <w:t xml:space="preserve">City</w:t>
      </w:r>
      <w:r>
        <w:t xml:space="preserve">.”</w:t>
      </w:r>
      <w:r>
        <w:t xml:space="preserve"> </w:t>
      </w:r>
      <w:r>
        <w:t xml:space="preserve">United {States}. {Urban} {Mass} {Transportation} {Administration} DOT-I-81-33. University of Washington. Department of Civil; Environmental Engineering.</w:t>
      </w:r>
      <w:r>
        <w:t xml:space="preserve"> </w:t>
      </w:r>
      <w:hyperlink r:id="rId198">
        <w:r>
          <w:rPr>
            <w:rStyle w:val="Hyperlink"/>
          </w:rPr>
          <w:t xml:space="preserve">https://trid.trb.org/view/177893</w:t>
        </w:r>
      </w:hyperlink>
      <w:r>
        <w:t xml:space="preserve">.</w:t>
      </w:r>
    </w:p>
    <w:bookmarkEnd w:id="199"/>
    <w:bookmarkStart w:id="201"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00">
        <w:r>
          <w:rPr>
            <w:rStyle w:val="Hyperlink"/>
          </w:rPr>
          <w:t xml:space="preserve">https://maps.scotiabank.com/locator/index.html</w:t>
        </w:r>
      </w:hyperlink>
      <w:r>
        <w:t xml:space="preserve">.</w:t>
      </w:r>
    </w:p>
    <w:bookmarkEnd w:id="201"/>
    <w:bookmarkStart w:id="202" w:name="ref-sersliRidingAloneTogether2020"/>
    <w:p>
      <w:pPr>
        <w:pStyle w:val="Bibliography"/>
      </w:pPr>
      <w:r>
        <w:t xml:space="preserve">Sersli, Stephanie, Maya Gislason, Nicholas Scott, and Meghan Winters. 2020.</w:t>
      </w:r>
      <w:r>
        <w:t xml:space="preserve"> </w:t>
      </w:r>
      <w:r>
        <w:t xml:space="preserve">“Riding Alone and Together: Is Mobility of Care at Odds with Mothers’ Bicycling?”</w:t>
      </w:r>
      <w:r>
        <w:t xml:space="preserve"> Journal Article.</w:t>
      </w:r>
      <w:r>
        <w:t xml:space="preserve"> </w:t>
      </w:r>
      <w:r>
        <w:rPr>
          <w:iCs/>
          <w:i/>
        </w:rPr>
        <w:t xml:space="preserve">Journal of Transport Geography</w:t>
      </w:r>
      <w:r>
        <w:t xml:space="preserve"> </w:t>
      </w:r>
      <w:r>
        <w:t xml:space="preserve">83 (C).</w:t>
      </w:r>
    </w:p>
    <w:bookmarkEnd w:id="202"/>
    <w:bookmarkStart w:id="204"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03">
        <w:r>
          <w:rPr>
            <w:rStyle w:val="Hyperlink"/>
          </w:rPr>
          <w:t xml:space="preserve">https://www12.statcan.gc.ca/census-recensement/index-eng.cfm</w:t>
        </w:r>
      </w:hyperlink>
      <w:r>
        <w:t xml:space="preserve">.</w:t>
      </w:r>
    </w:p>
    <w:bookmarkEnd w:id="204"/>
    <w:bookmarkStart w:id="206" w:name="ref-sweet_are_2017"/>
    <w:p>
      <w:pPr>
        <w:pStyle w:val="Bibliography"/>
      </w:pPr>
      <w:r>
        <w:t xml:space="preserve">Sweet, Matthias N., Bronson Bullivant, and Pavlos S. Kanaroglou. 2017.</w:t>
      </w:r>
      <w:r>
        <w:t xml:space="preserve"> </w:t>
      </w:r>
      <w:r>
        <w:t xml:space="preserve">“Are Major Canadian City-Regions Monocentric, Polycentric, or Dispersed?”</w:t>
      </w:r>
      <w:r>
        <w:t xml:space="preserve"> </w:t>
      </w:r>
      <w:r>
        <w:rPr>
          <w:iCs/>
          <w:i/>
        </w:rPr>
        <w:t xml:space="preserve">Urban Geography</w:t>
      </w:r>
      <w:r>
        <w:t xml:space="preserve"> </w:t>
      </w:r>
      <w:r>
        <w:t xml:space="preserve">38 (3): 445–71.</w:t>
      </w:r>
      <w:r>
        <w:t xml:space="preserve"> </w:t>
      </w:r>
      <w:hyperlink r:id="rId205">
        <w:r>
          <w:rPr>
            <w:rStyle w:val="Hyperlink"/>
          </w:rPr>
          <w:t xml:space="preserve">https://doi.org/10.1080/02723638.2016.1200279</w:t>
        </w:r>
      </w:hyperlink>
      <w:r>
        <w:t xml:space="preserve">.</w:t>
      </w:r>
    </w:p>
    <w:bookmarkEnd w:id="206"/>
    <w:bookmarkStart w:id="208"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07">
        <w:r>
          <w:rPr>
            <w:rStyle w:val="Hyperlink"/>
          </w:rPr>
          <w:t xml:space="preserve">https://www.td.com/ca/en/personal-banking/branch-locator#/</w:t>
        </w:r>
      </w:hyperlink>
      <w:r>
        <w:t xml:space="preserve">.</w:t>
      </w:r>
    </w:p>
    <w:bookmarkEnd w:id="208"/>
    <w:bookmarkStart w:id="210"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Cs/>
          <w:i/>
        </w:rPr>
        <w:t xml:space="preserve">Circles of</w:t>
      </w:r>
      <w:r>
        <w:rPr>
          <w:iCs/>
          <w:i/>
        </w:rPr>
        <w:t xml:space="preserve"> </w:t>
      </w:r>
      <w:r>
        <w:rPr>
          <w:iCs/>
          <w:i/>
        </w:rPr>
        <w:t xml:space="preserve">Care</w:t>
      </w:r>
      <w:r>
        <w:t xml:space="preserve">, edited by E. Abel and M. Nelson, 36–54. Albany, NY: SUNY Press.</w:t>
      </w:r>
      <w:r>
        <w:t xml:space="preserve"> </w:t>
      </w:r>
      <w:hyperlink r:id="rId209">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10"/>
    <w:bookmarkStart w:id="212" w:name="ref-greatlakesUSGS2010"/>
    <w:p>
      <w:pPr>
        <w:pStyle w:val="Bibliography"/>
      </w:pPr>
      <w:r>
        <w:t xml:space="preserve">USGS. 2010.</w:t>
      </w:r>
      <w:r>
        <w:t xml:space="preserve"> </w:t>
      </w:r>
      <w:r>
        <w:t xml:space="preserve">“Great Lakes and Watersheds Shapefiles.”</w:t>
      </w:r>
      <w:r>
        <w:t xml:space="preserve"> </w:t>
      </w:r>
      <w:hyperlink r:id="rId211">
        <w:r>
          <w:rPr>
            <w:rStyle w:val="Hyperlink"/>
          </w:rPr>
          <w:t xml:space="preserve">https://www.sciencebase.gov/catalog/item/530f8a0ee4b0e7e46bd300dd</w:t>
        </w:r>
      </w:hyperlink>
      <w:r>
        <w:t xml:space="preserve">.</w:t>
      </w:r>
    </w:p>
    <w:bookmarkEnd w:id="212"/>
    <w:bookmarkStart w:id="213"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Cs/>
          <w:i/>
        </w:rPr>
        <w:t xml:space="preserve">Npj Urban Sustainability</w:t>
      </w:r>
      <w:r>
        <w:t xml:space="preserve"> </w:t>
      </w:r>
      <w:r>
        <w:t xml:space="preserve">3 (1): 55.</w:t>
      </w:r>
    </w:p>
    <w:bookmarkEnd w:id="213"/>
    <w:bookmarkStart w:id="214" w:name="ref-RN25"/>
    <w:p>
      <w:pPr>
        <w:pStyle w:val="Bibliography"/>
      </w:pPr>
      <w:r>
        <w:t xml:space="preserve">Vance, Colin, and Rich Iovanna. 2007.</w:t>
      </w:r>
      <w:r>
        <w:t xml:space="preserve"> </w:t>
      </w:r>
      <w:r>
        <w:t xml:space="preserve">“Gender and the Automobile: Analysis of Nonwork Service Trips.”</w:t>
      </w:r>
      <w:r>
        <w:t xml:space="preserve"> </w:t>
      </w:r>
      <w:r>
        <w:t xml:space="preserve">Journal Article.</w:t>
      </w:r>
      <w:r>
        <w:t xml:space="preserve"> </w:t>
      </w:r>
      <w:r>
        <w:rPr>
          <w:iCs/>
          <w:i/>
        </w:rPr>
        <w:t xml:space="preserve">Transportation Research Record</w:t>
      </w:r>
      <w:r>
        <w:t xml:space="preserve"> </w:t>
      </w:r>
      <w:r>
        <w:t xml:space="preserve">2013 (1): 54–61.</w:t>
      </w:r>
    </w:p>
    <w:bookmarkEnd w:id="214"/>
    <w:bookmarkStart w:id="216" w:name="ref-RN30"/>
    <w:p>
      <w:pPr>
        <w:pStyle w:val="Bibliography"/>
      </w:pPr>
      <w:r>
        <w:t xml:space="preserve">Wheatley, Dan. 2013.</w:t>
      </w:r>
      <w:r>
        <w:t xml:space="preserve"> </w:t>
      </w:r>
      <w:r>
        <w:t xml:space="preserve">“Location, Vocation, Location? Spatial Entrapment Among Women in Dual Career Households.”</w:t>
      </w:r>
      <w:r>
        <w:t xml:space="preserve"> </w:t>
      </w:r>
      <w:r>
        <w:t xml:space="preserve">Journal Article.</w:t>
      </w:r>
      <w:r>
        <w:t xml:space="preserve"> </w:t>
      </w:r>
      <w:r>
        <w:rPr>
          <w:iCs/>
          <w:i/>
        </w:rPr>
        <w:t xml:space="preserve">Gender, Work &amp; Organization</w:t>
      </w:r>
      <w:r>
        <w:t xml:space="preserve"> </w:t>
      </w:r>
      <w:r>
        <w:t xml:space="preserve">20 (6): 720–36. https://doi.org/</w:t>
      </w:r>
      <w:hyperlink r:id="rId215">
        <w:r>
          <w:rPr>
            <w:rStyle w:val="Hyperlink"/>
          </w:rPr>
          <w:t xml:space="preserve">https://doi.org/10.1111/gwao.12005</w:t>
        </w:r>
      </w:hyperlink>
      <w:r>
        <w:t xml:space="preserve">.</w:t>
      </w:r>
    </w:p>
    <w:bookmarkEnd w:id="216"/>
    <w:bookmarkStart w:id="217" w:name="ref-whittaker1972evolution"/>
    <w:p>
      <w:pPr>
        <w:pStyle w:val="Bibliography"/>
      </w:pPr>
      <w:r>
        <w:t xml:space="preserve">Whittaker, Robert H. 1972.</w:t>
      </w:r>
      <w:r>
        <w:t xml:space="preserve"> </w:t>
      </w:r>
      <w:r>
        <w:t xml:space="preserve">“Evolution and Measurement of Species Diversity.”</w:t>
      </w:r>
      <w:r>
        <w:t xml:space="preserve"> </w:t>
      </w:r>
      <w:r>
        <w:rPr>
          <w:iCs/>
          <w:i/>
        </w:rPr>
        <w:t xml:space="preserve">Taxon</w:t>
      </w:r>
      <w:r>
        <w:t xml:space="preserve"> </w:t>
      </w:r>
      <w:r>
        <w:t xml:space="preserve">21 (2-3): 213–51.</w:t>
      </w:r>
    </w:p>
    <w:bookmarkEnd w:id="217"/>
    <w:bookmarkStart w:id="219" w:name="ref-RN16"/>
    <w:p>
      <w:pPr>
        <w:pStyle w:val="Bibliography"/>
      </w:pPr>
      <w:r>
        <w:t xml:space="preserve">Widener, Michael J., Steven Farber, Tijs Neutens, and Mark Horner. 2015.</w:t>
      </w:r>
      <w:r>
        <w:t xml:space="preserve"> </w:t>
      </w:r>
      <w:r>
        <w:t xml:space="preserve">“Spatiotemporal Accessibility to Supermarkets Using Public Transit: An Interaction Potential Approach in Cincinnati, Ohio.”</w:t>
      </w:r>
      <w:r>
        <w:t xml:space="preserve"> </w:t>
      </w:r>
      <w:r>
        <w:t xml:space="preserve">Journal Article.</w:t>
      </w:r>
      <w:r>
        <w:t xml:space="preserve"> </w:t>
      </w:r>
      <w:r>
        <w:rPr>
          <w:iCs/>
          <w:i/>
        </w:rPr>
        <w:t xml:space="preserve">Journal of Transport Geography</w:t>
      </w:r>
      <w:r>
        <w:t xml:space="preserve"> </w:t>
      </w:r>
      <w:r>
        <w:t xml:space="preserve">42: 72–83. https://doi.org/</w:t>
      </w:r>
      <w:hyperlink r:id="rId218">
        <w:r>
          <w:rPr>
            <w:rStyle w:val="Hyperlink"/>
          </w:rPr>
          <w:t xml:space="preserve">https://doi.org/10.1016/j.jtrangeo.2014.11.004</w:t>
        </w:r>
      </w:hyperlink>
      <w:r>
        <w:t xml:space="preserve">.</w:t>
      </w:r>
    </w:p>
    <w:bookmarkEnd w:id="219"/>
    <w:bookmarkStart w:id="220" w:name="ref-RN17"/>
    <w:p>
      <w:pPr>
        <w:pStyle w:val="Bibliography"/>
      </w:pPr>
      <w:r>
        <w:t xml:space="preserve">Widener, Michael J, Leia Minaker, Steven Farber, Jeff Allen, Brigitte Vitali, Paul C Coleman, and Brian Cook. 2017.</w:t>
      </w:r>
      <w:r>
        <w:t xml:space="preserve"> </w:t>
      </w:r>
      <w:r>
        <w:t xml:space="preserve">“How Do Changes in the Daily Food and Transportation Environments Affect Grocery Store Accessibility?”</w:t>
      </w:r>
      <w:r>
        <w:t xml:space="preserve"> Journal Article.</w:t>
      </w:r>
      <w:r>
        <w:t xml:space="preserve"> </w:t>
      </w:r>
      <w:r>
        <w:rPr>
          <w:iCs/>
          <w:i/>
        </w:rPr>
        <w:t xml:space="preserve">Applied Geography</w:t>
      </w:r>
      <w:r>
        <w:t xml:space="preserve"> </w:t>
      </w:r>
      <w:r>
        <w:t xml:space="preserve">83: 46–62.</w:t>
      </w:r>
    </w:p>
    <w:bookmarkEnd w:id="220"/>
    <w:bookmarkStart w:id="222"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Cs/>
          <w:i/>
        </w:rPr>
        <w:t xml:space="preserve">Journal of Urban Planning and Development</w:t>
      </w:r>
      <w:r>
        <w:t xml:space="preserve"> </w:t>
      </w:r>
      <w:r>
        <w:t xml:space="preserve">150 (3): 05024018.</w:t>
      </w:r>
      <w:r>
        <w:t xml:space="preserve"> </w:t>
      </w:r>
      <w:hyperlink r:id="rId221">
        <w:r>
          <w:rPr>
            <w:rStyle w:val="Hyperlink"/>
          </w:rPr>
          <w:t xml:space="preserve">https://doi.org/10.1061/JUPDDM.UPENG-4935</w:t>
        </w:r>
      </w:hyperlink>
      <w:r>
        <w:t xml:space="preserve">.</w:t>
      </w:r>
    </w:p>
    <w:bookmarkEnd w:id="222"/>
    <w:bookmarkStart w:id="224"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Cs/>
          <w:i/>
        </w:rPr>
        <w:t xml:space="preserve">Preventive Medicine</w:t>
      </w:r>
      <w:r>
        <w:t xml:space="preserve"> </w:t>
      </w:r>
      <w:r>
        <w:t xml:space="preserve">90: 72–78. https://doi.org/</w:t>
      </w:r>
      <w:hyperlink r:id="rId223">
        <w:r>
          <w:rPr>
            <w:rStyle w:val="Hyperlink"/>
          </w:rPr>
          <w:t xml:space="preserve">https://doi.org/10.1016/j.ypmed.2016.06.036</w:t>
        </w:r>
      </w:hyperlink>
      <w:r>
        <w:t xml:space="preserve">.</w:t>
      </w:r>
    </w:p>
    <w:bookmarkEnd w:id="224"/>
    <w:bookmarkEnd w:id="225"/>
    <w:p>
      <w:r>
        <w:br w:type="page"/>
      </w:r>
    </w:p>
    <w:bookmarkEnd w:id="226"/>
    <w:bookmarkStart w:id="235" w:name="appendix"/>
    <w:p>
      <w:pPr>
        <w:pStyle w:val="Heading1"/>
      </w:pPr>
      <w:r>
        <w:t xml:space="preserve">Appendix</w:t>
      </w:r>
    </w:p>
    <w:tbl>
      <w:tblPr>
        <w:tblStyle w:val="Table"/>
        <w:tblW w:type="pct" w:w="5000"/>
        <w:tblLook w:firstRow="0" w:lastRow="0" w:firstColumn="0" w:lastColumn="0" w:noHBand="0" w:noVBand="0" w:val="0000"/>
        <w:jc w:val="start"/>
        <w:tblLayout w:type="fixed"/>
      </w:tblPr>
      <w:tblGrid>
        <w:gridCol w:w="7920"/>
      </w:tblGrid>
      <w:tr>
        <w:tc>
          <w:tcPr/>
          <w:bookmarkStart w:id="230" w:name="fig-Fig7"/>
          <w:p>
            <w:pPr>
              <w:pStyle w:val="Compact"/>
              <w:jc w:val="center"/>
            </w:pPr>
            <w:r>
              <w:drawing>
                <wp:inline>
                  <wp:extent cx="5334000" cy="5334000"/>
                  <wp:effectExtent b="0" l="0" r="0" t="0"/>
                  <wp:docPr descr="" title="" id="228" name="Picture"/>
                  <a:graphic>
                    <a:graphicData uri="http://schemas.openxmlformats.org/drawingml/2006/picture">
                      <pic:pic>
                        <pic:nvPicPr>
                          <pic:cNvPr descr="data/all_cats_copp_plot.tiff" id="229" name="Picture"/>
                          <pic:cNvPicPr>
                            <a:picLocks noChangeArrowheads="1" noChangeAspect="1"/>
                          </pic:cNvPicPr>
                        </pic:nvPicPr>
                        <pic:blipFill>
                          <a:blip r:embed="rId22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UNWEIGHTED – The cumulative opportunity measure. The number of care destinations that can be reached, per DA, within 15 min walk. Visualised as</w:t>
            </w:r>
            <w:r>
              <w:t xml:space="preserve"> </w:t>
            </w:r>
            <w:r>
              <w:t xml:space="preserve">‘</w:t>
            </w:r>
            <w:r>
              <w:t xml:space="preserve">caring</w:t>
            </w:r>
            <w:r>
              <w:t xml:space="preserve">’</w:t>
            </w:r>
            <w:r>
              <w:t xml:space="preserve"> </w:t>
            </w:r>
            <w:r>
              <w:t xml:space="preserve">(based on the opportunity reachable number; Caring is approximately the median) and if complete (if all care categories can be reached; this is an arbitrary selection).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30"/>
        </w:tc>
      </w:tr>
    </w:tbl>
    <w:tbl>
      <w:tblPr>
        <w:tblStyle w:val="Table"/>
        <w:tblW w:type="pct" w:w="5000"/>
        <w:tblLook w:firstRow="0" w:lastRow="0" w:firstColumn="0" w:lastColumn="0" w:noHBand="0" w:noVBand="0" w:val="0000"/>
        <w:jc w:val="start"/>
        <w:tblLayout w:type="fixed"/>
      </w:tblPr>
      <w:tblGrid>
        <w:gridCol w:w="7920"/>
      </w:tblGrid>
      <w:tr>
        <w:tc>
          <w:tcPr/>
          <w:bookmarkStart w:id="234" w:name="fig-Fig8"/>
          <w:p>
            <w:pPr>
              <w:pStyle w:val="Compact"/>
              <w:jc w:val="center"/>
            </w:pPr>
            <w:r>
              <w:drawing>
                <wp:inline>
                  <wp:extent cx="5334000" cy="5334000"/>
                  <wp:effectExtent b="0" l="0" r="0" t="0"/>
                  <wp:docPr descr="" title="" id="232" name="Picture"/>
                  <a:graphic>
                    <a:graphicData uri="http://schemas.openxmlformats.org/drawingml/2006/picture">
                      <pic:pic>
                        <pic:nvPicPr>
                          <pic:cNvPr descr="data/all_cats_entropy_copp_plot.tiff" id="233" name="Picture"/>
                          <pic:cNvPicPr>
                            <a:picLocks noChangeArrowheads="1" noChangeAspect="1"/>
                          </pic:cNvPicPr>
                        </pic:nvPicPr>
                        <pic:blipFill>
                          <a:blip r:embed="rId23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UNWEIGHTED – The diversity measure based on the</w:t>
            </w:r>
            <w:r>
              <w:t xml:space="preserve"> </w:t>
            </w:r>
            <w:r>
              <w:rPr>
                <w:iCs/>
                <w:i/>
              </w:rPr>
              <w:t xml:space="preserve">specific type</w:t>
            </w:r>
            <w:r>
              <w:t xml:space="preserve"> </w:t>
            </w:r>
            <w:r>
              <w:t xml:space="preserve">of destination cumulative opportunity DA measure.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34"/>
        </w:tc>
      </w:tr>
    </w:tbl>
    <w:bookmarkEnd w:id="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astasia" w:date="2024-05-16T15:00:00Z">
    <w:p>
      <w:pPr>
        <w:pStyle w:val="CommentText"/>
      </w:pPr>
      <w:r>
        <w:rPr>
          <w:rStyle w:val="CommentReference"/>
          <w:annotationRef/>
        </w:rPr>
      </w:r>
      <w:r>
        <w:t xml:space="preserve">Thoughts on this</w:t>
      </w:r>
    </w:p>
  </w:comment>
  <w:comment w:id="0" w:author="Anastasia" w:date="2024-05-16T15:00:00Z">
    <w:p>
      <w:pPr>
        <w:pStyle w:val="CommentText"/>
      </w:pPr>
      <w:r>
        <w:rPr>
          <w:rStyle w:val="CommentReference"/>
          <w:annotationRef/>
        </w:rPr>
      </w:r>
      <w:r>
        <w:t xml:space="preserve">Thoughts on this choice instead of the median? I do this because the parcels are not population weighted, so 1 parcel = 1 travel time. There can be obviously multiple households in 1 parcel, so using Q3 makes some sense.</w:t>
      </w:r>
    </w:p>
  </w:comment>
  <w:comment w:id="0" w:author="Anastasia" w:date="2024-05-16T15:00:00Z">
    <w:p>
      <w:pPr>
        <w:pStyle w:val="CommentText"/>
      </w:pPr>
      <w:r>
        <w:rPr>
          <w:rStyle w:val="CommentReference"/>
          <w:annotationRef/>
        </w:rPr>
      </w:r>
      <w:r>
        <w:t xml:space="preserve">Thoughts on this choice? I think we need to consider both the category type and the specific type in this paper. We justify the categories so that’s fair but I still think there’s value in presenting the specific type some how - this is what I think this diversity index is good for so I’ve presented that as an option. Note though, it’d be much more simple to just focus on calculating the</w:t>
      </w:r>
      <w:r>
        <w:t xml:space="preserve"> </w:t>
      </w:r>
      <m:oMath>
        <m:sSubSup>
          <m:e>
            <m:r>
              <m:t>D</m:t>
            </m:r>
          </m:e>
          <m:sub>
            <m:r>
              <m:t>D</m:t>
            </m:r>
            <m:r>
              <m:t>A</m:t>
            </m:r>
          </m:sub>
          <m:sup>
            <m:r>
              <m:t>s</m:t>
            </m:r>
            <m:r>
              <m:t>t</m:t>
            </m:r>
          </m:sup>
        </m:sSubSup>
      </m:oMath>
      <w:r>
        <w:t xml:space="preserve"> </w:t>
      </w:r>
      <w:r>
        <w:t xml:space="preserve">using the</w:t>
      </w:r>
      <w:r>
        <w:t xml:space="preserve"> </w:t>
      </w:r>
      <m:oMath>
        <m:sSubSup>
          <m:e>
            <m:r>
              <m:t>S</m:t>
            </m:r>
          </m:e>
          <m:sub>
            <m:r>
              <m:t>i</m:t>
            </m:r>
          </m:sub>
          <m:sup>
            <m:r>
              <m:t>c</m:t>
            </m:r>
          </m:sup>
        </m:sSubSup>
      </m:oMath>
      <w:r>
        <w:t xml:space="preserve"> </w:t>
      </w:r>
      <w:r>
        <w:t xml:space="preserve">and not introducing the</w:t>
      </w:r>
      <w:r>
        <w:t xml:space="preserve"> </w:t>
      </w:r>
      <m:oMath>
        <m:sSubSup>
          <m:e>
            <m:r>
              <m:t>S</m:t>
            </m:r>
          </m:e>
          <m:sub>
            <m:r>
              <m:t>i</m:t>
            </m:r>
          </m:sub>
          <m:sup>
            <m:r>
              <m:t>s</m:t>
            </m:r>
            <m:r>
              <m:t>t</m:t>
            </m:r>
          </m:sup>
        </m:sSubSup>
      </m:oMath>
      <w:r>
        <w:t xml:space="preserve"> </w:t>
      </w:r>
      <w:r>
        <w:t xml:space="preserve">calculation like I’ve done.. so I’ve made the analysis more complicated. Also destination weighting is based on the four categories - so that is distorting the diversity in certain ways.</w:t>
      </w:r>
    </w:p>
  </w:comment>
  <w:comment w:id="0" w:author="Anastasia" w:date="2024-05-16T15:00:00Z">
    <w:p>
      <w:pPr>
        <w:pStyle w:val="CommentText"/>
      </w:pPr>
      <w:r>
        <w:rPr>
          <w:rStyle w:val="CommentReference"/>
          <w:annotationRef/>
        </w:rPr>
      </w:r>
      <w:r>
        <w:t xml:space="preserve">If you’re interested in how the unweighted results look like for the same maps see the appendix. I’ve also calculated the cycling travel matrices as well as the</w:t>
      </w:r>
      <w:r>
        <w:t xml:space="preserve"> </w:t>
      </w:r>
      <w:r>
        <w:t xml:space="preserve">‘</w:t>
      </w:r>
      <w:r>
        <w:t xml:space="preserve">no dependent</w:t>
      </w:r>
      <w:r>
        <w:t xml:space="preserve">’</w:t>
      </w:r>
      <w:r>
        <w:t xml:space="preserve"> </w:t>
      </w:r>
      <w:r>
        <w:t xml:space="preserve">i.e., the same analysis but now only considering 3 care categories: health, errand, and grocery. For the time being though let’s focus on this.</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tiff" /><Relationship Type="http://schemas.openxmlformats.org/officeDocument/2006/relationships/image" Id="rId227" Target="media/rId227.tiff" /><Relationship Type="http://schemas.openxmlformats.org/officeDocument/2006/relationships/image" Id="rId38" Target="media/rId38.tiff" /><Relationship Type="http://schemas.openxmlformats.org/officeDocument/2006/relationships/image" Id="rId231" Target="media/rId231.tiff" /><Relationship Type="http://schemas.openxmlformats.org/officeDocument/2006/relationships/image" Id="rId42" Target="media/rId42.tiff" /><Relationship Type="http://schemas.openxmlformats.org/officeDocument/2006/relationships/image" Id="rId50" Target="media/rId50.tiff" /><Relationship Type="http://schemas.openxmlformats.org/officeDocument/2006/relationships/image" Id="rId31" Target="media/rId31.tiff" /><Relationship Type="http://schemas.openxmlformats.org/officeDocument/2006/relationships/image" Id="rId24" Target="media/rId24.tiff" /><Relationship Type="http://schemas.openxmlformats.org/officeDocument/2006/relationships/hyperlink" Id="rId137" Target="https://books.google.de/books/about/Gender_Planning_and_the_Policy_Process.html?id=h1y0AAAAIAAJ&amp;redir_esc=y" TargetMode="External" /><Relationship Type="http://schemas.openxmlformats.org/officeDocument/2006/relationships/hyperlink" Id="rId126" Target="https://books.google.de/books?hl=de&amp;lr=&amp;id=St_6kWcPJS8C&amp;oi=fnd&amp;pg=PT25&amp;ots=8IZZkZu4cf&amp;sig=W1cAH6vLmc8SUYRgLvUUz3zfHWs&amp;redir_esc=y#v=onepage&amp;q&amp;f=false" TargetMode="External" /><Relationship Type="http://schemas.openxmlformats.org/officeDocument/2006/relationships/hyperlink" Id="rId20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91" Target="https://books.google.de/books?id=lGxoAAAAIAAJ" TargetMode="External" /><Relationship Type="http://schemas.openxmlformats.org/officeDocument/2006/relationships/hyperlink" Id="rId58" Target="https://branchlocator.bmo.com/index.html" TargetMode="External" /><Relationship Type="http://schemas.openxmlformats.org/officeDocument/2006/relationships/hyperlink" Id="rId176" Target="https://data.ontario.ca/" TargetMode="External" /><Relationship Type="http://schemas.openxmlformats.org/officeDocument/2006/relationships/hyperlink" Id="rId196" Target="https://doi.org/10.1007/s11116-015-9627-9" TargetMode="External" /><Relationship Type="http://schemas.openxmlformats.org/officeDocument/2006/relationships/hyperlink" Id="rId146" Target="https://doi.org/10.1007/s11116-019-09974-w" TargetMode="External" /><Relationship Type="http://schemas.openxmlformats.org/officeDocument/2006/relationships/hyperlink" Id="rId102" Target="https://doi.org/10.1016/B978-0-08-102295-5.10415-9" TargetMode="External" /><Relationship Type="http://schemas.openxmlformats.org/officeDocument/2006/relationships/hyperlink" Id="rId74" Target="https://doi.org/10.1016/S0016-7185(99)00048-2" TargetMode="External" /><Relationship Type="http://schemas.openxmlformats.org/officeDocument/2006/relationships/hyperlink" Id="rId85" Target="https://doi.org/10.1016/j.amepre.2004.11.001" TargetMode="External" /><Relationship Type="http://schemas.openxmlformats.org/officeDocument/2006/relationships/hyperlink" Id="rId72" Target="https://doi.org/10.1016/j.cities.2018.02.003" TargetMode="External" /><Relationship Type="http://schemas.openxmlformats.org/officeDocument/2006/relationships/hyperlink" Id="rId162" Target="https://doi.org/10.1016/j.jenvp.2010.04.005" TargetMode="External" /><Relationship Type="http://schemas.openxmlformats.org/officeDocument/2006/relationships/hyperlink" Id="rId158" Target="https://doi.org/10.1016/j.jth.2023.101668" TargetMode="External" /><Relationship Type="http://schemas.openxmlformats.org/officeDocument/2006/relationships/hyperlink" Id="rId62" Target="https://doi.org/10.1016/j.jtrangeo.2012.08.017" TargetMode="External" /><Relationship Type="http://schemas.openxmlformats.org/officeDocument/2006/relationships/hyperlink" Id="rId64" Target="https://doi.org/10.1016/j.jtrangeo.2013.03.005" TargetMode="External" /><Relationship Type="http://schemas.openxmlformats.org/officeDocument/2006/relationships/hyperlink" Id="rId218" Target="https://doi.org/10.1016/j.jtrangeo.2014.11.004" TargetMode="External" /><Relationship Type="http://schemas.openxmlformats.org/officeDocument/2006/relationships/hyperlink" Id="rId168" Target="https://doi.org/10.1016/j.jtrangeo.2021.103160" TargetMode="External" /><Relationship Type="http://schemas.openxmlformats.org/officeDocument/2006/relationships/hyperlink" Id="rId89" Target="https://doi.org/10.1016/j.jtrangeo.2022.103301" TargetMode="External" /><Relationship Type="http://schemas.openxmlformats.org/officeDocument/2006/relationships/hyperlink" Id="rId152" Target="https://doi.org/10.1016/j.rtbm.2019.100416" TargetMode="External" /><Relationship Type="http://schemas.openxmlformats.org/officeDocument/2006/relationships/hyperlink" Id="rId188" Target="https://doi.org/10.1016/j.tra.2020.02.014" TargetMode="External" /><Relationship Type="http://schemas.openxmlformats.org/officeDocument/2006/relationships/hyperlink" Id="rId79" Target="https://doi.org/10.1016/j.trd.2020.102461" TargetMode="External" /><Relationship Type="http://schemas.openxmlformats.org/officeDocument/2006/relationships/hyperlink" Id="rId87" Target="https://doi.org/10.1016/j.trpro.2021.12.049" TargetMode="External" /><Relationship Type="http://schemas.openxmlformats.org/officeDocument/2006/relationships/hyperlink" Id="rId223" Target="https://doi.org/10.1016/j.ypmed.2016.06.036" TargetMode="External" /><Relationship Type="http://schemas.openxmlformats.org/officeDocument/2006/relationships/hyperlink" Id="rId140" Target="https://doi.org/10.1016/j.ypmed.2016.08.042" TargetMode="External" /><Relationship Type="http://schemas.openxmlformats.org/officeDocument/2006/relationships/hyperlink" Id="rId170" Target="https://doi.org/10.1016/j.ypmed.2018.10.016" TargetMode="External" /><Relationship Type="http://schemas.openxmlformats.org/officeDocument/2006/relationships/hyperlink" Id="rId221" Target="https://doi.org/10.1061/JUPDDM.UPENG-4935" TargetMode="External" /><Relationship Type="http://schemas.openxmlformats.org/officeDocument/2006/relationships/hyperlink" Id="rId118" Target="https://doi.org/10.1068/a291175" TargetMode="External" /><Relationship Type="http://schemas.openxmlformats.org/officeDocument/2006/relationships/hyperlink" Id="rId81" Target="https://doi.org/10.1080/01944361003766766" TargetMode="External" /><Relationship Type="http://schemas.openxmlformats.org/officeDocument/2006/relationships/hyperlink" Id="rId205" Target="https://doi.org/10.1080/02723638.2016.1200279" TargetMode="External" /><Relationship Type="http://schemas.openxmlformats.org/officeDocument/2006/relationships/hyperlink" Id="rId120" Target="https://doi.org/10.1080/09663690903498225" TargetMode="External" /><Relationship Type="http://schemas.openxmlformats.org/officeDocument/2006/relationships/hyperlink" Id="rId100" Target="https://doi.org/10.1080/13668803.2016.1202194" TargetMode="External" /><Relationship Type="http://schemas.openxmlformats.org/officeDocument/2006/relationships/hyperlink" Id="rId150" Target="https://doi.org/10.1080/17450101.2013.844950" TargetMode="External" /><Relationship Type="http://schemas.openxmlformats.org/officeDocument/2006/relationships/hyperlink" Id="rId166" Target="https://doi.org/10.1080/17549175.2014.990916" TargetMode="External" /><Relationship Type="http://schemas.openxmlformats.org/officeDocument/2006/relationships/hyperlink" Id="rId186" Target="https://doi.org/10.1111/area.12182" TargetMode="External" /><Relationship Type="http://schemas.openxmlformats.org/officeDocument/2006/relationships/hyperlink" Id="rId215" Target="https://doi.org/10.1111/gwao.12005" TargetMode="External" /><Relationship Type="http://schemas.openxmlformats.org/officeDocument/2006/relationships/hyperlink" Id="rId172" Target="https://doi.org/10.1177/0739456x04270244" TargetMode="External" /><Relationship Type="http://schemas.openxmlformats.org/officeDocument/2006/relationships/hyperlink" Id="rId132" Target="https://doi.org/10.1191/030913299666161864" TargetMode="External" /><Relationship Type="http://schemas.openxmlformats.org/officeDocument/2006/relationships/hyperlink" Id="rId98" Target="https://doi.org/10.1371/journal.pone.0250080" TargetMode="External" /><Relationship Type="http://schemas.openxmlformats.org/officeDocument/2006/relationships/hyperlink" Id="rId142" Target="https://doi.org/10.18055/Finis16035" TargetMode="External" /><Relationship Type="http://schemas.openxmlformats.org/officeDocument/2006/relationships/hyperlink" Id="rId122" Target="https://doi.org/10.2747/0272-3638.9.2.180" TargetMode="External" /><Relationship Type="http://schemas.openxmlformats.org/officeDocument/2006/relationships/hyperlink" Id="rId156" Target="https://doi.org/10.3390/smartcities4010006" TargetMode="External" /><Relationship Type="http://schemas.openxmlformats.org/officeDocument/2006/relationships/hyperlink" Id="rId154" Target="https://doi.org/10.3390/su13147908" TargetMode="External" /><Relationship Type="http://schemas.openxmlformats.org/officeDocument/2006/relationships/hyperlink" Id="rId174" Target="https://efis.fma.csc.gov.on.ca/faab/Section%2023.htm" TargetMode="External" /><Relationship Type="http://schemas.openxmlformats.org/officeDocument/2006/relationships/hyperlink" Id="rId66" Target="https://equalpaycoalition.org/myths-about-the-gap/" TargetMode="External" /><Relationship Type="http://schemas.openxmlformats.org/officeDocument/2006/relationships/hyperlink" Id="rId144" Target="https://frw.studenttheses.ub.rug.nl/3996/" TargetMode="External" /><Relationship Type="http://schemas.openxmlformats.org/officeDocument/2006/relationships/hyperlink" Id="rId178" Target="https://geohub.lio.gov.on.ca/datasets/ministry-of-health-service-provider-locations/explore?showTable=true" TargetMode="External" /><Relationship Type="http://schemas.openxmlformats.org/officeDocument/2006/relationships/hyperlink" Id="rId164" Target="https://locator.nbc.ca/?=&amp;referrerPageUrl=https%3A%2F%2Fwww.google.com%2F&amp;query=&amp;facetFilters=%7B%7D&amp;filters=%7B%7D" TargetMode="External" /><Relationship Type="http://schemas.openxmlformats.org/officeDocument/2006/relationships/hyperlink" Id="rId191" Target="https://maps.rbc.com/rbcbank/" TargetMode="External" /><Relationship Type="http://schemas.openxmlformats.org/officeDocument/2006/relationships/hyperlink" Id="rId200" Target="https://maps.scotiabank.com/locator/index.html" TargetMode="External" /><Relationship Type="http://schemas.openxmlformats.org/officeDocument/2006/relationships/hyperlink" Id="rId116" Target="https://open.hamilton.ca/" TargetMode="External" /><Relationship Type="http://schemas.openxmlformats.org/officeDocument/2006/relationships/hyperlink" Id="rId110" Target="https://open.hamilton.ca/datasets/272667665de646768db14e9fa1676405_11/explore?location=43.278136%2C-79.921850%2C11.65" TargetMode="External" /><Relationship Type="http://schemas.openxmlformats.org/officeDocument/2006/relationships/hyperlink" Id="rId108" Target="https://open.hamilton.ca/datasets/4f1b554e743b423f9574e7a3ca814cce_6/explore?location=43.273379%2C-79.919100%2C11.87&amp;showTable=true" TargetMode="External" /><Relationship Type="http://schemas.openxmlformats.org/officeDocument/2006/relationships/hyperlink" Id="rId106" Target="https://open.hamilton.ca/datasets/67a54ea25d944cf7b66750ba57da822c_1/explore?location=43.259483%2C-79.917850%2C11.81" TargetMode="External" /><Relationship Type="http://schemas.openxmlformats.org/officeDocument/2006/relationships/hyperlink" Id="rId104" Target="https://open.hamilton.ca/datasets/cccae6f029334927856da6e20a50561f_19/explore" TargetMode="External" /><Relationship Type="http://schemas.openxmlformats.org/officeDocument/2006/relationships/hyperlink" Id="rId114" Target="https://open.hamilton.ca/datasets/dd522e1245b1461887d998c6c17edff7_13/explore?location=43.099541%2C-79.560176%2C9.73" TargetMode="External" /><Relationship Type="http://schemas.openxmlformats.org/officeDocument/2006/relationships/hyperlink" Id="rId70" Target="https://participons.ottawa.ca/nouveau-plan-officiel/news_feed/quartier-du-quart-d-heure" TargetMode="External" /><Relationship Type="http://schemas.openxmlformats.org/officeDocument/2006/relationships/hyperlink" Id="rId182" Target="https://payequity.gov.on.ca/the-gender-wage-gap-its-more-than-you-think/" TargetMode="External" /><Relationship Type="http://schemas.openxmlformats.org/officeDocument/2006/relationships/hyperlink" Id="rId68"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198" Target="https://trid.trb.org/view/177893" TargetMode="External" /><Relationship Type="http://schemas.openxmlformats.org/officeDocument/2006/relationships/hyperlink" Id="rId130" Target="https://webapps.ilo.org/wcmsp5/groups/public/---dgreports/---dcomm/---publ/documents/publication/wcms_633135.pdf" TargetMode="External" /><Relationship Type="http://schemas.openxmlformats.org/officeDocument/2006/relationships/hyperlink" Id="rId60" Target="https://www.canadapost-postescanada.ca/information/app/fpo/personal/findpostoffice" TargetMode="External" /><Relationship Type="http://schemas.openxmlformats.org/officeDocument/2006/relationships/hyperlink" Id="rId56" Target="https://www.data-axle.com/our-data/" TargetMode="External" /><Relationship Type="http://schemas.openxmlformats.org/officeDocument/2006/relationships/hyperlink" Id="rId112" Target="https://www.hamilton.ca/people-programs/early-years-child-care/child-care-services/child-care-registry" TargetMode="External" /><Relationship Type="http://schemas.openxmlformats.org/officeDocument/2006/relationships/hyperlink" Id="rId124" Target="https://www.hnhbhealthline.ca/listServices.aspx?id=10072&amp;region=Hamilton" TargetMode="External" /><Relationship Type="http://schemas.openxmlformats.org/officeDocument/2006/relationships/hyperlink" Id="rId128" Target="https://www.hsbc.ca/branch-locator/" TargetMode="External" /><Relationship Type="http://schemas.openxmlformats.org/officeDocument/2006/relationships/hyperlink" Id="rId148" Target="https://www.jstor.org/stable/26622423" TargetMode="External" /><Relationship Type="http://schemas.openxmlformats.org/officeDocument/2006/relationships/hyperlink" Id="rId180" Target="https://www.paris.fr/dossiers/paris-ville-du-quart-d-heure-ou-le-pari-de-la-proximite-37" TargetMode="External" /><Relationship Type="http://schemas.openxmlformats.org/officeDocument/2006/relationships/hyperlink" Id="rId184" Target="https://www.portlandonline.com/portlandplan/index.cfm?c=52256&amp;a=288098" TargetMode="External" /><Relationship Type="http://schemas.openxmlformats.org/officeDocument/2006/relationships/hyperlink" Id="rId211" Target="https://www.sciencebase.gov/catalog/item/530f8a0ee4b0e7e46bd300dd" TargetMode="External" /><Relationship Type="http://schemas.openxmlformats.org/officeDocument/2006/relationships/hyperlink" Id="rId93" Target="https://www.statcan.gc.ca/o1/en/plus/4555-gender-equality-week-examining-intersectional-gender-wage-gap-canada" TargetMode="External" /><Relationship Type="http://schemas.openxmlformats.org/officeDocument/2006/relationships/hyperlink" Id="rId95" Target="https://www.statcan.gc.ca/o1/en/plus/4823-women-labour-market-increased-potential-pay-and-participation" TargetMode="External" /><Relationship Type="http://schemas.openxmlformats.org/officeDocument/2006/relationships/hyperlink" Id="rId207" Target="https://www.td.com/ca/en/personal-banking/branch-locator#/" TargetMode="External" /><Relationship Type="http://schemas.openxmlformats.org/officeDocument/2006/relationships/hyperlink" Id="rId203" Target="https://www12.statcan.gc.ca/census-recensement/index-eng.cfm" TargetMode="External" /><Relationship Type="http://schemas.openxmlformats.org/officeDocument/2006/relationships/hyperlink" Id="rId76" Target="https://www150.statcan.gc.ca/n1/pub/45-20-0002/452000022023002-eng.htm" TargetMode="External" /><Relationship Type="http://schemas.openxmlformats.org/officeDocument/2006/relationships/hyperlink" Id="rId160" Target="https://www150.statcan.gc.ca/n1/pub/89-503-x/2015001/article/54931-eng.htm" TargetMode="External" /></Relationships>
</file>

<file path=word/_rels/footnotes.xml.rels><?xml version="1.0" encoding="UTF-8"?><Relationships xmlns="http://schemas.openxmlformats.org/package/2006/relationships"><Relationship Type="http://schemas.openxmlformats.org/officeDocument/2006/relationships/hyperlink" Id="rId137" Target="https://books.google.de/books/about/Gender_Planning_and_the_Policy_Process.html?id=h1y0AAAAIAAJ&amp;redir_esc=y" TargetMode="External" /><Relationship Type="http://schemas.openxmlformats.org/officeDocument/2006/relationships/hyperlink" Id="rId126" Target="https://books.google.de/books?hl=de&amp;lr=&amp;id=St_6kWcPJS8C&amp;oi=fnd&amp;pg=PT25&amp;ots=8IZZkZu4cf&amp;sig=W1cAH6vLmc8SUYRgLvUUz3zfHWs&amp;redir_esc=y#v=onepage&amp;q&amp;f=false" TargetMode="External" /><Relationship Type="http://schemas.openxmlformats.org/officeDocument/2006/relationships/hyperlink" Id="rId20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91" Target="https://books.google.de/books?id=lGxoAAAAIAAJ" TargetMode="External" /><Relationship Type="http://schemas.openxmlformats.org/officeDocument/2006/relationships/hyperlink" Id="rId58" Target="https://branchlocator.bmo.com/index.html" TargetMode="External" /><Relationship Type="http://schemas.openxmlformats.org/officeDocument/2006/relationships/hyperlink" Id="rId176" Target="https://data.ontario.ca/" TargetMode="External" /><Relationship Type="http://schemas.openxmlformats.org/officeDocument/2006/relationships/hyperlink" Id="rId196" Target="https://doi.org/10.1007/s11116-015-9627-9" TargetMode="External" /><Relationship Type="http://schemas.openxmlformats.org/officeDocument/2006/relationships/hyperlink" Id="rId146" Target="https://doi.org/10.1007/s11116-019-09974-w" TargetMode="External" /><Relationship Type="http://schemas.openxmlformats.org/officeDocument/2006/relationships/hyperlink" Id="rId102" Target="https://doi.org/10.1016/B978-0-08-102295-5.10415-9" TargetMode="External" /><Relationship Type="http://schemas.openxmlformats.org/officeDocument/2006/relationships/hyperlink" Id="rId74" Target="https://doi.org/10.1016/S0016-7185(99)00048-2" TargetMode="External" /><Relationship Type="http://schemas.openxmlformats.org/officeDocument/2006/relationships/hyperlink" Id="rId85" Target="https://doi.org/10.1016/j.amepre.2004.11.001" TargetMode="External" /><Relationship Type="http://schemas.openxmlformats.org/officeDocument/2006/relationships/hyperlink" Id="rId72" Target="https://doi.org/10.1016/j.cities.2018.02.003" TargetMode="External" /><Relationship Type="http://schemas.openxmlformats.org/officeDocument/2006/relationships/hyperlink" Id="rId162" Target="https://doi.org/10.1016/j.jenvp.2010.04.005" TargetMode="External" /><Relationship Type="http://schemas.openxmlformats.org/officeDocument/2006/relationships/hyperlink" Id="rId158" Target="https://doi.org/10.1016/j.jth.2023.101668" TargetMode="External" /><Relationship Type="http://schemas.openxmlformats.org/officeDocument/2006/relationships/hyperlink" Id="rId62" Target="https://doi.org/10.1016/j.jtrangeo.2012.08.017" TargetMode="External" /><Relationship Type="http://schemas.openxmlformats.org/officeDocument/2006/relationships/hyperlink" Id="rId64" Target="https://doi.org/10.1016/j.jtrangeo.2013.03.005" TargetMode="External" /><Relationship Type="http://schemas.openxmlformats.org/officeDocument/2006/relationships/hyperlink" Id="rId218" Target="https://doi.org/10.1016/j.jtrangeo.2014.11.004" TargetMode="External" /><Relationship Type="http://schemas.openxmlformats.org/officeDocument/2006/relationships/hyperlink" Id="rId168" Target="https://doi.org/10.1016/j.jtrangeo.2021.103160" TargetMode="External" /><Relationship Type="http://schemas.openxmlformats.org/officeDocument/2006/relationships/hyperlink" Id="rId89" Target="https://doi.org/10.1016/j.jtrangeo.2022.103301" TargetMode="External" /><Relationship Type="http://schemas.openxmlformats.org/officeDocument/2006/relationships/hyperlink" Id="rId152" Target="https://doi.org/10.1016/j.rtbm.2019.100416" TargetMode="External" /><Relationship Type="http://schemas.openxmlformats.org/officeDocument/2006/relationships/hyperlink" Id="rId188" Target="https://doi.org/10.1016/j.tra.2020.02.014" TargetMode="External" /><Relationship Type="http://schemas.openxmlformats.org/officeDocument/2006/relationships/hyperlink" Id="rId79" Target="https://doi.org/10.1016/j.trd.2020.102461" TargetMode="External" /><Relationship Type="http://schemas.openxmlformats.org/officeDocument/2006/relationships/hyperlink" Id="rId87" Target="https://doi.org/10.1016/j.trpro.2021.12.049" TargetMode="External" /><Relationship Type="http://schemas.openxmlformats.org/officeDocument/2006/relationships/hyperlink" Id="rId223" Target="https://doi.org/10.1016/j.ypmed.2016.06.036" TargetMode="External" /><Relationship Type="http://schemas.openxmlformats.org/officeDocument/2006/relationships/hyperlink" Id="rId140" Target="https://doi.org/10.1016/j.ypmed.2016.08.042" TargetMode="External" /><Relationship Type="http://schemas.openxmlformats.org/officeDocument/2006/relationships/hyperlink" Id="rId170" Target="https://doi.org/10.1016/j.ypmed.2018.10.016" TargetMode="External" /><Relationship Type="http://schemas.openxmlformats.org/officeDocument/2006/relationships/hyperlink" Id="rId221" Target="https://doi.org/10.1061/JUPDDM.UPENG-4935" TargetMode="External" /><Relationship Type="http://schemas.openxmlformats.org/officeDocument/2006/relationships/hyperlink" Id="rId118" Target="https://doi.org/10.1068/a291175" TargetMode="External" /><Relationship Type="http://schemas.openxmlformats.org/officeDocument/2006/relationships/hyperlink" Id="rId81" Target="https://doi.org/10.1080/01944361003766766" TargetMode="External" /><Relationship Type="http://schemas.openxmlformats.org/officeDocument/2006/relationships/hyperlink" Id="rId205" Target="https://doi.org/10.1080/02723638.2016.1200279" TargetMode="External" /><Relationship Type="http://schemas.openxmlformats.org/officeDocument/2006/relationships/hyperlink" Id="rId120" Target="https://doi.org/10.1080/09663690903498225" TargetMode="External" /><Relationship Type="http://schemas.openxmlformats.org/officeDocument/2006/relationships/hyperlink" Id="rId100" Target="https://doi.org/10.1080/13668803.2016.1202194" TargetMode="External" /><Relationship Type="http://schemas.openxmlformats.org/officeDocument/2006/relationships/hyperlink" Id="rId150" Target="https://doi.org/10.1080/17450101.2013.844950" TargetMode="External" /><Relationship Type="http://schemas.openxmlformats.org/officeDocument/2006/relationships/hyperlink" Id="rId166" Target="https://doi.org/10.1080/17549175.2014.990916" TargetMode="External" /><Relationship Type="http://schemas.openxmlformats.org/officeDocument/2006/relationships/hyperlink" Id="rId186" Target="https://doi.org/10.1111/area.12182" TargetMode="External" /><Relationship Type="http://schemas.openxmlformats.org/officeDocument/2006/relationships/hyperlink" Id="rId215" Target="https://doi.org/10.1111/gwao.12005" TargetMode="External" /><Relationship Type="http://schemas.openxmlformats.org/officeDocument/2006/relationships/hyperlink" Id="rId172" Target="https://doi.org/10.1177/0739456x04270244" TargetMode="External" /><Relationship Type="http://schemas.openxmlformats.org/officeDocument/2006/relationships/hyperlink" Id="rId132" Target="https://doi.org/10.1191/030913299666161864" TargetMode="External" /><Relationship Type="http://schemas.openxmlformats.org/officeDocument/2006/relationships/hyperlink" Id="rId98" Target="https://doi.org/10.1371/journal.pone.0250080" TargetMode="External" /><Relationship Type="http://schemas.openxmlformats.org/officeDocument/2006/relationships/hyperlink" Id="rId142" Target="https://doi.org/10.18055/Finis16035" TargetMode="External" /><Relationship Type="http://schemas.openxmlformats.org/officeDocument/2006/relationships/hyperlink" Id="rId122" Target="https://doi.org/10.2747/0272-3638.9.2.180" TargetMode="External" /><Relationship Type="http://schemas.openxmlformats.org/officeDocument/2006/relationships/hyperlink" Id="rId156" Target="https://doi.org/10.3390/smartcities4010006" TargetMode="External" /><Relationship Type="http://schemas.openxmlformats.org/officeDocument/2006/relationships/hyperlink" Id="rId154" Target="https://doi.org/10.3390/su13147908" TargetMode="External" /><Relationship Type="http://schemas.openxmlformats.org/officeDocument/2006/relationships/hyperlink" Id="rId174" Target="https://efis.fma.csc.gov.on.ca/faab/Section%2023.htm" TargetMode="External" /><Relationship Type="http://schemas.openxmlformats.org/officeDocument/2006/relationships/hyperlink" Id="rId66" Target="https://equalpaycoalition.org/myths-about-the-gap/" TargetMode="External" /><Relationship Type="http://schemas.openxmlformats.org/officeDocument/2006/relationships/hyperlink" Id="rId144" Target="https://frw.studenttheses.ub.rug.nl/3996/" TargetMode="External" /><Relationship Type="http://schemas.openxmlformats.org/officeDocument/2006/relationships/hyperlink" Id="rId178" Target="https://geohub.lio.gov.on.ca/datasets/ministry-of-health-service-provider-locations/explore?showTable=true" TargetMode="External" /><Relationship Type="http://schemas.openxmlformats.org/officeDocument/2006/relationships/hyperlink" Id="rId164" Target="https://locator.nbc.ca/?=&amp;referrerPageUrl=https%3A%2F%2Fwww.google.com%2F&amp;query=&amp;facetFilters=%7B%7D&amp;filters=%7B%7D" TargetMode="External" /><Relationship Type="http://schemas.openxmlformats.org/officeDocument/2006/relationships/hyperlink" Id="rId191" Target="https://maps.rbc.com/rbcbank/" TargetMode="External" /><Relationship Type="http://schemas.openxmlformats.org/officeDocument/2006/relationships/hyperlink" Id="rId200" Target="https://maps.scotiabank.com/locator/index.html" TargetMode="External" /><Relationship Type="http://schemas.openxmlformats.org/officeDocument/2006/relationships/hyperlink" Id="rId116" Target="https://open.hamilton.ca/" TargetMode="External" /><Relationship Type="http://schemas.openxmlformats.org/officeDocument/2006/relationships/hyperlink" Id="rId110" Target="https://open.hamilton.ca/datasets/272667665de646768db14e9fa1676405_11/explore?location=43.278136%2C-79.921850%2C11.65" TargetMode="External" /><Relationship Type="http://schemas.openxmlformats.org/officeDocument/2006/relationships/hyperlink" Id="rId108" Target="https://open.hamilton.ca/datasets/4f1b554e743b423f9574e7a3ca814cce_6/explore?location=43.273379%2C-79.919100%2C11.87&amp;showTable=true" TargetMode="External" /><Relationship Type="http://schemas.openxmlformats.org/officeDocument/2006/relationships/hyperlink" Id="rId106" Target="https://open.hamilton.ca/datasets/67a54ea25d944cf7b66750ba57da822c_1/explore?location=43.259483%2C-79.917850%2C11.81" TargetMode="External" /><Relationship Type="http://schemas.openxmlformats.org/officeDocument/2006/relationships/hyperlink" Id="rId104" Target="https://open.hamilton.ca/datasets/cccae6f029334927856da6e20a50561f_19/explore" TargetMode="External" /><Relationship Type="http://schemas.openxmlformats.org/officeDocument/2006/relationships/hyperlink" Id="rId114" Target="https://open.hamilton.ca/datasets/dd522e1245b1461887d998c6c17edff7_13/explore?location=43.099541%2C-79.560176%2C9.73" TargetMode="External" /><Relationship Type="http://schemas.openxmlformats.org/officeDocument/2006/relationships/hyperlink" Id="rId70" Target="https://participons.ottawa.ca/nouveau-plan-officiel/news_feed/quartier-du-quart-d-heure" TargetMode="External" /><Relationship Type="http://schemas.openxmlformats.org/officeDocument/2006/relationships/hyperlink" Id="rId182" Target="https://payequity.gov.on.ca/the-gender-wage-gap-its-more-than-you-think/" TargetMode="External" /><Relationship Type="http://schemas.openxmlformats.org/officeDocument/2006/relationships/hyperlink" Id="rId68"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198" Target="https://trid.trb.org/view/177893" TargetMode="External" /><Relationship Type="http://schemas.openxmlformats.org/officeDocument/2006/relationships/hyperlink" Id="rId130" Target="https://webapps.ilo.org/wcmsp5/groups/public/---dgreports/---dcomm/---publ/documents/publication/wcms_633135.pdf" TargetMode="External" /><Relationship Type="http://schemas.openxmlformats.org/officeDocument/2006/relationships/hyperlink" Id="rId60" Target="https://www.canadapost-postescanada.ca/information/app/fpo/personal/findpostoffice" TargetMode="External" /><Relationship Type="http://schemas.openxmlformats.org/officeDocument/2006/relationships/hyperlink" Id="rId56" Target="https://www.data-axle.com/our-data/" TargetMode="External" /><Relationship Type="http://schemas.openxmlformats.org/officeDocument/2006/relationships/hyperlink" Id="rId112" Target="https://www.hamilton.ca/people-programs/early-years-child-care/child-care-services/child-care-registry" TargetMode="External" /><Relationship Type="http://schemas.openxmlformats.org/officeDocument/2006/relationships/hyperlink" Id="rId124" Target="https://www.hnhbhealthline.ca/listServices.aspx?id=10072&amp;region=Hamilton" TargetMode="External" /><Relationship Type="http://schemas.openxmlformats.org/officeDocument/2006/relationships/hyperlink" Id="rId128" Target="https://www.hsbc.ca/branch-locator/" TargetMode="External" /><Relationship Type="http://schemas.openxmlformats.org/officeDocument/2006/relationships/hyperlink" Id="rId148" Target="https://www.jstor.org/stable/26622423" TargetMode="External" /><Relationship Type="http://schemas.openxmlformats.org/officeDocument/2006/relationships/hyperlink" Id="rId180" Target="https://www.paris.fr/dossiers/paris-ville-du-quart-d-heure-ou-le-pari-de-la-proximite-37" TargetMode="External" /><Relationship Type="http://schemas.openxmlformats.org/officeDocument/2006/relationships/hyperlink" Id="rId184" Target="https://www.portlandonline.com/portlandplan/index.cfm?c=52256&amp;a=288098" TargetMode="External" /><Relationship Type="http://schemas.openxmlformats.org/officeDocument/2006/relationships/hyperlink" Id="rId211" Target="https://www.sciencebase.gov/catalog/item/530f8a0ee4b0e7e46bd300dd" TargetMode="External" /><Relationship Type="http://schemas.openxmlformats.org/officeDocument/2006/relationships/hyperlink" Id="rId93" Target="https://www.statcan.gc.ca/o1/en/plus/4555-gender-equality-week-examining-intersectional-gender-wage-gap-canada" TargetMode="External" /><Relationship Type="http://schemas.openxmlformats.org/officeDocument/2006/relationships/hyperlink" Id="rId95" Target="https://www.statcan.gc.ca/o1/en/plus/4823-women-labour-market-increased-potential-pay-and-participation" TargetMode="External" /><Relationship Type="http://schemas.openxmlformats.org/officeDocument/2006/relationships/hyperlink" Id="rId207" Target="https://www.td.com/ca/en/personal-banking/branch-locator#/" TargetMode="External" /><Relationship Type="http://schemas.openxmlformats.org/officeDocument/2006/relationships/hyperlink" Id="rId203" Target="https://www12.statcan.gc.ca/census-recensement/index-eng.cfm" TargetMode="External" /><Relationship Type="http://schemas.openxmlformats.org/officeDocument/2006/relationships/hyperlink" Id="rId76" Target="https://www150.statcan.gc.ca/n1/pub/45-20-0002/452000022023002-eng.htm" TargetMode="External" /><Relationship Type="http://schemas.openxmlformats.org/officeDocument/2006/relationships/hyperlink" Id="rId160" Target="https://www150.statcan.gc.ca/n1/pub/89-503-x/2015001/article/54931-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 Léa Ravensbergen; Lucía Mejía Dorantes; Antonio Páez</dc:creator>
  <cp:keywords>Accessibility, Mobility of Care, Gender, 15-Minute City, Care Complete Neighbourhoods</cp:keywords>
  <dcterms:created xsi:type="dcterms:W3CDTF">2024-05-16T20:55:46Z</dcterms:created>
  <dcterms:modified xsi:type="dcterms:W3CDTF">2024-05-16T20:55:46Z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