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50.png" ContentType="image/png"/>
  <Override PartName="/word/media/rId62.png" ContentType="image/png"/>
  <Override PartName="/word/media/rId253.png" ContentType="image/png"/>
  <Override PartName="/word/media/rId46.png" ContentType="image/png"/>
  <Override PartName="/word/media/rId35.png" ContentType="image/png"/>
  <Override PartName="/word/media/rId54.png" ContentType="image/png"/>
  <Override PartName="/word/media/rId42.png" ContentType="image/png"/>
  <Override PartName="/word/media/rId2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Towards</w:t>
      </w:r>
      <w:r>
        <w:t xml:space="preserve"> </w:t>
      </w:r>
      <w:r>
        <w:t xml:space="preserve">caring</w:t>
      </w:r>
      <w:r>
        <w:t xml:space="preserve"> </w:t>
      </w:r>
      <w:r>
        <w:t xml:space="preserve">15-minute</w:t>
      </w:r>
      <w:r>
        <w:t xml:space="preserve"> </w:t>
      </w:r>
      <w:r>
        <w:t xml:space="preserve">neighbourhoods</w:t>
      </w:r>
    </w:p>
    <w:p>
      <w:pPr>
        <w:pStyle w:val="Author"/>
      </w:pPr>
      <w:r>
        <w:t xml:space="preserve">Anastasia</w:t>
      </w:r>
      <w:r>
        <w:t xml:space="preserve"> </w:t>
      </w:r>
      <w:r>
        <w:t xml:space="preserve">Soukhov</w:t>
      </w:r>
    </w:p>
    <w:p>
      <w:pPr>
        <w:pStyle w:val="Author"/>
      </w:pPr>
      <w:r>
        <w:t xml:space="preserve">Léa</w:t>
      </w:r>
      <w:r>
        <w:t xml:space="preserve"> </w:t>
      </w:r>
      <w:r>
        <w:t xml:space="preserve">Ravensbergen</w:t>
      </w:r>
    </w:p>
    <w:p>
      <w:pPr>
        <w:pStyle w:val="Author"/>
      </w:pPr>
      <w:r>
        <w:t xml:space="preserve">Lucía</w:t>
      </w:r>
      <w:r>
        <w:t xml:space="preserve"> </w:t>
      </w:r>
      <w:r>
        <w:t xml:space="preserve">Mejía</w:t>
      </w:r>
      <w:r>
        <w:t xml:space="preserve"> </w:t>
      </w:r>
      <w:r>
        <w:t xml:space="preserve">Dorantes</w:t>
      </w:r>
    </w:p>
    <w:p>
      <w:pPr>
        <w:pStyle w:val="Author"/>
      </w:pPr>
      <w:r>
        <w:t xml:space="preserve">Antonio</w:t>
      </w:r>
      <w:r>
        <w:t xml:space="preserve"> </w:t>
      </w:r>
      <w:r>
        <w:t xml:space="preserve">Páez</w:t>
      </w:r>
    </w:p>
    <w:bookmarkStart w:id="20" w:name="abstract"/>
    <w:p>
      <w:pPr>
        <w:pStyle w:val="Heading1"/>
      </w:pPr>
      <w:r>
        <w:t xml:space="preserve">Abstract</w:t>
      </w:r>
    </w:p>
    <w:p>
      <w:pPr>
        <w:pStyle w:val="FirstParagraph"/>
      </w:pPr>
      <w:r>
        <w:t xml:space="preserve">The 15-minute neighbourhood is a concept in planning that promotes urban spaces that are responsive to human needs and environmental sensibilities. These neighbuorhoods aim to accomplish this by ensuring that most daily necessities are not further away than a 15 minutes active trip</w:t>
      </w:r>
      <w:r>
        <w:t xml:space="preserve"> </w:t>
      </w:r>
      <w:r>
        <w:t xml:space="preserve">(Allam et al. 2022)</w:t>
      </w:r>
      <w:r>
        <w:t xml:space="preserve">. In practice, 15-minute neighborhoods are a form of normative accessibility</w:t>
      </w:r>
      <w:r>
        <w:t xml:space="preserve"> </w:t>
      </w:r>
      <w:r>
        <w:t xml:space="preserve">(Paez, Scott, and Morency 2012)</w:t>
      </w:r>
      <w:r>
        <w:t xml:space="preserve">, and therefore related to accessibility analysis, an increasingly important tool that planners use to foster just and sustainable cities</w:t>
      </w:r>
      <w:r>
        <w:t xml:space="preserve"> </w:t>
      </w:r>
      <w:r>
        <w:t xml:space="preserve">(Vale and Lopes 2023; S. Handy 2020)</w:t>
      </w:r>
      <w:r>
        <w:t xml:space="preserve">. Both the 15-minute neighborhood and accessibility measures are flexible enough to consider all destination types holistically, however, gendered examinations have been lacking in the literature. For instance, accessibility analyses have historically been employment-centric even when adopting a gendered perspective</w:t>
      </w:r>
      <w:r>
        <w:t xml:space="preserve"> </w:t>
      </w:r>
      <w:r>
        <w:t xml:space="preserve">(Páez et al. 2013)</w:t>
      </w:r>
      <w:r>
        <w:t xml:space="preserve">.</w:t>
      </w:r>
    </w:p>
    <w:p>
      <w:pPr>
        <w:pStyle w:val="BodyText"/>
      </w:pPr>
      <w:r>
        <w:t xml:space="preserve">To address this gender bias, this study investigates the 15-minute neighbourhood through the lens of Mobility of Care</w:t>
      </w:r>
      <w:r>
        <w:t xml:space="preserve"> </w:t>
      </w:r>
      <w:r>
        <w:t xml:space="preserve">(Sánchez de Madariaga 2013)</w:t>
      </w:r>
      <w:r>
        <w:t xml:space="preserve">. This framework emphasizes the importance of travel related to unpaid work (care trips) in contrast to the better-studied travel to employment and leisure</w:t>
      </w:r>
      <w:r>
        <w:t xml:space="preserve"> </w:t>
      </w:r>
      <w:r>
        <w:t xml:space="preserve">(Law 1999; Cresswell and Uteng 2008; Levy 1992, 1991, 2013)</w:t>
      </w:r>
      <w:r>
        <w:t xml:space="preserve">. While these trip types (work, care, and leisure) are essential, care trips are often relatively shorter-distance, proximate to residential/work/school, and comprise approximately 30% of adults’ daily trips</w:t>
      </w:r>
      <w:r>
        <w:t xml:space="preserve"> </w:t>
      </w:r>
      <w:r>
        <w:t xml:space="preserve">(Sánchez de Madariaga and Zucchini 2019; Ravensbergen, Fournier, and El-Geneidy 2023; Mejía-Dorantes, Montero, and Barceló 2021)</w:t>
      </w:r>
      <w:r>
        <w:t xml:space="preserve">, thus fitting neatly within the concept of 15-minute neighbourhoods.</w:t>
      </w:r>
    </w:p>
    <w:p>
      <w:pPr>
        <w:pStyle w:val="BodyText"/>
      </w:pPr>
      <w:r>
        <w:t xml:space="preserve">Our study casts the 15-minute neighbourhood onto the Mobility of Care framework. Empirically, we identify which areas in Hamilton, Canada, are</w:t>
      </w:r>
      <w:r>
        <w:t xml:space="preserve"> </w:t>
      </w:r>
      <w:r>
        <w:t xml:space="preserve">‘</w:t>
      </w:r>
      <w:r>
        <w:t xml:space="preserve">caring 15-minute neighbourhoods</w:t>
      </w:r>
      <w:r>
        <w:t xml:space="preserve">’</w:t>
      </w:r>
      <w:r>
        <w:t xml:space="preserve">. To do so, a database of care destinations was compiled. In this database, care destinations include all places associated with sustaining household tasks needed for the reproduction of life namely: shopping (e.g., groceries), errands (e.g., libraries), health (e.g., dentist), and caring for dependents (e.g., schools). This database is used to estimate the number and mix of care-destinations that can be reached within a 15-minute walk-sheds from census centroids. We generate typologies to illustrate which neighbourhoods can and to what degree facilitate 15-minute access to care.</w:t>
      </w:r>
    </w:p>
    <w:p>
      <w:pPr>
        <w:pStyle w:val="BodyText"/>
      </w:pPr>
      <w:r>
        <w:t xml:space="preserve">Our results indicate which 15-minute neighbourhoods are almost</w:t>
      </w:r>
      <w:r>
        <w:t xml:space="preserve"> </w:t>
      </w:r>
      <w:r>
        <w:t xml:space="preserve">‘</w:t>
      </w:r>
      <w:r>
        <w:t xml:space="preserve">care-complete</w:t>
      </w:r>
      <w:r>
        <w:t xml:space="preserve">’</w:t>
      </w:r>
      <w:r>
        <w:t xml:space="preserve">, that is, contain a sufficiently high mix of care destinations. Very few of these are found outside of the downtown core. Our study frames these neighbourhoods on a continuum of</w:t>
      </w:r>
      <w:r>
        <w:t xml:space="preserve"> </w:t>
      </w:r>
      <w:r>
        <w:t xml:space="preserve">‘</w:t>
      </w:r>
      <w:r>
        <w:t xml:space="preserve">caring</w:t>
      </w:r>
      <w:r>
        <w:t xml:space="preserve">’</w:t>
      </w:r>
      <w:r>
        <w:t xml:space="preserve"> </w:t>
      </w:r>
      <w:r>
        <w:t xml:space="preserve">and helps identify areas for policy intervention. Taken together, this study provides a theoretical bridge to connect and Mobility of Care, 15-minute neighbourhoods, and accessibility analysis. This should help to inform policy choices aimed at encouraging more just and sustainable mobility.</w:t>
      </w:r>
    </w:p>
    <w:bookmarkEnd w:id="20"/>
    <w:bookmarkStart w:id="23" w:name="introduction"/>
    <w:p>
      <w:pPr>
        <w:pStyle w:val="Heading1"/>
      </w:pPr>
      <w:r>
        <w:t xml:space="preserve">Introduction</w:t>
      </w:r>
    </w:p>
    <w:p>
      <w:pPr>
        <w:pStyle w:val="FirstParagraph"/>
      </w:pPr>
      <w:r>
        <w:t xml:space="preserve">Caring is one of the most fundamental activities in societies, since it consists of numerous activities that allow them to thrive. Caring activities are those that strive to meet the physical, psychological, and emotional needs of others</w:t>
      </w:r>
      <w:r>
        <w:t xml:space="preserve"> </w:t>
      </w:r>
      <w:r>
        <w:t xml:space="preserve">(ILO 2018)</w:t>
      </w:r>
      <w:r>
        <w:t xml:space="preserve">. Yet, it is one of the most unequal, undervalued, and even devalued activities worldwide. Traditionally, caring activities have been borne on women’s shoulders</w:t>
      </w:r>
      <w:r>
        <w:t xml:space="preserve"> </w:t>
      </w:r>
      <w:r>
        <w:t xml:space="preserve">(Hayden 1982; Hochschild and Machung 2012)</w:t>
      </w:r>
      <w:r>
        <w:t xml:space="preserve">. According to</w:t>
      </w:r>
      <w:r>
        <w:t xml:space="preserve"> </w:t>
      </w:r>
      <w:r>
        <w:t xml:space="preserve">ILO (2018)</w:t>
      </w:r>
      <w:r>
        <w:t xml:space="preserve">, women and girls perform more than three-quarters of the total amount of unpaid care, a gender gap that varies geographically</w:t>
      </w:r>
      <w:r>
        <w:t xml:space="preserve"> </w:t>
      </w:r>
      <w:r>
        <w:t xml:space="preserve">(Ferrant, Pesando, and Nowacka 2014)</w:t>
      </w:r>
      <w:r>
        <w:t xml:space="preserve">.</w:t>
      </w:r>
    </w:p>
    <w:p>
      <w:pPr>
        <w:pStyle w:val="BodyText"/>
      </w:pPr>
      <w:r>
        <w:t xml:space="preserve">This unequal share of caring responsibilities leads to multifaceted gendered differences: in career development, profession selection, contract type, pay gap, and time poverty, as recognized by various international organisations</w:t>
      </w:r>
      <w:r>
        <w:t xml:space="preserve"> </w:t>
      </w:r>
      <w:r>
        <w:t xml:space="preserve">(EIGE 2016; ILO 2018)</w:t>
      </w:r>
      <w:r>
        <w:t xml:space="preserve">. In fact, early feminists in the United States had already observed that domestic labor was the single most relevant cause of women’s inequality in society</w:t>
      </w:r>
      <w:r>
        <w:t xml:space="preserve"> </w:t>
      </w:r>
      <w:r>
        <w:t xml:space="preserve">(Gordon 1976; Hayden 1982)</w:t>
      </w:r>
      <w:r>
        <w:t xml:space="preserve">.</w:t>
      </w:r>
    </w:p>
    <w:p>
      <w:pPr>
        <w:pStyle w:val="BodyText"/>
      </w:pPr>
      <w:r>
        <w:t xml:space="preserve">Care also has important implications for spatial and transportation planning. Indeed, researchers from various fields have highlighted that western modern industrial societies have imposed a physical separation of the private sphere from the public one, splitting production and reproduction, public and private spaces or simply work and home, concentrating on the economic outcome of being mobile</w:t>
      </w:r>
      <w:r>
        <w:t xml:space="preserve"> </w:t>
      </w:r>
      <w:r>
        <w:t xml:space="preserve">(Cresswell and Uteng 2008; Law 1999; Levy 2013; Little 1994; Tronto and Fisher 1990)</w:t>
      </w:r>
      <w:r>
        <w:t xml:space="preserve">. The man with legal rights, paid labour public sphere and woman in the private sphere, dependent, with family duties, personal relations and unpaid labour</w:t>
      </w:r>
      <w:r>
        <w:t xml:space="preserve"> </w:t>
      </w:r>
      <w:r>
        <w:t xml:space="preserve">(Tronto and Fisher 1990)</w:t>
      </w:r>
      <w:r>
        <w:t xml:space="preserve">. In this line,</w:t>
      </w:r>
      <w:r>
        <w:t xml:space="preserve"> </w:t>
      </w:r>
      <w:r>
        <w:t xml:space="preserve">Cresswell and Uteng (2008)</w:t>
      </w:r>
      <w:r>
        <w:t xml:space="preserve"> </w:t>
      </w:r>
      <w:r>
        <w:t xml:space="preserve">described how masculinity was related to mobile and active, whereas femininity to static. As an example of this dichotomy, transport planning historically framed non-work/school trips as</w:t>
      </w:r>
      <w:r>
        <w:t xml:space="preserve"> </w:t>
      </w:r>
      <w:r>
        <w:t xml:space="preserve">‘</w:t>
      </w:r>
      <w:r>
        <w:t xml:space="preserve">non-mandatory</w:t>
      </w:r>
      <w:r>
        <w:t xml:space="preserve">’</w:t>
      </w:r>
      <w:r>
        <w:t xml:space="preserve"> </w:t>
      </w:r>
      <w:r>
        <w:t xml:space="preserve">activities, downgrading these activities in comparison to work. In more recent years, planners have begun to resist this spatial separation of the public and private sphere to promote for sustainable cities. Proximity planning has become more normalized, at popular example of which is the 15-minute neighbourhood, in which residents can reach all necessary destinations within a 15-minute walk. The 15-minute neighbourhood concept, however, has yet to foreground care.</w:t>
      </w:r>
    </w:p>
    <w:p>
      <w:pPr>
        <w:pStyle w:val="BodyText"/>
      </w:pPr>
      <w:r>
        <w:t xml:space="preserve">While much care labour takes place in the private and feminised sphere, completing care activities requires one to be mobile. In other words: caring for oneself and others requires trips to, amongst other places, grocery stores, day cares, elder care, and health care destinations.</w:t>
      </w:r>
    </w:p>
    <w:p>
      <w:pPr>
        <w:pStyle w:val="BodyText"/>
      </w:pPr>
      <w:r>
        <w:t xml:space="preserve">From this research motivation, Sánchez de Madariaga coined the term</w:t>
      </w:r>
      <w:r>
        <w:t xml:space="preserve"> </w:t>
      </w:r>
      <w:r>
        <w:t xml:space="preserve">‘</w:t>
      </w:r>
      <w:r>
        <w:t xml:space="preserve">mobility of care</w:t>
      </w:r>
      <w:r>
        <w:t xml:space="preserve">’</w:t>
      </w:r>
      <w:r>
        <w:t xml:space="preserve"> </w:t>
      </w:r>
      <w:r>
        <w:t xml:space="preserve">in 2013 to refer to this travel or all travel required to sustain the needs of a household, such as grocery shopping, escorting children, travelling to health appointments, and running errands</w:t>
      </w:r>
      <w:r>
        <w:t xml:space="preserve"> </w:t>
      </w:r>
      <w:r>
        <w:t xml:space="preserve">(Sánchez de Madariaga 2013)</w:t>
      </w:r>
      <w:r>
        <w:t xml:space="preserve">. While decades of research had examined these unique household-serving trips, her seminal work was the first to consider all these trips as one category. In doing so, she showed how mobility of care is a significant proportion of daily travel. Indeed, in her original work, and in the studies that have followed, it appears that approximately 30% of adults’ trips are for care purposes</w:t>
      </w:r>
      <w:r>
        <w:t xml:space="preserve"> </w:t>
      </w:r>
      <w:r>
        <w:t xml:space="preserve">(Sánchez de Madariaga 2013; Sánchez de Madariaga and Zucchini 2019; Ravensbergen, Fournier, and El-Geneidy 2023)</w:t>
      </w:r>
      <w:r>
        <w:t xml:space="preserve">. Perhaps unsurprisingly given the gendered division of care work discussed above, women have consistently been found to complete more mobility of care trips than men. In one study, mobility of care comprised 32% of women’s daily trips compared to 28% of men’s. While this gap was significant, it was found to be far greater in lower income households where women complete 20% more care trips than men</w:t>
      </w:r>
      <w:r>
        <w:t xml:space="preserve"> </w:t>
      </w:r>
      <w:r>
        <w:t xml:space="preserve">(Ravensbergen, Fournier, and El-Geneidy 2023)</w:t>
      </w:r>
      <w:r>
        <w:t xml:space="preserve">. Sánchez de Madariaga not only shows how important these mobility of care trips are, but also highlights the ways in which</w:t>
      </w:r>
      <w:r>
        <w:t xml:space="preserve"> </w:t>
      </w:r>
      <w:r>
        <w:t xml:space="preserve">“</w:t>
      </w:r>
      <w:r>
        <w:t xml:space="preserve">mobility of care is systematically under-represented in any analysis of urban transport</w:t>
      </w:r>
      <w:r>
        <w:t xml:space="preserve">”</w:t>
      </w:r>
      <w:r>
        <w:t xml:space="preserve"> </w:t>
      </w:r>
      <w:r>
        <w:t xml:space="preserve">(p. 37). Transport surveys and tools do not directly capture mobility of care, which re-enforces the idea that these trips are not a significant part of daily mobility.</w:t>
      </w:r>
    </w:p>
    <w:p>
      <w:pPr>
        <w:pStyle w:val="BodyText"/>
      </w:pPr>
      <w:r>
        <w:t xml:space="preserve">Cities have simplified individuals as a universal and neutral entity. As a result, public spaces are differently experienced depending on our multiple identities. Indeed, asymmetric in the distribution of time of citizens is deeply anchored with the public and private spaces organization within cities. In this light, we bring together the literatures on 15-minute cities and mobility of care by focusing on the potential access to destinations of care through an empirical case study of the mid-sized city of Hamilton, Canada. We acknowledge that caring is composed by actors and activities but aim to spotlight the role that the urban environment plays on our daily lives, on easing our participation and on exercising our rights to the city as individuals with multiple identities. Our work hopes to contribute to a fruitful discussion that may trigger urban and transport policy interventions that increase gender-equity in caring activities among all actors.</w:t>
      </w:r>
    </w:p>
    <w:bookmarkStart w:id="21" w:name="feminist-15-minute-neighbourhoods"/>
    <w:p>
      <w:pPr>
        <w:pStyle w:val="Heading2"/>
      </w:pPr>
      <w:r>
        <w:t xml:space="preserve">Feminist 15-minute neighbourhoods</w:t>
      </w:r>
    </w:p>
    <w:p>
      <w:pPr>
        <w:pStyle w:val="FirstParagraph"/>
      </w:pPr>
      <w:commentRangeStart w:id="0"/>
      <w:r>
        <w:t xml:space="preserve"> </w:t>
      </w:r>
      <w:commentRangeEnd w:id="0"/>
      <w:r>
        <w:rPr>
          <w:rStyle w:val="CommentReference"/>
        </w:rPr>
        <w:commentReference w:id="0"/>
      </w:r>
    </w:p>
    <w:p>
      <w:pPr>
        <w:pStyle w:val="BodyText"/>
      </w:pPr>
      <w:r>
        <w:t xml:space="preserve">Within the backdrop of urban planning and</w:t>
      </w:r>
      <w:r>
        <w:t xml:space="preserve"> </w:t>
      </w:r>
      <w:r>
        <w:t xml:space="preserve">‘</w:t>
      </w:r>
      <w:r>
        <w:t xml:space="preserve">mobility of care</w:t>
      </w:r>
      <w:r>
        <w:t xml:space="preserve">’</w:t>
      </w:r>
      <w:r>
        <w:t xml:space="preserve">, we connect our work to the 15-minute neighbourhood concept.</w:t>
      </w:r>
    </w:p>
    <w:p>
      <w:pPr>
        <w:pStyle w:val="BodyText"/>
      </w:pPr>
      <w:r>
        <w:t xml:space="preserve">The spatial structure of cities and regions has been described in different ways and its advantages and disadvantages has been discussed with regard to a wide variety of issues, for example, regarding health, the environment, economic, social and equity impacts. After the traditional monocentric vision of the city with a core Centre Business District (CBD), other alternatives appeared, especially due to the expansion of cities caused by the automobile and motorized transport. The polycentric urban planning emerged based on the idea of sub-centers (or multiple business centers) with their own services and functions, well-connected among other surrounding areas, where the links between land-use and transport were optimised. Economic activities (such as retail or commercial office development) and job centers played an important role in shaping the spatial structure</w:t>
      </w:r>
      <w:r>
        <w:t xml:space="preserve"> </w:t>
      </w:r>
      <w:r>
        <w:t xml:space="preserve">(Schneider 1981; Sweet, Bullivant, and Kanaroglou 2017)</w:t>
      </w:r>
      <w:r>
        <w:t xml:space="preserve">. This concept may have different interpretations depending on the spatial and geographical scales</w:t>
      </w:r>
      <w:r>
        <w:t xml:space="preserve"> </w:t>
      </w:r>
      <w:r>
        <w:t xml:space="preserve">(Hall 2009)</w:t>
      </w:r>
      <w:r>
        <w:t xml:space="preserve">.</w:t>
      </w:r>
    </w:p>
    <w:p>
      <w:pPr>
        <w:pStyle w:val="BodyText"/>
      </w:pPr>
      <w:r>
        <w:t xml:space="preserve">In the last decades, the need for more sustainable, healthier, and liveable cities has received more attention. Planners and policy makers have proposed different alternatives where residents reach</w:t>
      </w:r>
      <w:r>
        <w:t xml:space="preserve"> </w:t>
      </w:r>
      <w:r>
        <w:t xml:space="preserve">“</w:t>
      </w:r>
      <w:r>
        <w:t xml:space="preserve">essential activities</w:t>
      </w:r>
      <w:r>
        <w:t xml:space="preserve">”</w:t>
      </w:r>
      <w:r>
        <w:t xml:space="preserve"> </w:t>
      </w:r>
      <w:r>
        <w:t xml:space="preserve">within walkable or cycling distances, reducing the need for using motorised transportation modes. The 15-minutes cities or</w:t>
      </w:r>
      <w:r>
        <w:t xml:space="preserve"> </w:t>
      </w:r>
      <w:r>
        <w:t xml:space="preserve">“</w:t>
      </w:r>
      <w:r>
        <w:t xml:space="preserve">x</w:t>
      </w:r>
      <w:r>
        <w:t xml:space="preserve">”</w:t>
      </w:r>
      <w:r>
        <w:t xml:space="preserve">-minutes cities, have been long under the spotlight. This approach has also received the name of Chrono-urbanism or the</w:t>
      </w:r>
      <w:r>
        <w:t xml:space="preserve"> </w:t>
      </w:r>
      <w:r>
        <w:t xml:space="preserve">“</w:t>
      </w:r>
      <w:r>
        <w:t xml:space="preserve">cities of proximity</w:t>
      </w:r>
      <w:r>
        <w:t xml:space="preserve">”</w:t>
      </w:r>
      <w:r>
        <w:t xml:space="preserve"> </w:t>
      </w:r>
      <w:r>
        <w:t xml:space="preserve">(Logan et al. 2022; Moreno et al. 2021)</w:t>
      </w:r>
      <w:r>
        <w:t xml:space="preserve">.</w:t>
      </w:r>
    </w:p>
    <w:p>
      <w:pPr>
        <w:pStyle w:val="BodyText"/>
      </w:pPr>
      <w:r>
        <w:t xml:space="preserve">In the international context, there are different examples that highlight the importance of good access to different services and amenities within walkable distances. Probably one of the first cities to adopt the proximity approach was Portland. The Portland Plan</w:t>
      </w:r>
      <w:r>
        <w:t xml:space="preserve"> </w:t>
      </w:r>
      <w:r>
        <w:t xml:space="preserve">(Portland 2010)</w:t>
      </w:r>
      <w:r>
        <w:t xml:space="preserve"> </w:t>
      </w:r>
      <w:r>
        <w:t xml:space="preserve">was adopted by the City Council on April 25, 2012 aiming at fostering an inclusive city development based on prosperity, education, health, and equity for the following 30 years. The progress report states that equity should be achieved, an Office of Equity and Human Rights was established focusing on equitable service delivery to all residents. Nonetheless the progress report only measures progress on topics related to racial equity or people with disabilities</w:t>
      </w:r>
      <w:r>
        <w:t xml:space="preserve"> </w:t>
      </w:r>
      <w:r>
        <w:t xml:space="preserve">(Government 2017)</w:t>
      </w:r>
      <w:r>
        <w:t xml:space="preserve">.</w:t>
      </w:r>
      <w:r>
        <w:t xml:space="preserve"> </w:t>
      </w:r>
      <w:commentRangeStart w:id="0"/>
      <w:r>
        <w:t xml:space="preserve"> </w:t>
      </w:r>
      <w:commentRangeEnd w:id="0"/>
      <w:r>
        <w:rPr>
          <w:rStyle w:val="CommentReference"/>
        </w:rPr>
        <w:commentReference w:id="0"/>
      </w:r>
    </w:p>
    <w:p>
      <w:pPr>
        <w:pStyle w:val="BodyText"/>
      </w:pPr>
      <w:r>
        <w:t xml:space="preserve">In Paris, the adoption of the 15-minute neighbourhood put into the spotlight this approach. They targeted six social functions that had to be easily accessible at any part of the city: housing, work, health care, groceries, education and leisure</w:t>
      </w:r>
      <w:r>
        <w:t xml:space="preserve"> </w:t>
      </w:r>
      <w:r>
        <w:t xml:space="preserve">(Paris 2022)</w:t>
      </w:r>
      <w:r>
        <w:t xml:space="preserve">. In 2021, Ottawa also adopted a 15-Minutes approach in the new City of Ottawa Official Plan</w:t>
      </w:r>
      <w:r>
        <w:t xml:space="preserve"> </w:t>
      </w:r>
      <w:r>
        <w:t xml:space="preserve">(d’Ottawa 2021)</w:t>
      </w:r>
      <w:r>
        <w:t xml:space="preserve">. More recently,</w:t>
      </w:r>
      <w:r>
        <w:t xml:space="preserve"> </w:t>
      </w:r>
      <w:r>
        <w:t xml:space="preserve">Moreno et al. (2021)</w:t>
      </w:r>
      <w:r>
        <w:t xml:space="preserve"> </w:t>
      </w:r>
      <w:r>
        <w:t xml:space="preserve">considers four dimensions on how the 15-minute neighbourhood framework: density (in terms of people per sq.km); diversity (including mixed-land use and diversity of people; the temporal and spatial proximity to essential services (residential areas, work, commercial areas, education centres, health facilities and other basic institutions) and digitalisation. In this respect, the feminist perspective of the cities of proximity is still underestimated. Only few examples exist that specifically target this issue</w:t>
      </w:r>
      <w:r>
        <w:t xml:space="preserve"> </w:t>
      </w:r>
      <w:r>
        <w:t xml:space="preserve">(Gil Solá and Vilhelmson 2022; MacIntyre 2022)</w:t>
      </w:r>
      <w:r>
        <w:t xml:space="preserve">. Given the impact of caring activities on everyday life, the chrono-urbanism should specifically target the analysis of caring activities.</w:t>
      </w:r>
    </w:p>
    <w:bookmarkEnd w:id="21"/>
    <w:bookmarkStart w:id="22" w:name="mobility-of-care-and-mode-constraints"/>
    <w:p>
      <w:pPr>
        <w:pStyle w:val="Heading2"/>
      </w:pPr>
      <w:r>
        <w:t xml:space="preserve">Mobility of care and mode-constraints</w:t>
      </w:r>
    </w:p>
    <w:p>
      <w:pPr>
        <w:pStyle w:val="FirstParagraph"/>
      </w:pPr>
      <w:r>
        <w:t xml:space="preserve">Given that almost one third of daily trips are for care purposes</w:t>
      </w:r>
      <w:r>
        <w:t xml:space="preserve"> </w:t>
      </w:r>
      <w:r>
        <w:t xml:space="preserve">(Sánchez de Madariaga 2013)</w:t>
      </w:r>
      <w:r>
        <w:t xml:space="preserve">, it is important to plan for mobility of care. There are also equity considerations to consider; women, and especially low-income women, are particularly in charge of these duties and therefore, complete this travel more than men. Planning for mobility of care may also warrant different considerations because mobility of care trip characteristics differ from other trips, notably those of the commute to work. For instance, many of these trips are made through trip-chains, i.e., when a non-work-related stop is made during the commute. Women have been found to do so more than men, which is understood as being due to their need to balance unpaid-household serving care and paid employment (e.g., picking up groceries or children on the way home from work)</w:t>
      </w:r>
      <w:r>
        <w:t xml:space="preserve"> </w:t>
      </w:r>
      <w:r>
        <w:t xml:space="preserve">(Ravensbergen, Fournier, and El-Geneidy 2023; Scheiner and Holz-Rau 2015)</w:t>
      </w:r>
      <w:r>
        <w:t xml:space="preserve">.</w:t>
      </w:r>
    </w:p>
    <w:p>
      <w:pPr>
        <w:pStyle w:val="BodyText"/>
      </w:pPr>
      <w:r>
        <w:t xml:space="preserve">Further, compared to the trip to work, mobility of care trips are more frequently completed by foot, and less frequently done by transit or bicycle</w:t>
      </w:r>
      <w:r>
        <w:t xml:space="preserve"> </w:t>
      </w:r>
      <w:r>
        <w:t xml:space="preserve">(Ravensbergen, Fournier, and El-Geneidy 2023)</w:t>
      </w:r>
      <w:r>
        <w:t xml:space="preserve">. Further, evidence suggests that walking is more common for care than for work trips because care trips tend to be short</w:t>
      </w:r>
      <w:r>
        <w:t xml:space="preserve"> </w:t>
      </w:r>
      <w:r>
        <w:t xml:space="preserve">(Ravensbergen, Fournier, and El-Geneidy 2023)</w:t>
      </w:r>
      <w:r>
        <w:t xml:space="preserve">; if care destinations are closer to the home, it is more likely that these destinations are walkable. Ample literature examines the benefits and barriers to walking care destinations, such as schools (e.g.,</w:t>
      </w:r>
      <w:r>
        <w:t xml:space="preserve"> </w:t>
      </w:r>
      <w:r>
        <w:t xml:space="preserve">(Omura et al. 2019; Yu and Zhu 2016; Napier et al. 2011)</w:t>
      </w:r>
      <w:r>
        <w:t xml:space="preserve">) and grocery stores (e.g.,</w:t>
      </w:r>
      <w:r>
        <w:t xml:space="preserve"> </w:t>
      </w:r>
      <w:r>
        <w:t xml:space="preserve">(Morioka et al. 2023; Negron-Poblete, Séguin, and Apparicio 2016)</w:t>
      </w:r>
      <w:r>
        <w:t xml:space="preserve">). However, little of this work uses the mobility of care framework. Instead, they tend to consider singular care destinations in research focusing on walkability.</w:t>
      </w:r>
    </w:p>
    <w:p>
      <w:pPr>
        <w:pStyle w:val="BodyText"/>
      </w:pPr>
      <w:commentRangeStart w:id="0"/>
      <w:r>
        <w:t xml:space="preserve">.</w:t>
      </w:r>
      <w:commentRangeEnd w:id="0"/>
      <w:r>
        <w:rPr>
          <w:rStyle w:val="CommentReference"/>
        </w:rPr>
        <w:commentReference w:id="0"/>
      </w:r>
      <w:r>
        <w:t xml:space="preserve"> </w:t>
      </w:r>
      <w:r>
        <w:t xml:space="preserve">In car dependent cities, cycling commute rates tend to be low. Emerging evidence has found that they are even lower for care trips than for work trips. For instance, in Montréal it is estimated that 2% of work trips completed by adults are done by bicycle, while only 1.1% of care trips are done using this sustainable travel mode</w:t>
      </w:r>
      <w:r>
        <w:t xml:space="preserve"> </w:t>
      </w:r>
      <w:r>
        <w:t xml:space="preserve">(Ravensbergen, Fournier, and El-Geneidy 2023)</w:t>
      </w:r>
      <w:r>
        <w:t xml:space="preserve">. Qualitative research has also found that in car-dependent contexts, many consider it inappropriate and unsafe to conduct escort trips by bicycle</w:t>
      </w:r>
      <w:r>
        <w:t xml:space="preserve"> </w:t>
      </w:r>
      <w:r>
        <w:t xml:space="preserve">(Ravensbergen, Buliung, and Sersli 2020; Sersli et al. 2020)</w:t>
      </w:r>
      <w:r>
        <w:t xml:space="preserve">. Then again, other studies have uncovered the joys inherent in travelling by bicycle with children</w:t>
      </w:r>
      <w:r>
        <w:t xml:space="preserve"> </w:t>
      </w:r>
      <w:r>
        <w:t xml:space="preserve">(McIlvenny 2015)</w:t>
      </w:r>
      <w:r>
        <w:t xml:space="preserve">. This qualitative evidence has also found that the bicycle is excellent for trip-chaining owning to its flexibility and ease of parking, and that grocery shopping can be done by bicycle, though this can require some additional materials (e.g., paniers) and competencies (e.g., knowing where to put your groceries)</w:t>
      </w:r>
      <w:r>
        <w:t xml:space="preserve">(Ravensbergen, Buliung, and Sersli 2020)</w:t>
      </w:r>
      <w:r>
        <w:t xml:space="preserve">. Research in the Netherlands, a high-cycling context, has found that parents can and do use their bicycles to complete mobilities of care. Indeed, one study compared women with children’s bicycle behaviours to those without children and found that the having a child did not change the amount of cycling done, but the characteristics of cycling trips: mothers’ trips tended to center around their childrens’ needs</w:t>
      </w:r>
      <w:r>
        <w:t xml:space="preserve"> </w:t>
      </w:r>
      <w:r>
        <w:t xml:space="preserve">(Eye and Ferreira 2015)</w:t>
      </w:r>
      <w:r>
        <w:t xml:space="preserve">. Taken together, it is evident that the bicycle has potential to serve mobility of care: it is flexible, low-cost, and used for these trips in many contexts. Other barriers to this travel mode seems to exist in low-cycling contexts.</w:t>
      </w:r>
    </w:p>
    <w:p>
      <w:pPr>
        <w:pStyle w:val="BodyText"/>
      </w:pPr>
      <w:r>
        <w:t xml:space="preserve">The difference in uptake of public transport for work compared to care trips is staggering. In Montréal, it is estimated that 18.7% of trips to work are made by transit. In contrast only 5.8% of care trips are made using transit</w:t>
      </w:r>
      <w:r>
        <w:t xml:space="preserve"> </w:t>
      </w:r>
      <w:r>
        <w:t xml:space="preserve">(Ravensbergen, Fournier, and El-Geneidy 2023)</w:t>
      </w:r>
      <w:r>
        <w:t xml:space="preserve">. While research examining accessibility to care destinations by transit exists (e.g.,</w:t>
      </w:r>
      <w:r>
        <w:t xml:space="preserve"> </w:t>
      </w:r>
      <w:r>
        <w:t xml:space="preserve">(Michael J. Widener et al. 2015; Michael J. Widener et al. 2017; Niedzielski 2021; Ermagun and Tilahun 2020)</w:t>
      </w:r>
      <w:r>
        <w:t xml:space="preserve">), little research examines why few people use this sustainable transport mode for mobility of care. Though transit use for mobility of care is low, one study found that is it is significantly higher for low-income women. Indeed, approximately 16% of low-income women in Montreal were found to use transit for care trips (compared to 4% of high income women)</w:t>
      </w:r>
      <w:r>
        <w:t xml:space="preserve"> </w:t>
      </w:r>
      <w:r>
        <w:t xml:space="preserve">(Ravensbergen, Fournier, and El-Geneidy 2023)</w:t>
      </w:r>
      <w:r>
        <w:t xml:space="preserve">. In many cities, public transport is not designed to meet household demands in a convenient way</w:t>
      </w:r>
      <w:r>
        <w:t xml:space="preserve"> </w:t>
      </w:r>
      <w:r>
        <w:t xml:space="preserve">(Dowling 2000; Grant-Smith, Osborne, and Johnson 2016)</w:t>
      </w:r>
      <w:r>
        <w:t xml:space="preserve">. Given how low transit use is for care trips amongst the general population, it is possible that many of these low-women using transit are transit-dependent. In other words, they may be using transit for care trips because they do not have access to a car, and not because transit is their preferred travel mode.</w:t>
      </w:r>
    </w:p>
    <w:p>
      <w:pPr>
        <w:pStyle w:val="BodyText"/>
      </w:pPr>
      <w:r>
        <w:t xml:space="preserve">It appears that the car is the preferred travel mode for mobility of care. In one study, car use was higher for mobility of care trips than the commute to work (82.3% vs. 74.7%)</w:t>
      </w:r>
      <w:r>
        <w:t xml:space="preserve"> </w:t>
      </w:r>
      <w:r>
        <w:t xml:space="preserve">(Ravensbergen, Fournier, and El-Geneidy 2023)</w:t>
      </w:r>
      <w:r>
        <w:t xml:space="preserve">. Further, the rate of car use is higher amongst trips that are part of a chain than those that are not (85.28% vs. 78.09%)</w:t>
      </w:r>
      <w:r>
        <w:t xml:space="preserve"> </w:t>
      </w:r>
      <w:r>
        <w:t xml:space="preserve">(Ravensbergen, Fournier, and El-Geneidy 2023)</w:t>
      </w:r>
      <w:r>
        <w:t xml:space="preserve">. Some studies found that a car is viewed as the easier way to incorporate unpaid mobility of care into one’s daily travel as it provides convenience and mitigates concerns about traffic and stranger danger</w:t>
      </w:r>
      <w:r>
        <w:t xml:space="preserve"> </w:t>
      </w:r>
      <w:r>
        <w:t xml:space="preserve">Carver, Timperio, and Crawford (2013)</w:t>
      </w:r>
      <w:r>
        <w:t xml:space="preserve">. Others, however, have found that women are more likely to complete household-serving travel duties by alternative modes than men due to their lower car access</w:t>
      </w:r>
      <w:r>
        <w:t xml:space="preserve"> </w:t>
      </w:r>
      <w:r>
        <w:t xml:space="preserve">(Scheiner and Holz-Rau 2012; Vance and Iovanna 2007)</w:t>
      </w:r>
      <w:r>
        <w:t xml:space="preserve">. It seems that car use may be preferred for mobility of care trips, but planning mobility of care for the car may leave those who do not have access to a car, many of them low-income women, with difficult mobility of care trips.</w:t>
      </w:r>
    </w:p>
    <w:p>
      <w:pPr>
        <w:pStyle w:val="BodyText"/>
      </w:pPr>
      <w:r>
        <w:t xml:space="preserve">The discussion around mobility of care and travel mode may also be relevant to larger spatial trends, including gendered spatial entrapment. Feminist geographers have noted for decades the spatial impact of women’s disproportionate household-serving labour. A relationship has been noted whereby many women’s household responsibilities results in job searches that emphasize job opportunities that are near the home and part-time or with flexible hours to allow for care responsibilities. This leads to a lower probability of securing higher paid, and often further afield, employment</w:t>
      </w:r>
      <w:r>
        <w:t xml:space="preserve"> </w:t>
      </w:r>
      <w:r>
        <w:t xml:space="preserve">(Hanson 2010; Law 1999; Hanson and Pratt 1988; England 1993)</w:t>
      </w:r>
      <w:r>
        <w:t xml:space="preserve">. This trend has been found to be surprisingly resilient, with improvements only taking places slowly</w:t>
      </w:r>
      <w:r>
        <w:t xml:space="preserve"> </w:t>
      </w:r>
      <w:r>
        <w:t xml:space="preserve">(Wheatley 2013)</w:t>
      </w:r>
      <w:r>
        <w:t xml:space="preserve">. Evidence has also shown that this spatial entrapment can be more in car dependent contexts, as access to cars impacts employment rates</w:t>
      </w:r>
      <w:r>
        <w:t xml:space="preserve"> </w:t>
      </w:r>
      <w:r>
        <w:t xml:space="preserve">(Ong and Miller 2005)</w:t>
      </w:r>
      <w:r>
        <w:t xml:space="preserve">, and is lower amongst women, and especially women of colour</w:t>
      </w:r>
      <w:r>
        <w:t xml:space="preserve"> </w:t>
      </w:r>
      <w:r>
        <w:t xml:space="preserve">(Matsuo 2020)</w:t>
      </w:r>
      <w:r>
        <w:t xml:space="preserve">.</w:t>
      </w:r>
    </w:p>
    <w:p>
      <w:pPr>
        <w:pStyle w:val="BodyText"/>
      </w:pPr>
      <w:r>
        <w:t xml:space="preserve">Taken together, there appears to be a preference for travel by car for mobility of care trips. This is problematic, however, in at least two major ways. First, cars are less sustainable than other modes of transport. Normalizing car use for care trips does not advance the low-carbon transport transition that most cities are aiming for (at least in principle!). Since care trips tend to be short, they are also perfect candidate to be completed by bus, bicycle, or by foot. That is, if these alternative and sustainable modes are planned with care in mind. Second, there is equity concerns with assuming people are accessing care destinations by car. Many people, and low-income women in particular, do not have access to a car. Some are also experiencing a degree of spatial entrapment. Having safe and convenient access to care destinations using alternatives to the private car is especially important for those who must rely on these options regardless of whether they are well planned.</w:t>
      </w:r>
    </w:p>
    <w:p>
      <w:pPr>
        <w:pStyle w:val="BodyText"/>
      </w:pPr>
      <w:r>
        <w:t xml:space="preserve">The objectives of the paper are as follows:</w:t>
      </w:r>
    </w:p>
    <w:p>
      <w:pPr>
        <w:numPr>
          <w:ilvl w:val="0"/>
          <w:numId w:val="1001"/>
        </w:numPr>
        <w:pStyle w:val="Compact"/>
      </w:pPr>
      <w:r>
        <w:t xml:space="preserve">City planning is moving to a people-centered approach focusing on accessibility to basic needs. However, chrono-urbanism stems from conventional methods that overlooks mobility of care perspectives. This paper presents a 15-minute cities methodological approach to assess mobility of care.</w:t>
      </w:r>
    </w:p>
    <w:p>
      <w:pPr>
        <w:numPr>
          <w:ilvl w:val="0"/>
          <w:numId w:val="1001"/>
        </w:numPr>
        <w:pStyle w:val="Compact"/>
      </w:pPr>
      <w:r>
        <w:t xml:space="preserve">We develop this approach using a mid-size typical Canadian city and a novel care destination dataset as case study</w:t>
      </w:r>
    </w:p>
    <w:p>
      <w:pPr>
        <w:numPr>
          <w:ilvl w:val="0"/>
          <w:numId w:val="1001"/>
        </w:numPr>
        <w:pStyle w:val="Compact"/>
      </w:pPr>
      <w:r>
        <w:t xml:space="preserve">Furthermore, the potential accessibility to and diversity of care destinations in the case study is analysed. We identify to what degree are neighbourhoods caring and/or complete. To do so, we make use of self organizing maps (SOM), an unsupervised machine learning data-dimensionality reduction technique to identify caring and complete neighbourhoods.</w:t>
      </w:r>
    </w:p>
    <w:p>
      <w:pPr>
        <w:numPr>
          <w:ilvl w:val="0"/>
          <w:numId w:val="1001"/>
        </w:numPr>
        <w:pStyle w:val="Compact"/>
      </w:pPr>
      <w:r>
        <w:t xml:space="preserve">We then apply the same SOM methodology to determine profiles of population groups to understand who enjoys these neighbourhoods and who does not.</w:t>
      </w:r>
    </w:p>
    <w:bookmarkEnd w:id="22"/>
    <w:bookmarkEnd w:id="23"/>
    <w:bookmarkStart w:id="41" w:name="data-and-methods"/>
    <w:p>
      <w:pPr>
        <w:pStyle w:val="Heading1"/>
      </w:pPr>
      <w:r>
        <w:t xml:space="preserve">Data and Methods</w:t>
      </w:r>
    </w:p>
    <w:bookmarkStart w:id="32" w:name="case-study-context"/>
    <w:p>
      <w:pPr>
        <w:pStyle w:val="Heading2"/>
      </w:pPr>
      <w:r>
        <w:t xml:space="preserve">Case study context</w:t>
      </w:r>
    </w:p>
    <w:p>
      <w:pPr>
        <w:pStyle w:val="FirstParagraph"/>
      </w:pPr>
      <w:r>
        <w:t xml:space="preserve">In Canada, women have become more educated and have an achieved an increased participation in the labour market</w:t>
      </w:r>
      <w:r>
        <w:t xml:space="preserve"> </w:t>
      </w:r>
      <w:r>
        <w:t xml:space="preserve">(Government of Canada 2023a)</w:t>
      </w:r>
      <w:r>
        <w:t xml:space="preserve">. In fact, the educational level of women has surpassed most men</w:t>
      </w:r>
      <w:r>
        <w:t xml:space="preserve"> </w:t>
      </w:r>
      <w:r>
        <w:t xml:space="preserve">(Government of Canada 2023b)</w:t>
      </w:r>
      <w:r>
        <w:t xml:space="preserve">. Reports observe that the gender pay gap has narrowed but disparities persist</w:t>
      </w:r>
      <w:r>
        <w:t xml:space="preserve"> </w:t>
      </w:r>
      <w:r>
        <w:t xml:space="preserve">(Drolet and Mardare Amini 2023; Pay Equity Office 2023)</w:t>
      </w:r>
      <w:r>
        <w:t xml:space="preserve">. According to the statistics, in Ontario between 1998 to 2022 the gender gap narrowed but still women make 87 cents on average for every dollar made by a man</w:t>
      </w:r>
      <w:r>
        <w:t xml:space="preserve"> </w:t>
      </w:r>
      <w:r>
        <w:t xml:space="preserve">(Pay Equity Office 2023)</w:t>
      </w:r>
      <w:r>
        <w:t xml:space="preserve">. All reports observe that it affects women differently, women with disabilities, immigrants, indigenous or racialized suffer especially from the gender pay gap. Similarly to other countries worldwide, the occupational segregation remains and women are segregated into lower paid job classes and there is a dominance of women in minimum wage jobs</w:t>
      </w:r>
      <w:r>
        <w:t xml:space="preserve"> </w:t>
      </w:r>
      <w:r>
        <w:t xml:space="preserve">(Drolet and Mardare Amini 2023)</w:t>
      </w:r>
      <w:r>
        <w:t xml:space="preserve">. Furthermore, women are underemployed, and make up most part-time work. In this respect, the lack of childcare alternatives enforces this obligatory part-time work</w:t>
      </w:r>
      <w:r>
        <w:t xml:space="preserve"> </w:t>
      </w:r>
      <w:r>
        <w:t xml:space="preserve">(Coalition 2022)</w:t>
      </w:r>
      <w:r>
        <w:t xml:space="preserve">. All researchers and organisations agree that an intersectional approach is of utmost importance to better plan policies to enforce gender equality.</w:t>
      </w:r>
    </w:p>
    <w:p>
      <w:pPr>
        <w:pStyle w:val="BodyText"/>
      </w:pPr>
      <w:r>
        <w:t xml:space="preserve">This study focuses on Hamilton, Ontario, a mid-sized city on the shore of Lake Ontario. Hamilton has a heterogenous land-use, with a populated and dense urban core, surrounded by suburban development, which is itself surrounded by rural communities made possible through a greenbelt. In this work, we analyse the residential parcel centroids, approximately ~140,000 locations. We aggregated the points at the level of Canadian Census Dissemination Area (DA) along with the population and population per parcel plots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Fig1"/>
          <w:p>
            <w:pPr>
              <w:pStyle w:val="Compact"/>
              <w:jc w:val="center"/>
            </w:pPr>
            <w:r>
              <w:drawing>
                <wp:inline>
                  <wp:extent cx="5334000" cy="5334000"/>
                  <wp:effectExtent b="0" l="0" r="0" t="0"/>
                  <wp:docPr descr="" title="" id="25" name="Picture"/>
                  <a:graphic>
                    <a:graphicData uri="http://schemas.openxmlformats.org/drawingml/2006/picture">
                      <pic:pic>
                        <pic:nvPicPr>
                          <pic:cNvPr descr="../figures/pop_descriptive_plots_1.png" id="26"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number of residential parcels per DA in 2020 (top), the population (middle) retrieved from the 2021 Canadian Census, and the rate of population per parcel per DA (bottom).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7"/>
        </w:tc>
      </w:tr>
    </w:tbl>
    <w:p>
      <w:pPr>
        <w:pStyle w:val="BodyText"/>
      </w:pPr>
      <w:r>
        <w:t xml:space="preserve">Hamilton also exhibits spatial disparities in social and economic indicators</w:t>
      </w:r>
      <w:r>
        <w:t xml:space="preserve"> </w:t>
      </w:r>
      <w:hyperlink w:anchor="fig-Fig2">
        <w:r>
          <w:rPr>
            <w:rStyle w:val="Hyperlink"/>
          </w:rPr>
          <w:t xml:space="preserve">Figure 2</w:t>
        </w:r>
      </w:hyperlink>
      <w:r>
        <w:t xml:space="preserve">. The densely populated inner city is characterised by lower average incomes, and a higher prevalence of households living under the LICO. The suburban parts of the city tend to have a greater proportion of children and a lower proportion of one parent households.</w:t>
      </w:r>
    </w:p>
    <w:tbl>
      <w:tblPr>
        <w:tblStyle w:val="Table"/>
        <w:tblW w:type="pct" w:w="5000"/>
        <w:tblLook w:firstRow="0" w:lastRow="0" w:firstColumn="0" w:lastColumn="0" w:noHBand="0" w:noVBand="0" w:val="0000"/>
        <w:jc w:val="start"/>
        <w:tblLayout w:type="fixed"/>
      </w:tblPr>
      <w:tblGrid>
        <w:gridCol w:w="7920"/>
      </w:tblGrid>
      <w:tr>
        <w:tc>
          <w:tcPr/>
          <w:bookmarkStart w:id="31" w:name="fig-Fig2"/>
          <w:p>
            <w:pPr>
              <w:pStyle w:val="Compact"/>
              <w:jc w:val="center"/>
            </w:pPr>
            <w:r>
              <w:drawing>
                <wp:inline>
                  <wp:extent cx="5334000" cy="5334000"/>
                  <wp:effectExtent b="0" l="0" r="0" t="0"/>
                  <wp:docPr descr="" title="" id="29" name="Picture"/>
                  <a:graphic>
                    <a:graphicData uri="http://schemas.openxmlformats.org/drawingml/2006/picture">
                      <pic:pic>
                        <pic:nvPicPr>
                          <pic:cNvPr descr="../figures/pop_descriptive_plots_2.pn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Socio-economic and demographic variables that characterise accessibility to care destinations retrieved from the 2021 Canadian Census.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1"/>
        </w:tc>
      </w:tr>
    </w:tbl>
    <w:bookmarkEnd w:id="32"/>
    <w:bookmarkStart w:id="33" w:name="estimated-travel-times"/>
    <w:p>
      <w:pPr>
        <w:pStyle w:val="Heading2"/>
      </w:pPr>
      <w:r>
        <w:t xml:space="preserve">Estimated travel times</w:t>
      </w:r>
    </w:p>
    <w:p>
      <w:pPr>
        <w:pStyle w:val="FirstParagraph"/>
      </w:pPr>
      <w:r>
        <w:t xml:space="preserve">Here we will describe the estimated 15-minute walk travel times using {r5r}, from all residential parcel points to all care destinations assuming default walking speed (3.6km/hr) and OSM road network for Hamilton.</w:t>
      </w:r>
      <w:r>
        <w:t xml:space="preserve"> </w:t>
      </w:r>
      <w:commentRangeStart w:id="0"/>
      <w:r>
        <w:t xml:space="preserve"> </w:t>
      </w:r>
      <w:commentRangeEnd w:id="0"/>
      <w:r>
        <w:rPr>
          <w:rStyle w:val="CommentReference"/>
        </w:rPr>
        <w:commentReference w:id="0"/>
      </w:r>
    </w:p>
    <w:bookmarkEnd w:id="33"/>
    <w:bookmarkStart w:id="39" w:name="care-destination-dataset"/>
    <w:p>
      <w:pPr>
        <w:pStyle w:val="Heading2"/>
      </w:pPr>
      <w:r>
        <w:t xml:space="preserve">Care destination dataset</w:t>
      </w:r>
    </w:p>
    <w:p>
      <w:pPr>
        <w:pStyle w:val="FirstParagraph"/>
      </w:pPr>
      <w:r>
        <w:t xml:space="preserve">A spatial dataset of care destinations for Hamilton was compiled; sources include provincial and municipal open data portals</w:t>
      </w:r>
      <w:r>
        <w:t xml:space="preserve"> </w:t>
      </w:r>
      <w:r>
        <w:t xml:space="preserve">(Ontario 2023b; Hamilton 2023c)</w:t>
      </w:r>
      <w:r>
        <w:t xml:space="preserve">, Data Axle, a consumer dataset compiled of businesses and companies within Canada</w:t>
      </w:r>
      <w:r>
        <w:t xml:space="preserve"> </w:t>
      </w:r>
      <w:r>
        <w:t xml:space="preserve">(Axle Data 2023)</w:t>
      </w:r>
      <w:r>
        <w:t xml:space="preserve"> </w:t>
      </w:r>
      <w:r>
        <w:t xml:space="preserve">and manual retrieved through Google Maps. Each destination was categorized based on the specific type of care being accessed following the mobility of care research by</w:t>
      </w:r>
      <w:r>
        <w:t xml:space="preserve"> </w:t>
      </w:r>
      <w:r>
        <w:t xml:space="preserve">Sánchez de Madariaga and Zucchini (2019)</w:t>
      </w:r>
      <w:r>
        <w:t xml:space="preserve">. Initial categories include child, elder, grocery, health, and errand -centric destinations. For the purpose of this study, child- and elder- centric are combined to represent a</w:t>
      </w:r>
      <w:r>
        <w:t xml:space="preserve"> </w:t>
      </w:r>
      <w:r>
        <w:t xml:space="preserve">‘</w:t>
      </w:r>
      <w:r>
        <w:t xml:space="preserve">dependent-centric</w:t>
      </w:r>
      <w:r>
        <w:t xml:space="preserve">’</w:t>
      </w:r>
      <w:r>
        <w:t xml:space="preserve"> </w:t>
      </w:r>
      <w:r>
        <w:t xml:space="preserve">category. Category sources of data and preparation notes are detailed in</w:t>
      </w:r>
      <w:r>
        <w:t xml:space="preserve"> </w:t>
      </w:r>
      <w:hyperlink w:anchor="tbl-Tbl1">
        <w:r>
          <w:rPr>
            <w:rStyle w:val="Hyperlink"/>
          </w:rPr>
          <w:t xml:space="preserve">Table 1</w:t>
        </w:r>
      </w:hyperlink>
      <w:r>
        <w:t xml:space="preserve">. Their spatial distribution and sub-categories are visualised in</w:t>
      </w:r>
      <w:r>
        <w:t xml:space="preserve"> </w:t>
      </w:r>
      <w:hyperlink w:anchor="fig-Fig3">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tbl-Tbl1"/>
          <w:p>
            <w:pPr>
              <w:jc w:val="center"/>
            </w:pPr>
            <w:pPr>
              <w:jc w:val="start"/>
              <w:spacing w:before="200"/>
              <w:pStyle w:val="ImageCaption"/>
            </w:pPr>
            <w:r>
              <w:t xml:space="preserve">Table 1: Details on the preparation and data sources of care destinations.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2438"/>
              <w:gridCol w:w="62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 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 preparation notes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Child-centric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daycares,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After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review,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Adult-Learning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Further,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examination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institutions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defined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cannot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attend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needs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treatment,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rehabilitation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kept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connection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Elder-centric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Senior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retirement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place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buy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ranging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filtered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Address,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Province,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Phone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specialty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curbside,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delicatessen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legitimate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HNHB Healthline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while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scraped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checked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Google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non-operational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dentistry-orientation.</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Errand-centric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Canada 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datasets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HSBC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Scotiabank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TD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duplicates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derived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website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firms.</w:t>
                  </w:r>
                </w:p>
              </w:tc>
            </w:tr>
          </w:tbl>
          <w:bookmarkEnd w:id="34"/>
        </w:tc>
      </w:tr>
    </w:tbl>
    <w:tbl>
      <w:tblPr>
        <w:tblStyle w:val="Table"/>
        <w:tblW w:type="pct" w:w="5000"/>
        <w:tblLook w:firstRow="0" w:lastRow="0" w:firstColumn="0" w:lastColumn="0" w:noHBand="0" w:noVBand="0" w:val="0000"/>
        <w:jc w:val="start"/>
        <w:tblLayout w:type="fixed"/>
      </w:tblPr>
      <w:tblGrid>
        <w:gridCol w:w="7920"/>
      </w:tblGrid>
      <w:tr>
        <w:tc>
          <w:tcPr/>
          <w:bookmarkStart w:id="38" w:name="fig-Fig3"/>
          <w:p>
            <w:pPr>
              <w:pStyle w:val="Compact"/>
              <w:jc w:val="center"/>
            </w:pPr>
            <w:r>
              <w:drawing>
                <wp:inline>
                  <wp:extent cx="5334000" cy="5334000"/>
                  <wp:effectExtent b="0" l="0" r="0" t="0"/>
                  <wp:docPr descr="" title="" id="36" name="Picture"/>
                  <a:graphic>
                    <a:graphicData uri="http://schemas.openxmlformats.org/drawingml/2006/picture">
                      <pic:pic>
                        <pic:nvPicPr>
                          <pic:cNvPr descr="../figures/care_categories_plot.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locations of care destinations in Hamilton separated by the author-generated categories of: dependent-, errand-, grocery- and health- centric care categories.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8"/>
        </w:tc>
      </w:tr>
    </w:tbl>
    <w:bookmarkEnd w:id="39"/>
    <w:bookmarkStart w:id="40" w:name="methods"/>
    <w:p>
      <w:pPr>
        <w:pStyle w:val="Heading2"/>
      </w:pPr>
      <w:r>
        <w:t xml:space="preserve">Methods</w:t>
      </w:r>
    </w:p>
    <w:p>
      <w:pPr>
        <w:pStyle w:val="FirstParagraph"/>
      </w:pPr>
      <w:r>
        <w:t xml:space="preserve">A 15-minute normative walk catchment is used to represent the 15-minute neighbourhood concept. This has been done in previous literature such as</w:t>
      </w:r>
      <w:r>
        <w:t xml:space="preserve"> </w:t>
      </w:r>
      <w:r>
        <w:t xml:space="preserve">Vale and Lopes (2023)</w:t>
      </w:r>
      <w:r>
        <w:t xml:space="preserve">,</w:t>
      </w:r>
      <w:r>
        <w:t xml:space="preserve"> </w:t>
      </w:r>
      <w:r>
        <w:t xml:space="preserve">Graells-Garrido et al. (2021)</w:t>
      </w:r>
      <w:r>
        <w:t xml:space="preserve"> </w:t>
      </w:r>
      <w:r>
        <w:t xml:space="preserve">and</w:t>
      </w:r>
      <w:r>
        <w:t xml:space="preserve"> </w:t>
      </w:r>
      <w:r>
        <w:t xml:space="preserve">Gaglione et al. (2022)</w:t>
      </w:r>
      <w:r>
        <w:t xml:space="preserve">. In this work, the cumulative opportunity score is calculated for each parcel</w:t>
      </w:r>
      <w:r>
        <w:t xml:space="preserve"> </w:t>
      </w:r>
      <m:oMath>
        <m:r>
          <m:t>i</m:t>
        </m:r>
      </m:oMath>
      <w:r>
        <w:t xml:space="preserve"> </w:t>
      </w:r>
      <w:r>
        <w:t xml:space="preserve">and aggregated by care category</w:t>
      </w:r>
      <w:r>
        <w:t xml:space="preserve"> </w:t>
      </w:r>
      <m:oMath>
        <m:r>
          <m:t>c</m:t>
        </m:r>
      </m:oMath>
      <w:r>
        <w:t xml:space="preserve"> </w:t>
      </w:r>
      <w:r>
        <w:t xml:space="preserve">and takes the following mathematical form:</w:t>
      </w:r>
    </w:p>
    <w:p>
      <w:pPr>
        <w:pStyle w:val="BodyText"/>
      </w:pPr>
      <m:oMathPara>
        <m:oMathParaPr>
          <m:jc m:val="center"/>
        </m:oMathParaPr>
        <m:oMath>
          <m:sSubSup>
            <m:e>
              <m:r>
                <m:t>S</m:t>
              </m:r>
            </m:e>
            <m:sub>
              <m:r>
                <m:t>i</m:t>
              </m:r>
            </m:sub>
            <m:sup>
              <m:r>
                <m:t>c</m:t>
              </m:r>
            </m:sup>
          </m:sSubSup>
          <m:r>
            <m:rPr>
              <m:sty m:val="p"/>
            </m:rPr>
            <m:t>=</m:t>
          </m:r>
          <m:nary>
            <m:naryPr>
              <m:chr m:val="∑"/>
              <m:limLoc m:val="undOvr"/>
              <m:subHide m:val="off"/>
              <m:supHide m:val="on"/>
            </m:naryPr>
            <m:sub>
              <m:r>
                <m:t>j</m:t>
              </m:r>
            </m:sub>
            <m:sup>
              <m:r>
                <m:t>​</m:t>
              </m:r>
            </m:sup>
            <m:e>
              <m:sSubSup>
                <m:e>
                  <m:r>
                    <m:t>O</m:t>
                  </m:r>
                </m:e>
                <m:sub>
                  <m:r>
                    <m:t>j</m:t>
                  </m:r>
                </m:sub>
                <m:sup>
                  <m:r>
                    <m:t>c</m:t>
                  </m:r>
                </m:sup>
              </m:sSubSup>
            </m:e>
          </m:nary>
          <m:r>
            <m:rPr>
              <m:sty m:val="p"/>
            </m:rPr>
            <m:t>⋅</m:t>
          </m:r>
          <m:r>
            <m:t>f</m:t>
          </m:r>
          <m:d>
            <m:dPr>
              <m:begChr m:val="("/>
              <m:endChr m:val=")"/>
              <m:sepChr m:val=""/>
              <m:grow/>
            </m:dPr>
            <m:e>
              <m:sSub>
                <m:e>
                  <m:r>
                    <m:t>c</m:t>
                  </m:r>
                </m:e>
                <m:sub>
                  <m:r>
                    <m:t>i</m:t>
                  </m:r>
                  <m:r>
                    <m:t>j</m:t>
                  </m:r>
                </m:sub>
              </m:sSub>
            </m:e>
          </m:d>
        </m:oMath>
      </m:oMathPara>
    </w:p>
    <w:p>
      <w:pPr>
        <w:pStyle w:val="FirstParagraph"/>
      </w:pPr>
      <w:r>
        <w:t xml:space="preserve">Where:</w:t>
      </w:r>
    </w:p>
    <w:p>
      <w:pPr>
        <w:numPr>
          <w:ilvl w:val="0"/>
          <w:numId w:val="1002"/>
        </w:numPr>
        <w:pStyle w:val="Compact"/>
      </w:pPr>
      <m:oMath>
        <m:r>
          <m:t>i</m:t>
        </m:r>
      </m:oMath>
      <w:r>
        <w:t xml:space="preserve"> </w:t>
      </w:r>
      <w:r>
        <w:t xml:space="preserve">is a set of parcel point origin locations.</w:t>
      </w:r>
    </w:p>
    <w:p>
      <w:pPr>
        <w:numPr>
          <w:ilvl w:val="0"/>
          <w:numId w:val="1002"/>
        </w:numPr>
        <w:pStyle w:val="Compact"/>
      </w:pPr>
      <m:oMath>
        <m:r>
          <m:t>j</m:t>
        </m:r>
      </m:oMath>
      <w:r>
        <w:t xml:space="preserve"> </w:t>
      </w:r>
      <w:r>
        <w:t xml:space="preserve">is a set of destination locations.</w:t>
      </w:r>
    </w:p>
    <w:p>
      <w:pPr>
        <w:numPr>
          <w:ilvl w:val="0"/>
          <w:numId w:val="1002"/>
        </w:numPr>
        <w:pStyle w:val="Compact"/>
      </w:pPr>
      <m:oMath>
        <m:r>
          <m:t>c</m:t>
        </m:r>
      </m:oMath>
      <w:r>
        <w:t xml:space="preserve"> </w:t>
      </w:r>
      <w:r>
        <w:t xml:space="preserve">is a set of care categories.</w:t>
      </w:r>
    </w:p>
    <w:p>
      <w:pPr>
        <w:numPr>
          <w:ilvl w:val="0"/>
          <w:numId w:val="1002"/>
        </w:numPr>
        <w:pStyle w:val="Compact"/>
      </w:pPr>
      <m:oMath>
        <m:sSubSup>
          <m:e>
            <m:r>
              <m:t>O</m:t>
            </m:r>
          </m:e>
          <m:sub>
            <m:r>
              <m:t>j</m:t>
            </m:r>
          </m:sub>
          <m:sup>
            <m:r>
              <m:t>c</m:t>
            </m:r>
          </m:sup>
        </m:sSubSup>
      </m:oMath>
      <w:r>
        <w:t xml:space="preserve"> </w:t>
      </w:r>
      <w:r>
        <w:t xml:space="preserve">is a number of opportunities of category</w:t>
      </w:r>
      <w:r>
        <w:t xml:space="preserve"> </w:t>
      </w:r>
      <m:oMath>
        <m:r>
          <m:t>c</m:t>
        </m:r>
      </m:oMath>
      <w:r>
        <w:t xml:space="preserve"> </w:t>
      </w:r>
      <w:r>
        <w:t xml:space="preserve">at</w:t>
      </w:r>
      <w:r>
        <w:t xml:space="preserve"> </w:t>
      </w:r>
      <m:oMath>
        <m:r>
          <m:t>j</m:t>
        </m:r>
      </m:oMath>
      <w:r>
        <w:t xml:space="preserve">.</w:t>
      </w:r>
    </w:p>
    <w:p>
      <w:pPr>
        <w:numPr>
          <w:ilvl w:val="0"/>
          <w:numId w:val="1002"/>
        </w:numPr>
        <w:pStyle w:val="Compact"/>
      </w:pPr>
      <m:oMath>
        <m:sSub>
          <m:e>
            <m:r>
              <m:t>c</m:t>
            </m:r>
          </m:e>
          <m:sub>
            <m:r>
              <m:t>i</m:t>
            </m:r>
            <m:r>
              <m:t>j</m:t>
            </m:r>
          </m:sub>
        </m:sSub>
      </m:oMath>
      <w:r>
        <w:t xml:space="preserve"> </w:t>
      </w:r>
      <w:r>
        <w:t xml:space="preserve">is the travel cost between</w:t>
      </w:r>
      <w:r>
        <w:t xml:space="preserve"> </w:t>
      </w:r>
      <m:oMath>
        <m:r>
          <m:t>i</m:t>
        </m:r>
      </m:oMath>
      <w:r>
        <w:t xml:space="preserve"> </w:t>
      </w:r>
      <w:r>
        <w:t xml:space="preserve">and</w:t>
      </w:r>
      <w:r>
        <w:t xml:space="preserve"> </w:t>
      </w:r>
      <m:oMath>
        <m:r>
          <m:t>j</m:t>
        </m:r>
      </m:oMath>
      <w:r>
        <w:t xml:space="preserve">.</w:t>
      </w:r>
    </w:p>
    <w:p>
      <w:pPr>
        <w:numPr>
          <w:ilvl w:val="0"/>
          <w:numId w:val="1002"/>
        </w:numPr>
        <w:pStyle w:val="Compact"/>
      </w:pPr>
      <m:oMath>
        <m:r>
          <m:t>f</m:t>
        </m:r>
        <m:d>
          <m:dPr>
            <m:begChr m:val="("/>
            <m:endChr m:val=")"/>
            <m:sepChr m:val=""/>
            <m:grow/>
          </m:dPr>
          <m:e>
            <m:r>
              <m:rPr>
                <m:sty m:val="p"/>
              </m:rPr>
              <m:t>⋅</m:t>
            </m:r>
          </m:e>
        </m:d>
      </m:oMath>
      <w:r>
        <w:t xml:space="preserve"> </w:t>
      </w:r>
      <w:r>
        <w:t xml:space="preserve">is an impedance function of</w:t>
      </w:r>
      <w:r>
        <w:t xml:space="preserve"> </w:t>
      </w:r>
      <m:oMath>
        <m:sSub>
          <m:e>
            <m:r>
              <m:t>c</m:t>
            </m:r>
          </m:e>
          <m:sub>
            <m:r>
              <m:t>i</m:t>
            </m:r>
            <m:r>
              <m:t>j</m:t>
            </m:r>
          </m:sub>
        </m:sSub>
      </m:oMath>
      <w:r>
        <w:t xml:space="preserve">; within the cumulative opportunity approach, it is a binary function that takes the value of 1 if</w:t>
      </w:r>
      <w:r>
        <w:t xml:space="preserve"> </w:t>
      </w:r>
      <m:oMath>
        <m:sSub>
          <m:e>
            <m:r>
              <m:t>c</m:t>
            </m:r>
          </m:e>
          <m:sub>
            <m:r>
              <m:t>i</m:t>
            </m:r>
            <m:r>
              <m:t>j</m:t>
            </m:r>
          </m:sub>
        </m:sSub>
      </m:oMath>
      <w:r>
        <w:t xml:space="preserve"> </w:t>
      </w:r>
      <w:r>
        <w:t xml:space="preserve">is less than a selected value</w:t>
      </w:r>
      <w:r>
        <w:t xml:space="preserve"> </w:t>
      </w:r>
      <w:r>
        <w:t xml:space="preserve">(S. L. Handy and Niemeier 1997)</w:t>
      </w:r>
      <w:r>
        <w:t xml:space="preserve">.</w:t>
      </w:r>
    </w:p>
    <w:p>
      <w:pPr>
        <w:numPr>
          <w:ilvl w:val="0"/>
          <w:numId w:val="1002"/>
        </w:numPr>
        <w:pStyle w:val="Compact"/>
      </w:pPr>
      <m:oMath>
        <m:sSubSup>
          <m:e>
            <m:r>
              <m:t>S</m:t>
            </m:r>
          </m:e>
          <m:sub>
            <m:r>
              <m:t>i</m:t>
            </m:r>
          </m:sub>
          <m:sup>
            <m:r>
              <m:t>c</m:t>
            </m:r>
          </m:sup>
        </m:sSubSup>
      </m:oMath>
      <w:r>
        <w:t xml:space="preserve"> </w:t>
      </w:r>
      <w:r>
        <w:t xml:space="preserve">is the unconstrained accessibility, the sum of weighted opportunities reachable within</w:t>
      </w:r>
      <w:r>
        <w:t xml:space="preserve"> </w:t>
      </w:r>
      <m:oMath>
        <m:r>
          <m:t>f</m:t>
        </m:r>
        <m:d>
          <m:dPr>
            <m:begChr m:val="("/>
            <m:endChr m:val=")"/>
            <m:sepChr m:val=""/>
            <m:grow/>
          </m:dPr>
          <m:e>
            <m:r>
              <m:rPr>
                <m:sty m:val="p"/>
              </m:rPr>
              <m:t>⋅</m:t>
            </m:r>
          </m:e>
        </m:d>
      </m:oMath>
      <w:r>
        <w:t xml:space="preserve">, at each</w:t>
      </w:r>
      <w:r>
        <w:t xml:space="preserve"> </w:t>
      </w:r>
      <m:oMath>
        <m:r>
          <m:t>i</m:t>
        </m:r>
      </m:oMath>
      <w:r>
        <w:t xml:space="preserve"> </w:t>
      </w:r>
      <w:r>
        <w:t xml:space="preserve">for each</w:t>
      </w:r>
      <w:r>
        <w:t xml:space="preserve"> </w:t>
      </w:r>
      <m:oMath>
        <m:r>
          <m:t>c</m:t>
        </m:r>
      </m:oMath>
      <w:r>
        <w:t xml:space="preserve">.</w:t>
      </w:r>
    </w:p>
    <w:p>
      <w:pPr>
        <w:pStyle w:val="FirstParagraph"/>
      </w:pPr>
      <w:r>
        <w:rPr>
          <w:iCs/>
          <w:i/>
        </w:rPr>
        <w:t xml:space="preserve">Entropy</w:t>
      </w:r>
      <w:r>
        <w:t xml:space="preserve"> </w:t>
      </w:r>
      <w:r>
        <w:t xml:space="preserve">measure has been widely used to characterise the diversity of land-use mix in early work by</w:t>
      </w:r>
      <w:r>
        <w:t xml:space="preserve"> </w:t>
      </w:r>
      <w:r>
        <w:t xml:space="preserve">Frank et al. (2005)</w:t>
      </w:r>
      <w:r>
        <w:t xml:space="preserve"> </w:t>
      </w:r>
      <w:r>
        <w:t xml:space="preserve">based on the species diversity Shannon-Wiener index that expresses relative evenness throughout a sequence (this measure among other species diversity indices of the time are reviewed in</w:t>
      </w:r>
      <w:r>
        <w:t xml:space="preserve"> </w:t>
      </w:r>
      <w:r>
        <w:t xml:space="preserve">Whittaker (1972)</w:t>
      </w:r>
      <w:r>
        <w:t xml:space="preserve">). It has also been used in social sciences to comprehend the occurrence of social events in a structured manner specially with regard to life trajectories</w:t>
      </w:r>
      <w:r>
        <w:t xml:space="preserve"> </w:t>
      </w:r>
      <w:r>
        <w:t xml:space="preserve">(Ritschard and Studer 2018)</w:t>
      </w:r>
      <w:r>
        <w:t xml:space="preserve">.</w:t>
      </w:r>
    </w:p>
    <w:p>
      <w:pPr>
        <w:pStyle w:val="BodyText"/>
      </w:pPr>
      <w:r>
        <w:t xml:space="preserve">In the realm of urban studies and planning literature the malleable concept of entropy has been used to characterise the diversity in land-use mix</w:t>
      </w:r>
      <w:r>
        <w:t xml:space="preserve"> </w:t>
      </w:r>
      <w:r>
        <w:t xml:space="preserve">(Ewing and Cervero 2010)</w:t>
      </w:r>
      <w:r>
        <w:t xml:space="preserve">, especially in the context of active modes</w:t>
      </w:r>
      <w:r>
        <w:t xml:space="preserve"> </w:t>
      </w:r>
      <w:r>
        <w:t xml:space="preserve">(Lu, Xiao, and Ye 2017; Mavoa et al. 2018)</w:t>
      </w:r>
      <w:r>
        <w:t xml:space="preserve"> </w:t>
      </w:r>
      <w:r>
        <w:t xml:space="preserve">and suburban sprawl</w:t>
      </w:r>
      <w:r>
        <w:t xml:space="preserve"> </w:t>
      </w:r>
      <w:r>
        <w:t xml:space="preserve">(Randall and Baetz 2015)</w:t>
      </w:r>
      <w:r>
        <w:t xml:space="preserve">. As well, it has been used to understand mobility behaviour</w:t>
      </w:r>
      <w:r>
        <w:t xml:space="preserve"> </w:t>
      </w:r>
      <w:r>
        <w:t xml:space="preserve">(McBride, Davis, and Goulias 2020; Montero, Mejı́a-Dorantes, and Barceló 2023a, 2023b)</w:t>
      </w:r>
      <w:r>
        <w:t xml:space="preserve">. Work that has used diversity indices alongside accessibility analysis are scarce, though examples of its use as parameters within accessibility scores in the case of employment opportunities</w:t>
      </w:r>
      <w:r>
        <w:t xml:space="preserve"> </w:t>
      </w:r>
      <w:r>
        <w:t xml:space="preserve">(Cheng and Bertolini 2013; Dai et al. 2018)</w:t>
      </w:r>
      <w:r>
        <w:t xml:space="preserve"> </w:t>
      </w:r>
      <w:r>
        <w:t xml:space="preserve">and more recently to describe the diversity in transit facilities</w:t>
      </w:r>
      <w:r>
        <w:t xml:space="preserve"> </w:t>
      </w:r>
      <w:r>
        <w:t xml:space="preserve">(Yin, Zheng, and Li 2024)</w:t>
      </w:r>
      <w:r>
        <w:t xml:space="preserve"> </w:t>
      </w:r>
      <w:r>
        <w:t xml:space="preserve">are present. To the authors knowledge, the use of an entropy measure to reflect the diversity in care destination amenity types and in context within a 15-minute neighbourhood, has yet to be done.</w:t>
      </w:r>
    </w:p>
    <w:p>
      <w:pPr>
        <w:pStyle w:val="BodyText"/>
      </w:pPr>
      <w:r>
        <w:t xml:space="preserve">As such, the entropy measure is used to reflect the diversity of care destinations categories. The value ranges from 0 to 1, with 1 representing total evenness in the number of care opportunities in each category that can be reached.</w:t>
      </w:r>
      <w:r>
        <w:t xml:space="preserve"> </w:t>
      </w:r>
      <m:oMath>
        <m:r>
          <m:t>i</m:t>
        </m:r>
      </m:oMath>
      <w:r>
        <w:t xml:space="preserve"> </w:t>
      </w:r>
      <w:r>
        <w:t xml:space="preserve">is a parcel,</w:t>
      </w:r>
      <w:r>
        <w:t xml:space="preserve"> </w:t>
      </w:r>
      <m:oMath>
        <m:r>
          <m:t>c</m:t>
        </m:r>
      </m:oMath>
      <w:r>
        <w:t xml:space="preserve"> </w:t>
      </w:r>
      <w:r>
        <w:t xml:space="preserve">is the category of care destinations,</w:t>
      </w:r>
      <w:r>
        <w:t xml:space="preserve"> </w:t>
      </w:r>
      <m:oMath>
        <m:sSub>
          <m:e>
            <m:r>
              <m:t>n</m:t>
            </m:r>
          </m:e>
          <m:sub>
            <m:r>
              <m:t>c</m:t>
            </m:r>
          </m:sub>
        </m:sSub>
      </m:oMath>
      <w:r>
        <w:t xml:space="preserve"> </w:t>
      </w:r>
      <w:r>
        <w:t xml:space="preserve">is the count of care destination categories (in this work 4),</w:t>
      </w:r>
      <w:r>
        <w:t xml:space="preserve"> </w:t>
      </w:r>
      <m:oMath>
        <m:sSubSup>
          <m:e>
            <m:r>
              <m:t>S</m:t>
            </m:r>
          </m:e>
          <m:sub>
            <m:r>
              <m:t>i</m:t>
            </m:r>
          </m:sub>
          <m:sup>
            <m:r>
              <m:t>c</m:t>
            </m:r>
          </m:sup>
        </m:sSubSup>
      </m:oMath>
      <w:r>
        <w:t xml:space="preserve"> </w:t>
      </w:r>
      <w:r>
        <w:t xml:space="preserve">is the spatial accessibility of care destinations within a 15-minute walk for a parcel, and</w:t>
      </w:r>
      <w:r>
        <w:t xml:space="preserve"> </w:t>
      </w:r>
      <m:oMath>
        <m:sSub>
          <m:e>
            <m:r>
              <m:t>D</m:t>
            </m:r>
          </m:e>
          <m:sub>
            <m:r>
              <m:t>i</m:t>
            </m:r>
          </m:sub>
        </m:sSub>
      </m:oMath>
      <w:r>
        <w:t xml:space="preserve"> </w:t>
      </w:r>
      <w:r>
        <w:t xml:space="preserve">is the diversity. As</w:t>
      </w:r>
      <w:r>
        <w:t xml:space="preserve"> </w:t>
      </w:r>
      <m:oMath>
        <m:sSub>
          <m:e>
            <m:r>
              <m:t>D</m:t>
            </m:r>
          </m:e>
          <m:sub>
            <m:r>
              <m:t>i</m:t>
            </m:r>
          </m:sub>
        </m:sSub>
      </m:oMath>
      <w:r>
        <w:t xml:space="preserve"> </w:t>
      </w:r>
      <w:r>
        <w:t xml:space="preserve">represents evenness in categories, a parcel</w:t>
      </w:r>
      <w:r>
        <w:t xml:space="preserve"> </w:t>
      </w:r>
      <m:oMath>
        <m:r>
          <m:t>i</m:t>
        </m:r>
      </m:oMath>
      <w:r>
        <w:t xml:space="preserve"> </w:t>
      </w:r>
      <w:r>
        <w:t xml:space="preserve">can be assigned a diversity of 1 if it has</w:t>
      </w:r>
      <w:r>
        <w:t xml:space="preserve"> </w:t>
      </w:r>
      <m:oMath>
        <m:sSubSup>
          <m:e>
            <m:r>
              <m:t>S</m:t>
            </m:r>
          </m:e>
          <m:sub>
            <m:r>
              <m:t>i</m:t>
            </m:r>
          </m:sub>
          <m:sup>
            <m:r>
              <m:t>c</m:t>
            </m:r>
          </m:sup>
        </m:sSubSup>
      </m:oMath>
      <w:r>
        <w:t xml:space="preserve">=1 of each category or if it has</w:t>
      </w:r>
      <w:r>
        <w:t xml:space="preserve"> </w:t>
      </w:r>
      <m:oMath>
        <m:sSubSup>
          <m:e>
            <m:r>
              <m:t>S</m:t>
            </m:r>
          </m:e>
          <m:sub>
            <m:r>
              <m:t>i</m:t>
            </m:r>
          </m:sub>
          <m:sup>
            <m:r>
              <m:t>c</m:t>
            </m:r>
          </m:sup>
        </m:sSubSup>
      </m:oMath>
      <w:r>
        <w:t xml:space="preserve">=100 of each category. Contrariwise, it can be assigned a low score if it has low but different scores for each category as well as if it has high but different scores for each category.</w:t>
      </w:r>
    </w:p>
    <w:p>
      <w:pPr>
        <w:pStyle w:val="BodyText"/>
      </w:pPr>
      <m:oMathPara>
        <m:oMathParaPr>
          <m:jc m:val="center"/>
        </m:oMathParaPr>
        <m:oMath>
          <m:sSub>
            <m:e>
              <m:r>
                <m:t>D</m:t>
              </m:r>
            </m:e>
            <m:sub>
              <m:r>
                <m:t>i</m:t>
              </m:r>
            </m:sub>
          </m:sSub>
          <m:r>
            <m:rPr>
              <m:sty m:val="p"/>
            </m:rPr>
            <m:t>=</m:t>
          </m:r>
          <m:f>
            <m:fPr>
              <m:type m:val="bar"/>
            </m:fPr>
            <m:num>
              <m:r>
                <m:rPr>
                  <m:sty m:val="p"/>
                </m:rPr>
                <m:t>−</m:t>
              </m:r>
              <m:nary>
                <m:naryPr>
                  <m:chr m:val="∑"/>
                  <m:limLoc m:val="undOvr"/>
                  <m:subHide m:val="off"/>
                  <m:supHide m:val="on"/>
                </m:naryPr>
                <m:sub>
                  <m:r>
                    <m:t>c</m:t>
                  </m:r>
                </m:sub>
                <m:sup>
                  <m:r>
                    <m:t>​</m:t>
                  </m:r>
                </m:sup>
                <m:e>
                  <m:sSubSup>
                    <m:e>
                      <m:r>
                        <m:t>S</m:t>
                      </m:r>
                    </m:e>
                    <m:sub>
                      <m:r>
                        <m:t>i</m:t>
                      </m:r>
                    </m:sub>
                    <m:sup>
                      <m:r>
                        <m:t>c</m:t>
                      </m:r>
                    </m:sup>
                  </m:sSubSup>
                </m:e>
              </m:nary>
              <m:r>
                <m:rPr>
                  <m:sty m:val="p"/>
                </m:rPr>
                <m:t>/</m:t>
              </m:r>
              <m:nary>
                <m:naryPr>
                  <m:chr m:val="∑"/>
                  <m:limLoc m:val="undOvr"/>
                  <m:subHide m:val="off"/>
                  <m:supHide m:val="on"/>
                </m:naryPr>
                <m:sub>
                  <m:r>
                    <m:t>c</m:t>
                  </m:r>
                </m:sub>
                <m:sup>
                  <m:r>
                    <m:t>​</m:t>
                  </m:r>
                </m:sup>
                <m:e>
                  <m:sSubSup>
                    <m:e>
                      <m:r>
                        <m:t>S</m:t>
                      </m:r>
                    </m:e>
                    <m:sub>
                      <m:r>
                        <m:t>i</m:t>
                      </m:r>
                    </m:sub>
                    <m:sup>
                      <m:r>
                        <m:t>c</m:t>
                      </m:r>
                    </m:sup>
                  </m:sSubSup>
                </m:e>
              </m:nary>
              <m:r>
                <m:rPr>
                  <m:sty m:val="p"/>
                </m:rPr>
                <m:t>×</m:t>
              </m:r>
              <m:r>
                <m:t>l</m:t>
              </m:r>
              <m:r>
                <m:t>n</m:t>
              </m:r>
              <m:d>
                <m:dPr>
                  <m:begChr m:val="("/>
                  <m:endChr m:val=")"/>
                  <m:sepChr m:val=""/>
                  <m:grow/>
                </m:dPr>
                <m:e>
                  <m:sSubSup>
                    <m:e>
                      <m:r>
                        <m:t>S</m:t>
                      </m:r>
                    </m:e>
                    <m:sub>
                      <m:r>
                        <m:t>i</m:t>
                      </m:r>
                    </m:sub>
                    <m:sup>
                      <m:r>
                        <m:t>c</m:t>
                      </m:r>
                    </m:sup>
                  </m:sSubSup>
                  <m:r>
                    <m:rPr>
                      <m:sty m:val="p"/>
                    </m:rPr>
                    <m:t>/</m:t>
                  </m:r>
                  <m:nary>
                    <m:naryPr>
                      <m:chr m:val="∑"/>
                      <m:limLoc m:val="undOvr"/>
                      <m:subHide m:val="off"/>
                      <m:supHide m:val="on"/>
                    </m:naryPr>
                    <m:sub>
                      <m:r>
                        <m:t>c</m:t>
                      </m:r>
                    </m:sub>
                    <m:sup>
                      <m:r>
                        <m:t>​</m:t>
                      </m:r>
                    </m:sup>
                    <m:e>
                      <m:sSubSup>
                        <m:e>
                          <m:r>
                            <m:t>S</m:t>
                          </m:r>
                        </m:e>
                        <m:sub>
                          <m:r>
                            <m:t>i</m:t>
                          </m:r>
                        </m:sub>
                        <m:sup>
                          <m:r>
                            <m:t>c</m:t>
                          </m:r>
                        </m:sup>
                      </m:sSubSup>
                    </m:e>
                  </m:nary>
                </m:e>
              </m:d>
            </m:num>
            <m:den>
              <m:r>
                <m:t>l</m:t>
              </m:r>
              <m:r>
                <m:t>n</m:t>
              </m:r>
              <m:d>
                <m:dPr>
                  <m:begChr m:val="("/>
                  <m:endChr m:val=")"/>
                  <m:sepChr m:val=""/>
                  <m:grow/>
                </m:dPr>
                <m:e>
                  <m:sSub>
                    <m:e>
                      <m:r>
                        <m:t>n</m:t>
                      </m:r>
                    </m:e>
                    <m:sub>
                      <m:r>
                        <m:t>c</m:t>
                      </m:r>
                    </m:sub>
                  </m:sSub>
                </m:e>
              </m:d>
            </m:den>
          </m:f>
        </m:oMath>
      </m:oMathPara>
    </w:p>
    <w:p>
      <w:pPr>
        <w:pStyle w:val="FirstParagraph"/>
      </w:pPr>
      <w:r>
        <w:t xml:space="preserve">Self organizing map (</w:t>
      </w:r>
      <w:r>
        <w:rPr>
          <w:bCs/>
          <w:b/>
        </w:rPr>
        <w:t xml:space="preserve">SOM</w:t>
      </w:r>
      <w:r>
        <w:t xml:space="preserve">) is used to cluster the types of neighbourhoods by their magnitude in 15-minute walking accessibility to caring opportunities and diversity in these opportunities and profile these clusters based on their socio-economic characteristics. SOM is a type of artificial neural network (ANN) trained using unsupervised learning that produces a two-dimensional representation of the input space. It is a dimensionality reduction method as it applies competitive learning by way of a neighbourhood function thereby preserving the topological properties of the input space and producing combinations of the input space that we intuitively profile. It has been used in transportation related research, e.g.,</w:t>
      </w:r>
      <w:r>
        <w:t xml:space="preserve"> </w:t>
      </w:r>
      <w:r>
        <w:t xml:space="preserve">Victoriano, Paez, and Carrasco (2020)</w:t>
      </w:r>
      <w:r>
        <w:t xml:space="preserve">.</w:t>
      </w:r>
    </w:p>
    <w:p>
      <w:pPr>
        <w:pStyle w:val="BodyText"/>
      </w:pPr>
      <w:r>
        <w:t xml:space="preserve">The SOM procedure is broken into 2 steps: first, five superclusters of the four</w:t>
      </w:r>
      <w:r>
        <w:t xml:space="preserve"> </w:t>
      </w:r>
      <m:oMath>
        <m:sSubSup>
          <m:e>
            <m:r>
              <m:t>S</m:t>
            </m:r>
          </m:e>
          <m:sub>
            <m:r>
              <m:t>i</m:t>
            </m:r>
          </m:sub>
          <m:sup>
            <m:r>
              <m:t>c</m:t>
            </m:r>
          </m:sup>
        </m:sSubSup>
      </m:oMath>
      <w:r>
        <w:t xml:space="preserve"> </w:t>
      </w:r>
      <w:r>
        <w:t xml:space="preserve">scores and the diversity score</w:t>
      </w:r>
      <w:r>
        <w:t xml:space="preserve"> </w:t>
      </w:r>
      <m:oMath>
        <m:sSub>
          <m:e>
            <m:r>
              <m:t>D</m:t>
            </m:r>
          </m:e>
          <m:sub>
            <m:r>
              <m:t>i</m:t>
            </m:r>
          </m:sub>
        </m:sSub>
      </m:oMath>
      <w:r>
        <w:t xml:space="preserve"> </w:t>
      </w:r>
      <w:r>
        <w:t xml:space="preserve">are identified. The number of superclusters strike a balance between variance explained and supercluster interpretation in what we define as ranging from</w:t>
      </w:r>
      <w:r>
        <w:t xml:space="preserve"> </w:t>
      </w:r>
      <w:r>
        <w:t xml:space="preserve">“</w:t>
      </w:r>
      <w:r>
        <w:t xml:space="preserve">not caring</w:t>
      </w:r>
      <w:r>
        <w:t xml:space="preserve">”</w:t>
      </w:r>
      <w:r>
        <w:t xml:space="preserve"> </w:t>
      </w:r>
      <w:r>
        <w:t xml:space="preserve">to</w:t>
      </w:r>
      <w:r>
        <w:t xml:space="preserve"> </w:t>
      </w:r>
      <w:r>
        <w:t xml:space="preserve">“</w:t>
      </w:r>
      <w:r>
        <w:t xml:space="preserve">very caring</w:t>
      </w:r>
      <w:r>
        <w:t xml:space="preserve">”</w:t>
      </w:r>
      <w:r>
        <w:t xml:space="preserve"> </w:t>
      </w:r>
      <w:r>
        <w:t xml:space="preserve">and</w:t>
      </w:r>
      <w:r>
        <w:t xml:space="preserve"> </w:t>
      </w:r>
      <w:r>
        <w:t xml:space="preserve">“</w:t>
      </w:r>
      <w:r>
        <w:t xml:space="preserve">not complete</w:t>
      </w:r>
      <w:r>
        <w:t xml:space="preserve">”</w:t>
      </w:r>
      <w:r>
        <w:t xml:space="preserve"> </w:t>
      </w:r>
      <w:r>
        <w:t xml:space="preserve">to</w:t>
      </w:r>
      <w:r>
        <w:t xml:space="preserve"> </w:t>
      </w:r>
      <w:r>
        <w:t xml:space="preserve">“</w:t>
      </w:r>
      <w:r>
        <w:t xml:space="preserve">complete</w:t>
      </w:r>
      <w:r>
        <w:t xml:space="preserve">”</w:t>
      </w:r>
      <w:r>
        <w:t xml:space="preserve">. Second, the superclusters are profiled using a variety of socio-economic and demographic indicators that the mobility of care literature finds significant (</w:t>
      </w:r>
      <w:hyperlink w:anchor="fig-Fig2">
        <w:r>
          <w:rPr>
            <w:rStyle w:val="Hyperlink"/>
          </w:rPr>
          <w:t xml:space="preserve">Figure 2</w:t>
        </w:r>
      </w:hyperlink>
      <w:r>
        <w:t xml:space="preserve">).</w:t>
      </w:r>
    </w:p>
    <w:bookmarkEnd w:id="40"/>
    <w:bookmarkEnd w:id="41"/>
    <w:bookmarkStart w:id="66" w:name="results"/>
    <w:p>
      <w:pPr>
        <w:pStyle w:val="Heading1"/>
      </w:pPr>
      <w:r>
        <w:t xml:space="preserve">Results</w:t>
      </w:r>
    </w:p>
    <w:p>
      <w:pPr>
        <w:pStyle w:val="FirstParagraph"/>
      </w:pPr>
      <w:r>
        <w:t xml:space="preserve">Accessibility per category</w:t>
      </w:r>
      <w:r>
        <w:t xml:space="preserve"> </w:t>
      </w:r>
      <w:hyperlink w:anchor="fig-Fig4">
        <w:r>
          <w:rPr>
            <w:rStyle w:val="Hyperlink"/>
          </w:rPr>
          <w:t xml:space="preserve">Figure 4</w:t>
        </w:r>
      </w:hyperlink>
      <w:r>
        <w:t xml:space="preserve">. The concentration of opportunities for all category types is concentrated in Hamilton Central - with the highest concentration being in the lower city and pockets of the high concentration on the mountain</w:t>
      </w:r>
      <w:r>
        <w:t xml:space="preserve"> </w:t>
      </w:r>
      <w:commentRangeStart w:id="0"/>
      <w:r>
        <w:t xml:space="preserve"> </w:t>
      </w:r>
      <w:commentRangeEnd w:id="0"/>
      <w:r>
        <w:rPr>
          <w:rStyle w:val="CommentReference"/>
        </w:rPr>
        <w:commentReference w:id="0"/>
      </w:r>
      <w:r>
        <w:t xml:space="preserve">. Grocery-centric opportunities are most concentrated, followed by dependent-centric and health-centric. Errand-centric is the most sprawled.</w:t>
      </w:r>
    </w:p>
    <w:tbl>
      <w:tblPr>
        <w:tblStyle w:val="Table"/>
        <w:tblW w:type="pct" w:w="5000"/>
        <w:tblLook w:firstRow="0" w:lastRow="0" w:firstColumn="0" w:lastColumn="0" w:noHBand="0" w:noVBand="0" w:val="0000"/>
        <w:jc w:val="start"/>
        <w:tblLayout w:type="fixed"/>
      </w:tblPr>
      <w:tblGrid>
        <w:gridCol w:w="7920"/>
      </w:tblGrid>
      <w:tr>
        <w:tc>
          <w:tcPr/>
          <w:bookmarkStart w:id="45" w:name="fig-Fig4"/>
          <w:p>
            <w:pPr>
              <w:pStyle w:val="Compact"/>
              <w:jc w:val="center"/>
            </w:pPr>
            <w:r>
              <w:drawing>
                <wp:inline>
                  <wp:extent cx="5334000" cy="5334000"/>
                  <wp:effectExtent b="0" l="0" r="0" t="0"/>
                  <wp:docPr descr="" title="" id="43" name="Picture"/>
                  <a:graphic>
                    <a:graphicData uri="http://schemas.openxmlformats.org/drawingml/2006/picture">
                      <pic:pic>
                        <pic:nvPicPr>
                          <pic:cNvPr descr="../figures/percats_copp_plot.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number of care destinations that can be reached within 15 min walk per care category for a median parcel in each DA. Scales are in quartiles. These are four of five inputs into the superclusters.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5"/>
        </w:tc>
      </w:tr>
    </w:tbl>
    <w:p>
      <w:pPr>
        <w:pStyle w:val="BodyText"/>
      </w:pPr>
      <w:r>
        <w:t xml:space="preserve">Diversity</w:t>
      </w:r>
      <w:r>
        <w:t xml:space="preserve"> </w:t>
      </w:r>
      <w:hyperlink w:anchor="fig-Fig5">
        <w:r>
          <w:rPr>
            <w:rStyle w:val="Hyperlink"/>
          </w:rPr>
          <w:t xml:space="preserve">Figure 5</w:t>
        </w:r>
      </w:hyperlink>
      <w:r>
        <w:t xml:space="preserve">. Concentrated in the downtown core.</w:t>
      </w:r>
    </w:p>
    <w:tbl>
      <w:tblPr>
        <w:tblStyle w:val="Table"/>
        <w:tblW w:type="pct" w:w="5000"/>
        <w:tblLook w:firstRow="0" w:lastRow="0" w:firstColumn="0" w:lastColumn="0" w:noHBand="0" w:noVBand="0" w:val="0000"/>
        <w:jc w:val="start"/>
        <w:tblLayout w:type="fixed"/>
      </w:tblPr>
      <w:tblGrid>
        <w:gridCol w:w="7920"/>
      </w:tblGrid>
      <w:tr>
        <w:tc>
          <w:tcPr/>
          <w:bookmarkStart w:id="49" w:name="fig-Fig5"/>
          <w:p>
            <w:pPr>
              <w:pStyle w:val="Compact"/>
              <w:jc w:val="center"/>
            </w:pPr>
            <w:r>
              <w:drawing>
                <wp:inline>
                  <wp:extent cx="5334000" cy="5334000"/>
                  <wp:effectExtent b="0" l="0" r="0" t="0"/>
                  <wp:docPr descr="" title="" id="47" name="Picture"/>
                  <a:graphic>
                    <a:graphicData uri="http://schemas.openxmlformats.org/drawingml/2006/picture">
                      <pic:pic>
                        <pic:nvPicPr>
                          <pic:cNvPr descr="../figures/all_cats_entropy_copp_plot.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diversity measure (div) based on the proportion of care category spatial accessibility (figure 4). Scale is in tertiles. The fifth input into the superclusters.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9"/>
        </w:tc>
      </w:tr>
    </w:tbl>
    <w:p>
      <w:pPr>
        <w:pStyle w:val="BodyText"/>
      </w:pPr>
      <w:r>
        <w:t xml:space="preserve">Superclusters based on accessibility per category and diversity (the two above figures). 5 clusters are identified, see their dendrogram (right) and grid map (left) in</w:t>
      </w:r>
      <w:r>
        <w:t xml:space="preserve"> </w:t>
      </w:r>
      <w:hyperlink w:anchor="fig-Fig6">
        <w:r>
          <w:rPr>
            <w:rStyle w:val="Hyperlink"/>
          </w:rPr>
          <w:t xml:space="preserve">Figure 6</w:t>
        </w:r>
      </w:hyperlink>
      <w:r>
        <w:t xml:space="preserve">:</w:t>
      </w:r>
      <w:commentRangeEnd w:id="0"/>
      <w:r>
        <w:rPr>
          <w:rStyle w:val="CommentReference"/>
        </w:rPr>
        <w:commentReference w:id="0"/>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3" w:name="fig-Fig6"/>
          <w:p>
            <w:pPr>
              <w:pStyle w:val="Compact"/>
              <w:jc w:val="center"/>
            </w:pPr>
            <w:r>
              <w:drawing>
                <wp:inline>
                  <wp:extent cx="5334000" cy="5334000"/>
                  <wp:effectExtent b="0" l="0" r="0" t="0"/>
                  <wp:docPr descr="" title="" id="51" name="Picture"/>
                  <a:graphic>
                    <a:graphicData uri="http://schemas.openxmlformats.org/drawingml/2006/picture">
                      <pic:pic>
                        <pic:nvPicPr>
                          <pic:cNvPr descr="../figures/access_sc_plot_combo.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5 resulting superclusters from the SOM output (left) and the associated dendrogram structure (right).</w:t>
            </w:r>
          </w:p>
          <w:bookmarkEnd w:id="53"/>
        </w:tc>
      </w:tr>
    </w:tbl>
    <w:p>
      <w:pPr>
        <w:pStyle w:val="BodyText"/>
      </w:pPr>
      <w:r>
        <w:t xml:space="preserve">The constitution of the superclusters in shown in the decision tree diagram in</w:t>
      </w:r>
      <w:r>
        <w:t xml:space="preserve"> </w:t>
      </w:r>
      <w:hyperlink w:anchor="fig-Fig7">
        <w:r>
          <w:rPr>
            <w:rStyle w:val="Hyperlink"/>
          </w:rPr>
          <w:t xml:space="preserve">Figure 7</w:t>
        </w:r>
      </w:hyperlink>
      <w:r>
        <w:t xml:space="preserve">. Decision trees area a supervised learning technique, which can use the results of the clustering algorithm as labels, and the input variables as features. The clustering algorithm performed well as class membership is relatively homogeneous as the majority of bar plots consist of a supermajority of one type of supercluster class membership, i.e., supercluster 5 are parcels that have an Errand-centric access of less than 0.5 opportunities (bottom quartile), a diversity score of less than 0.277 (bottom tertile), and any Dependent-centric access score of greater than 0.5 (and can take on any value of the remaining input variables). This technique provides a data-driven approach to supercluster formation which we then attribute meaning to.</w:t>
      </w:r>
    </w:p>
    <w:tbl>
      <w:tblPr>
        <w:tblStyle w:val="Table"/>
        <w:tblW w:type="pct" w:w="5000"/>
        <w:tblLook w:firstRow="0" w:lastRow="0" w:firstColumn="0" w:lastColumn="0" w:noHBand="0" w:noVBand="0" w:val="0000"/>
        <w:jc w:val="start"/>
        <w:tblLayout w:type="fixed"/>
      </w:tblPr>
      <w:tblGrid>
        <w:gridCol w:w="7920"/>
      </w:tblGrid>
      <w:tr>
        <w:tc>
          <w:tcPr/>
          <w:bookmarkStart w:id="57" w:name="fig-Fig7"/>
          <w:p>
            <w:pPr>
              <w:pStyle w:val="Compact"/>
              <w:jc w:val="center"/>
            </w:pPr>
            <w:r>
              <w:drawing>
                <wp:inline>
                  <wp:extent cx="5334000" cy="2667000"/>
                  <wp:effectExtent b="0" l="0" r="0" t="0"/>
                  <wp:docPr descr="" title="" id="55" name="Picture"/>
                  <a:graphic>
                    <a:graphicData uri="http://schemas.openxmlformats.org/drawingml/2006/picture">
                      <pic:pic>
                        <pic:nvPicPr>
                          <pic:cNvPr descr="../figures/decision_tree_profiles_sc.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decision tree profiles of the SOM output.</w:t>
            </w:r>
          </w:p>
          <w:bookmarkEnd w:id="57"/>
        </w:tc>
      </w:tr>
    </w:tbl>
    <w:p>
      <w:pPr>
        <w:pStyle w:val="BodyText"/>
      </w:pPr>
      <w:r>
        <w:t xml:space="preserve">The dendrogram demonstrating the supercluster class membership of each parcel in</w:t>
      </w:r>
      <w:r>
        <w:t xml:space="preserve"> </w:t>
      </w:r>
      <w:hyperlink w:anchor="fig-Fig7">
        <w:r>
          <w:rPr>
            <w:rStyle w:val="Hyperlink"/>
          </w:rPr>
          <w:t xml:space="preserve">Figure 7</w:t>
        </w:r>
      </w:hyperlink>
      <w:r>
        <w:t xml:space="preserve"> </w:t>
      </w:r>
      <w:r>
        <w:t xml:space="preserve">is summarized, with our interpretation, as follows:</w:t>
      </w:r>
      <w:r>
        <w:t xml:space="preserve"> </w:t>
      </w:r>
      <w:r>
        <w:t xml:space="preserve">- Very caring (mean category accessibility between 4 to 18.6 and total accessibility median of 46) - very complete (diversity index of mean 0.9 and median 0.90) (SCluster 2)</w:t>
      </w:r>
      <w:r>
        <w:t xml:space="preserve"> </w:t>
      </w:r>
      <w:r>
        <w:t xml:space="preserve">- Caring (mean category accessibility between 2.1 to 9 and total accessibility median of 18) - complete (div index of mean 0.81 and median 0.82) (SCluster 1)</w:t>
      </w:r>
      <w:r>
        <w:t xml:space="preserve"> </w:t>
      </w:r>
      <w:r>
        <w:t xml:space="preserve">- Somewhat caring (mean category accessibility between 0.2 to 6 and total accessibility median of 13) - complete div index of mean 0.71 and median 0.74) (SCluster 4)</w:t>
      </w:r>
      <w:r>
        <w:t xml:space="preserve"> </w:t>
      </w:r>
      <w:r>
        <w:t xml:space="preserve">- Somewhat caring (mean category accessibility between 0.2 to 6 and total accessibility median 7) - not complete (div index of mean 0.36 and median 0.40) (SCluster 3)</w:t>
      </w:r>
      <w:r>
        <w:t xml:space="preserve"> </w:t>
      </w:r>
      <w:r>
        <w:t xml:space="preserve">- Not caring (mean category accessibility between 0 to 4.7 and total accessibility median of 3) - not complete (div index of mean 0.02 and median 0) (SCluster 5)</w:t>
      </w:r>
    </w:p>
    <w:p>
      <w:pPr>
        <w:pStyle w:val="BodyText"/>
      </w:pPr>
      <w:r>
        <w:t xml:space="preserve">To further visualize supercluster membership, we spatially demonstrate which supercluster best describes each parcel in</w:t>
      </w:r>
      <w:r>
        <w:t xml:space="preserve"> </w:t>
      </w:r>
      <w:hyperlink w:anchor="fig-Fig8">
        <w:r>
          <w:rPr>
            <w:rStyle w:val="Hyperlink"/>
          </w:rPr>
          <w:t xml:space="preserve">Figure 8</w:t>
        </w:r>
      </w:hyperlink>
      <w:r>
        <w:t xml:space="preserve"> </w:t>
      </w:r>
      <w:r>
        <w:t xml:space="preserve">(top plot): the median parcel’s supercluster membership per DA is tabulated and the majority membership is represented. Visually, the super clusters closely follow the quartile split of the accessibility to care destinations (all categories combined) and tertile split of the diversity scores (visualised in</w:t>
      </w:r>
      <w:r>
        <w:t xml:space="preserve"> </w:t>
      </w:r>
      <w:hyperlink w:anchor="fig-Fig5">
        <w:r>
          <w:rPr>
            <w:rStyle w:val="Hyperlink"/>
          </w:rPr>
          <w:t xml:space="preserve">Figure 5</w:t>
        </w:r>
      </w:hyperlink>
      <w:r>
        <w:t xml:space="preserve">)</w:t>
      </w:r>
      <w:r>
        <w:t xml:space="preserve"> </w:t>
      </w:r>
      <w:commentRangeStart w:id="0"/>
      <w:r>
        <w:t xml:space="preserve">.</w:t>
      </w:r>
      <w:commentRangeEnd w:id="0"/>
      <w:r>
        <w:rPr>
          <w:rStyle w:val="CommentReference"/>
        </w:rPr>
        <w:commentReference w:id="0"/>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1" w:name="fig-Fig8"/>
          <w:p>
            <w:pPr>
              <w:pStyle w:val="Compact"/>
              <w:jc w:val="center"/>
            </w:pPr>
            <w:r>
              <w:drawing>
                <wp:inline>
                  <wp:extent cx="5334000" cy="5334000"/>
                  <wp:effectExtent b="0" l="0" r="0" t="0"/>
                  <wp:docPr descr="" title="" id="59" name="Picture"/>
                  <a:graphic>
                    <a:graphicData uri="http://schemas.openxmlformats.org/drawingml/2006/picture">
                      <pic:pic>
                        <pic:nvPicPr>
                          <pic:cNvPr descr="../figures/SCLab_and_total_copp_plot.png" id="6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median parcel supercluster membership (top). The parcel median total accessibility (bottom). The parcel m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61"/>
        </w:tc>
      </w:tr>
    </w:tbl>
    <w:p>
      <w:pPr>
        <w:pStyle w:val="BodyText"/>
      </w:pPr>
      <w:r>
        <w:t xml:space="preserve">To enhance the meaning of the superclusters beyond a spatial conceptualisation of</w:t>
      </w:r>
      <w:r>
        <w:t xml:space="preserve"> </w:t>
      </w:r>
      <w:r>
        <w:t xml:space="preserve">“</w:t>
      </w:r>
      <w:r>
        <w:t xml:space="preserve">caring</w:t>
      </w:r>
      <w:r>
        <w:t xml:space="preserve">”</w:t>
      </w:r>
      <w:r>
        <w:t xml:space="preserve"> </w:t>
      </w:r>
      <w:r>
        <w:t xml:space="preserve">and</w:t>
      </w:r>
      <w:r>
        <w:t xml:space="preserve"> </w:t>
      </w:r>
      <w:r>
        <w:t xml:space="preserve">“</w:t>
      </w:r>
      <w:r>
        <w:t xml:space="preserve">complete</w:t>
      </w:r>
      <w:r>
        <w:t xml:space="preserve">”</w:t>
      </w:r>
      <w:r>
        <w:t xml:space="preserve">, was</w:t>
      </w:r>
      <w:r>
        <w:t xml:space="preserve"> </w:t>
      </w:r>
      <w:r>
        <w:rPr>
          <w:iCs/>
          <w:i/>
        </w:rPr>
        <w:t xml:space="preserve">who?</w:t>
      </w:r>
      <w:r>
        <w:t xml:space="preserve"> </w:t>
      </w:r>
      <w:r>
        <w:t xml:space="preserve">resides there. We implement another decision tree in which the population-weighted socio-demographic characteristics of the parcels (retrieved from the 2021 Canadian Census) are input variables and the resulting output are</w:t>
      </w:r>
      <w:r>
        <w:t xml:space="preserve"> </w:t>
      </w:r>
      <w:r>
        <w:t xml:space="preserve">‘</w:t>
      </w:r>
      <w:r>
        <w:t xml:space="preserve">socio-domographic superclusters</w:t>
      </w:r>
      <w:r>
        <w:t xml:space="preserve">’</w:t>
      </w:r>
      <w:r>
        <w:t xml:space="preserve"> </w:t>
      </w:r>
      <w:r>
        <w:t xml:space="preserve">of the caring/complete superclusters. The input variables included: % households below median household after-tax income, LICO prevalence, average number of children per household, % not in the labour force, Gini index on adjusted household after-tax income, % visible minority, % population aged 0 to 14, % single parent household, % who walk to work (relative to bike, care/truck/van, public transit and</w:t>
      </w:r>
      <w:r>
        <w:t xml:space="preserve"> </w:t>
      </w:r>
      <w:r>
        <w:t xml:space="preserve">‘</w:t>
      </w:r>
      <w:r>
        <w:t xml:space="preserve">other</w:t>
      </w:r>
      <w:r>
        <w:t xml:space="preserve">’</w:t>
      </w:r>
      <w:r>
        <w:t xml:space="preserve">), % of owner household in core housing need (i.e., inadequate housing structure or paying higher than 30% income on housing), % of owner households with a mortgage, % of tenant households in subsidized housing, % of tenant households in core housing need, % no certification, diploma or degree (relative to population with high school, college, or university certificate, diploma or degree).</w:t>
      </w:r>
    </w:p>
    <w:p>
      <w:pPr>
        <w:pStyle w:val="BodyText"/>
      </w:pPr>
      <w:r>
        <w:t xml:space="preserve">Of all the variables, those that proved to be significant in profiling the five superclusters were only four variables: % households below median household after-tax income (bottom income), % population aged 0 to 14, % single parent household, and LICO. See</w:t>
      </w:r>
      <w:r>
        <w:t xml:space="preserve"> </w:t>
      </w:r>
      <w:hyperlink w:anchor="fig-Fig9">
        <w:r>
          <w:rPr>
            <w:rStyle w:val="Hyperlink"/>
          </w:rPr>
          <w:t xml:space="preserve">Figure 9</w:t>
        </w:r>
      </w:hyperlink>
      <w:r>
        <w:t xml:space="preserve"> </w:t>
      </w:r>
      <w:r>
        <w:t xml:space="preserve">that provides the splits. Unfortunately, the supercluster membership is not as homogeneous as the caring/complete supercluster dendrogram (</w:t>
      </w:r>
      <w:hyperlink w:anchor="fig-Fig7">
        <w:r>
          <w:rPr>
            <w:rStyle w:val="Hyperlink"/>
          </w:rPr>
          <w:t xml:space="preserve">Figure 7</w:t>
        </w:r>
      </w:hyperlink>
      <w:r>
        <w:t xml:space="preserve">). However, we can interpret the socio-demographic superclusters (five that result) as labels to tell a narrative of who may reside in what caring/complete supercluster.</w:t>
      </w:r>
    </w:p>
    <w:tbl>
      <w:tblPr>
        <w:tblStyle w:val="Table"/>
        <w:tblW w:type="pct" w:w="5000"/>
        <w:tblLook w:firstRow="0" w:lastRow="0" w:firstColumn="0" w:lastColumn="0" w:noHBand="0" w:noVBand="0" w:val="0000"/>
        <w:jc w:val="start"/>
        <w:tblLayout w:type="fixed"/>
      </w:tblPr>
      <w:tblGrid>
        <w:gridCol w:w="7920"/>
      </w:tblGrid>
      <w:tr>
        <w:tc>
          <w:tcPr/>
          <w:bookmarkStart w:id="65" w:name="fig-Fig9"/>
          <w:p>
            <w:pPr>
              <w:pStyle w:val="Compact"/>
              <w:jc w:val="center"/>
            </w:pPr>
            <w:r>
              <w:drawing>
                <wp:inline>
                  <wp:extent cx="5334000" cy="2667000"/>
                  <wp:effectExtent b="0" l="0" r="0" t="0"/>
                  <wp:docPr descr="" title="" id="63" name="Picture"/>
                  <a:graphic>
                    <a:graphicData uri="http://schemas.openxmlformats.org/drawingml/2006/picture">
                      <pic:pic>
                        <pic:nvPicPr>
                          <pic:cNvPr descr="../figures/access_sc_profiles.pn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dendrogram of the supercluster demographic profiles..</w:t>
            </w:r>
          </w:p>
          <w:bookmarkEnd w:id="65"/>
        </w:tc>
      </w:tr>
    </w:tbl>
    <w:p>
      <w:pPr>
        <w:pStyle w:val="BodyText"/>
      </w:pPr>
      <w:r>
        <w:t xml:space="preserve">(NOTE: for reference, see the old bivariate map in the appendix for comparison)</w:t>
      </w:r>
    </w:p>
    <w:p>
      <w:pPr>
        <w:pStyle w:val="BodyText"/>
      </w:pPr>
      <w:r>
        <w:t xml:space="preserve">In</w:t>
      </w:r>
      <w:r>
        <w:t xml:space="preserve"> </w:t>
      </w:r>
      <w:hyperlink w:anchor="fig-Fig9">
        <w:r>
          <w:rPr>
            <w:rStyle w:val="Hyperlink"/>
          </w:rPr>
          <w:t xml:space="preserve">Figure 9</w:t>
        </w:r>
      </w:hyperlink>
      <w:r>
        <w:t xml:space="preserve">, discussing from right-to-left, parcels in DAs with 45% of the population below the median or lower (richer) are often classified with poor accessibility: either</w:t>
      </w:r>
      <w:r>
        <w:t xml:space="preserve"> </w:t>
      </w:r>
      <w:r>
        <w:t xml:space="preserve">“</w:t>
      </w:r>
      <w:r>
        <w:t xml:space="preserve">Somewhat caring and not complete</w:t>
      </w:r>
      <w:r>
        <w:t xml:space="preserve">”</w:t>
      </w:r>
      <w:r>
        <w:t xml:space="preserve"> </w:t>
      </w:r>
      <w:r>
        <w:t xml:space="preserve">SC3 or</w:t>
      </w:r>
      <w:r>
        <w:t xml:space="preserve"> </w:t>
      </w:r>
      <w:r>
        <w:t xml:space="preserve">“</w:t>
      </w:r>
      <w:r>
        <w:t xml:space="preserve">Not caring and not complete</w:t>
      </w:r>
      <w:r>
        <w:t xml:space="preserve">”</w:t>
      </w:r>
      <w:r>
        <w:t xml:space="preserve"> </w:t>
      </w:r>
      <w:r>
        <w:t xml:space="preserve">SC5, where parcels within DAs with a higher proportion of single parent households (13% and above) are most often SC3 and below are most often SC5. For parcels with higher than 45% of bottom-income (poorer), those with a high proportion of children (age 0 to 14) are also likely to be within the</w:t>
      </w:r>
      <w:r>
        <w:t xml:space="preserve"> </w:t>
      </w:r>
      <w:r>
        <w:t xml:space="preserve">“</w:t>
      </w:r>
      <w:r>
        <w:t xml:space="preserve">Somewhat caring and not complete</w:t>
      </w:r>
      <w:r>
        <w:t xml:space="preserve">”</w:t>
      </w:r>
      <w:r>
        <w:t xml:space="preserve"> </w:t>
      </w:r>
      <w:r>
        <w:t xml:space="preserve">SC3 - just like parcels in richer and more-single-parent DA counterparts.</w:t>
      </w:r>
    </w:p>
    <w:p>
      <w:pPr>
        <w:pStyle w:val="BodyText"/>
      </w:pPr>
      <w:r>
        <w:t xml:space="preserve">These findings related to potential child-care access are notable: single parents provide more care and hence may be more likely to choose, if they are able, more accessible neighbourhoods than the rest of the population in the same household income grouping. In a Canadian and U.S. context, households with children may locate to catchments with</w:t>
      </w:r>
      <w:r>
        <w:t xml:space="preserve"> </w:t>
      </w:r>
      <w:r>
        <w:t xml:space="preserve">‘</w:t>
      </w:r>
      <w:r>
        <w:t xml:space="preserve">better</w:t>
      </w:r>
      <w:r>
        <w:t xml:space="preserve">’</w:t>
      </w:r>
      <w:r>
        <w:t xml:space="preserve"> </w:t>
      </w:r>
      <w:r>
        <w:t xml:space="preserve">schools, often more suburban with lower potential access scores overall. Furthermore, statistics show that in the last years, the number of single parents families in Canada has increased. In 2022, there were about 1.84 million single parents compared to about 1.56 million in 2010 and 1,3 million in 2001 (https://www.statista.com/statistics/443342/single-parent-families-in-canada/ &amp; https://www.justice.gc.ca/eng/rp-pr/jr/jr12/p5a.html#ftn4). Furthermore, Ontario is the Canadian province where most of the lone parent families live (749,769 families, https://www.statista.com/statistics/446667/lone-parent-families-in-canada-by-province/). Most lone-families are headed by female-lone parent. (AS TO ADD IN HAMILTON SPECIFIC NUMBERS)</w:t>
      </w:r>
    </w:p>
    <w:p>
      <w:pPr>
        <w:pStyle w:val="BodyText"/>
      </w:pPr>
      <w:r>
        <w:t xml:space="preserve">Interestingly, parcels in DAs with lower than 13% children population demonstrate a better accessibility to care destination story. Parcels within DAs that constitute more than 45% population below median household income (poorer) - especially above 9.8% LICO (low income cut-off prevalence - likely to be the poorest) are often within</w:t>
      </w:r>
      <w:r>
        <w:t xml:space="preserve"> </w:t>
      </w:r>
      <w:r>
        <w:t xml:space="preserve">“</w:t>
      </w:r>
      <w:r>
        <w:t xml:space="preserve">Very caring and very complete</w:t>
      </w:r>
      <w:r>
        <w:t xml:space="preserve">”</w:t>
      </w:r>
      <w:r>
        <w:t xml:space="preserve"> </w:t>
      </w:r>
      <w:r>
        <w:t xml:space="preserve">SC1. Parcels located in DAs with the same lower median income and child population but have</w:t>
      </w:r>
      <w:r>
        <w:t xml:space="preserve"> </w:t>
      </w:r>
      <w:r>
        <w:rPr>
          <w:iCs/>
          <w:i/>
        </w:rPr>
        <w:t xml:space="preserve">lower</w:t>
      </w:r>
      <w:r>
        <w:t xml:space="preserve"> </w:t>
      </w:r>
      <w:r>
        <w:t xml:space="preserve">than 9.8% LICO (not the poorest) also have good accessibility, as they are most often in</w:t>
      </w:r>
      <w:r>
        <w:t xml:space="preserve"> </w:t>
      </w:r>
      <w:r>
        <w:t xml:space="preserve">“</w:t>
      </w:r>
      <w:r>
        <w:t xml:space="preserve">Caring and complete</w:t>
      </w:r>
      <w:r>
        <w:t xml:space="preserve">”</w:t>
      </w:r>
      <w:r>
        <w:t xml:space="preserve"> </w:t>
      </w:r>
      <w:r>
        <w:t xml:space="preserve">SC1 as well as being in most often in the</w:t>
      </w:r>
      <w:r>
        <w:t xml:space="preserve"> </w:t>
      </w:r>
      <w:r>
        <w:t xml:space="preserve">“</w:t>
      </w:r>
      <w:r>
        <w:t xml:space="preserve">Somewhat caring and complete</w:t>
      </w:r>
      <w:r>
        <w:t xml:space="preserve">”</w:t>
      </w:r>
      <w:r>
        <w:t xml:space="preserve"> </w:t>
      </w:r>
      <w:r>
        <w:t xml:space="preserve">SC4 relative to other parcels.</w:t>
      </w:r>
    </w:p>
    <w:p>
      <w:pPr>
        <w:pStyle w:val="BodyText"/>
      </w:pPr>
      <w:r>
        <w:t xml:space="preserve">Our findings illustrate differences in patterns of 15-minute walk accessibility to care destinations most prominently profiled by income, low-income prevalence, children and single-parent status.</w:t>
      </w:r>
    </w:p>
    <w:p>
      <w:pPr>
        <w:pStyle w:val="BodyText"/>
      </w:pPr>
      <w:commentRangeStart w:id="0"/>
      <w:r>
        <w:t xml:space="preserve"> </w:t>
      </w:r>
      <w:commentRangeEnd w:id="0"/>
      <w:r>
        <w:rPr>
          <w:rStyle w:val="CommentReference"/>
        </w:rPr>
        <w:commentReference w:id="0"/>
      </w:r>
      <w:r>
        <w:t xml:space="preserve"> </w:t>
      </w:r>
      <w:commentRangeStart w:id="0"/>
      <w:r>
        <w:t xml:space="preserve">:</w:t>
      </w:r>
      <w:commentRangeEnd w:id="0"/>
      <w:r>
        <w:rPr>
          <w:rStyle w:val="CommentReference"/>
        </w:rPr>
        <w:commentReference w:id="0"/>
      </w:r>
      <w:r>
        <w:t xml:space="preserve">.</w:t>
      </w:r>
    </w:p>
    <w:p>
      <w:pPr>
        <w:pStyle w:val="BodyText"/>
      </w:pPr>
      <w:commentRangeStart w:id="0"/>
      <w:r>
        <w:t xml:space="preserve">:</w:t>
      </w:r>
      <w:commentRangeEnd w:id="0"/>
      <w:r>
        <w:rPr>
          <w:rStyle w:val="CommentReference"/>
        </w:rPr>
        <w:commentReference w:id="0"/>
      </w:r>
      <w:r>
        <w:t xml:space="preserve">.</w:t>
      </w:r>
    </w:p>
    <w:bookmarkEnd w:id="66"/>
    <w:bookmarkStart w:id="67" w:name="conclusions-and-discussion"/>
    <w:p>
      <w:pPr>
        <w:pStyle w:val="Heading1"/>
      </w:pPr>
      <w:r>
        <w:t xml:space="preserve">Conclusions and Discussion</w:t>
      </w:r>
    </w:p>
    <w:p>
      <w:pPr>
        <w:pStyle w:val="FirstParagraph"/>
      </w:pPr>
      <w:r>
        <w:t xml:space="preserve">There seems to be a spatial mismatch where dwelling availability and affordability play an important role? Are there social housing programs for lower income households?</w:t>
      </w:r>
    </w:p>
    <w:p>
      <w:pPr>
        <w:pStyle w:val="BodyText"/>
      </w:pPr>
      <w:r>
        <w:t xml:space="preserve">Even if we are on the right direction to develop human-centred urban areas by facilitating caring activities, the chrono-urbanism needs to set the ground on aspects that specifically target caring activities, given the multiple impacts it has on everyday mobility, the unequal distribution of tasks among the population and its related socioeconomic consequences. Therefore, it is necessary to provide alternatives to measure progress on this important issue. City planning should respond to these issues to promote equity. On the other hand, an intersectional approach to understand how different personal identities interact in our daily day activities in the cities is necessary.</w:t>
      </w:r>
    </w:p>
    <w:bookmarkEnd w:id="67"/>
    <w:bookmarkStart w:id="252" w:name="references"/>
    <w:p>
      <w:pPr>
        <w:pStyle w:val="Heading1"/>
      </w:pPr>
      <w:r>
        <w:t xml:space="preserve">References</w:t>
      </w:r>
    </w:p>
    <w:bookmarkStart w:id="251" w:name="refs"/>
    <w:bookmarkStart w:id="68" w:name="ref-Allam2022"/>
    <w:p>
      <w:pPr>
        <w:pStyle w:val="Bibliography"/>
      </w:pPr>
      <w:r>
        <w:t xml:space="preserve">Allam, Zaheer, Mark Nieuwenhuijsen, Didier Chabaud, and Carlos Moreno. 2022.</w:t>
      </w:r>
      <w:r>
        <w:t xml:space="preserve"> </w:t>
      </w:r>
      <w:r>
        <w:t xml:space="preserve">“The 15-Minute City Offers a New Framework for Sustainability, Liveability, and Health.”</w:t>
      </w:r>
      <w:r>
        <w:t xml:space="preserve"> </w:t>
      </w:r>
      <w:r>
        <w:rPr>
          <w:iCs/>
          <w:i/>
        </w:rPr>
        <w:t xml:space="preserve">The Lancet Planetary Health</w:t>
      </w:r>
      <w:r>
        <w:t xml:space="preserve"> </w:t>
      </w:r>
      <w:r>
        <w:t xml:space="preserve">6 (3): e181–83.</w:t>
      </w:r>
    </w:p>
    <w:bookmarkEnd w:id="68"/>
    <w:bookmarkStart w:id="70" w:name="ref-axledataConsumerData2023"/>
    <w:p>
      <w:pPr>
        <w:pStyle w:val="Bibliography"/>
      </w:pPr>
      <w:r>
        <w:t xml:space="preserve">Axle Data. 2023.</w:t>
      </w:r>
      <w:r>
        <w:t xml:space="preserve"> </w:t>
      </w:r>
      <w:r>
        <w:t xml:space="preserve">“Consumer Data.”</w:t>
      </w:r>
      <w:r>
        <w:t xml:space="preserve"> </w:t>
      </w:r>
      <w:r>
        <w:t xml:space="preserve">Aggregated Database.</w:t>
      </w:r>
      <w:r>
        <w:t xml:space="preserve"> </w:t>
      </w:r>
      <w:hyperlink r:id="rId69">
        <w:r>
          <w:rPr>
            <w:rStyle w:val="Hyperlink"/>
          </w:rPr>
          <w:t xml:space="preserve">https://www.data-axle.com/our-data/</w:t>
        </w:r>
      </w:hyperlink>
      <w:r>
        <w:t xml:space="preserve">.</w:t>
      </w:r>
    </w:p>
    <w:bookmarkEnd w:id="70"/>
    <w:bookmarkStart w:id="72" w:name="ref-bankofmontrealBankMontrealBranch2023"/>
    <w:p>
      <w:pPr>
        <w:pStyle w:val="Bibliography"/>
      </w:pPr>
      <w:r>
        <w:t xml:space="preserve">BMO. 2023.</w:t>
      </w:r>
      <w:r>
        <w:t xml:space="preserve"> </w:t>
      </w:r>
      <w:r>
        <w:t xml:space="preserve">“Bank of Montreal (BMO) - Branch and ABM Locator.”</w:t>
      </w:r>
      <w:r>
        <w:t xml:space="preserve"> </w:t>
      </w:r>
      <w:r>
        <w:t xml:space="preserve">Web Page.</w:t>
      </w:r>
      <w:r>
        <w:t xml:space="preserve"> </w:t>
      </w:r>
      <w:hyperlink r:id="rId71">
        <w:r>
          <w:rPr>
            <w:rStyle w:val="Hyperlink"/>
          </w:rPr>
          <w:t xml:space="preserve">https://branchlocator.bmo.com/index.html</w:t>
        </w:r>
      </w:hyperlink>
      <w:r>
        <w:t xml:space="preserve">.</w:t>
      </w:r>
    </w:p>
    <w:bookmarkEnd w:id="72"/>
    <w:bookmarkStart w:id="74" w:name="ref-canadapostPostOfficeLocator2023"/>
    <w:p>
      <w:pPr>
        <w:pStyle w:val="Bibliography"/>
      </w:pPr>
      <w:r>
        <w:t xml:space="preserve">Canada Post. 2023.</w:t>
      </w:r>
      <w:r>
        <w:t xml:space="preserve"> </w:t>
      </w:r>
      <w:r>
        <w:t xml:space="preserve">“Canada Post Office Locator.”</w:t>
      </w:r>
      <w:r>
        <w:t xml:space="preserve"> </w:t>
      </w:r>
      <w:r>
        <w:t xml:space="preserve">Web Page.</w:t>
      </w:r>
      <w:r>
        <w:t xml:space="preserve"> </w:t>
      </w:r>
      <w:hyperlink r:id="rId73">
        <w:r>
          <w:rPr>
            <w:rStyle w:val="Hyperlink"/>
          </w:rPr>
          <w:t xml:space="preserve">https://www.canadapost-postescanada.ca/information/app/fpo/personal/findpostoffice</w:t>
        </w:r>
      </w:hyperlink>
      <w:r>
        <w:t xml:space="preserve">.</w:t>
      </w:r>
    </w:p>
    <w:bookmarkEnd w:id="74"/>
    <w:bookmarkStart w:id="76" w:name="ref-carverParentalChauffeursWhat2013"/>
    <w:p>
      <w:pPr>
        <w:pStyle w:val="Bibliography"/>
      </w:pPr>
      <w:r>
        <w:t xml:space="preserve">Carver, Alison, Anna Timperio, and David Crawford. 2013.</w:t>
      </w:r>
      <w:r>
        <w:t xml:space="preserve"> </w:t>
      </w:r>
      <w:r>
        <w:t xml:space="preserve">“Parental Chauffeurs: What Drives Their Transport Choice?”</w:t>
      </w:r>
      <w:r>
        <w:t xml:space="preserve"> Journal Article.</w:t>
      </w:r>
      <w:r>
        <w:t xml:space="preserve"> </w:t>
      </w:r>
      <w:r>
        <w:rPr>
          <w:iCs/>
          <w:i/>
        </w:rPr>
        <w:t xml:space="preserve">Journal of Transport Geography</w:t>
      </w:r>
      <w:r>
        <w:t xml:space="preserve"> </w:t>
      </w:r>
      <w:r>
        <w:t xml:space="preserve">26: 72–77.</w:t>
      </w:r>
      <w:r>
        <w:t xml:space="preserve"> </w:t>
      </w:r>
      <w:hyperlink r:id="rId75">
        <w:r>
          <w:rPr>
            <w:rStyle w:val="Hyperlink"/>
          </w:rPr>
          <w:t xml:space="preserve">https://doi.org/10.1016/j.jtrangeo.2012.08.017</w:t>
        </w:r>
      </w:hyperlink>
      <w:r>
        <w:t xml:space="preserve">.</w:t>
      </w:r>
    </w:p>
    <w:bookmarkEnd w:id="76"/>
    <w:bookmarkStart w:id="78" w:name="ref-chengMeasuringUrbanJob2013"/>
    <w:p>
      <w:pPr>
        <w:pStyle w:val="Bibliography"/>
      </w:pPr>
      <w:r>
        <w:t xml:space="preserve">Cheng, Jianquan, and Luca Bertolini. 2013.</w:t>
      </w:r>
      <w:r>
        <w:t xml:space="preserve"> </w:t>
      </w:r>
      <w:r>
        <w:t xml:space="preserve">“Measuring Urban Job Accessibility with Distance Decay, Competition and Diversity.”</w:t>
      </w:r>
      <w:r>
        <w:t xml:space="preserve"> </w:t>
      </w:r>
      <w:r>
        <w:rPr>
          <w:iCs/>
          <w:i/>
        </w:rPr>
        <w:t xml:space="preserve">Journal of Transport Geography</w:t>
      </w:r>
      <w:r>
        <w:t xml:space="preserve"> </w:t>
      </w:r>
      <w:r>
        <w:t xml:space="preserve">30 (June): 100–109.</w:t>
      </w:r>
      <w:r>
        <w:t xml:space="preserve"> </w:t>
      </w:r>
      <w:hyperlink r:id="rId77">
        <w:r>
          <w:rPr>
            <w:rStyle w:val="Hyperlink"/>
          </w:rPr>
          <w:t xml:space="preserve">https://doi.org/10.1016/j.jtrangeo.2013.03.005</w:t>
        </w:r>
      </w:hyperlink>
      <w:r>
        <w:t xml:space="preserve">.</w:t>
      </w:r>
    </w:p>
    <w:bookmarkEnd w:id="78"/>
    <w:bookmarkStart w:id="80" w:name="ref-equal_pay_coalition_myths_2022"/>
    <w:p>
      <w:pPr>
        <w:pStyle w:val="Bibliography"/>
      </w:pPr>
      <w:r>
        <w:t xml:space="preserve">Coalition, Equal Pay. 2022.</w:t>
      </w:r>
      <w:r>
        <w:t xml:space="preserve"> </w:t>
      </w:r>
      <w:r>
        <w:t xml:space="preserve">“Myths</w:t>
      </w:r>
      <w:r>
        <w:t xml:space="preserve"> </w:t>
      </w:r>
      <w:r>
        <w:t xml:space="preserve">About</w:t>
      </w:r>
      <w:r>
        <w:t xml:space="preserve"> </w:t>
      </w:r>
      <w:r>
        <w:t xml:space="preserve">the</w:t>
      </w:r>
      <w:r>
        <w:t xml:space="preserve"> </w:t>
      </w:r>
      <w:r>
        <w:t xml:space="preserve">Pay</w:t>
      </w:r>
      <w:r>
        <w:t xml:space="preserve"> </w:t>
      </w:r>
      <w:r>
        <w:t xml:space="preserve">Gap</w:t>
      </w:r>
      <w:r>
        <w:t xml:space="preserve"> </w:t>
      </w:r>
      <w:r>
        <w:t xml:space="preserve">–</w:t>
      </w:r>
      <w:r>
        <w:t xml:space="preserve"> </w:t>
      </w:r>
      <w:r>
        <w:t xml:space="preserve">Equal</w:t>
      </w:r>
      <w:r>
        <w:t xml:space="preserve"> </w:t>
      </w:r>
      <w:r>
        <w:t xml:space="preserve">Pay</w:t>
      </w:r>
      <w:r>
        <w:t xml:space="preserve"> </w:t>
      </w:r>
      <w:r>
        <w:t xml:space="preserve">Coalition</w:t>
      </w:r>
      <w:r>
        <w:t xml:space="preserve">.”</w:t>
      </w:r>
      <w:r>
        <w:t xml:space="preserve"> </w:t>
      </w:r>
      <w:hyperlink r:id="rId79">
        <w:r>
          <w:rPr>
            <w:rStyle w:val="Hyperlink"/>
          </w:rPr>
          <w:t xml:space="preserve">https://equalpaycoalition.org/myths-about-the-gap/</w:t>
        </w:r>
      </w:hyperlink>
      <w:r>
        <w:t xml:space="preserve">.</w:t>
      </w:r>
    </w:p>
    <w:bookmarkEnd w:id="80"/>
    <w:bookmarkStart w:id="82" w:name="ref-cresswell_gendered_2008"/>
    <w:p>
      <w:pPr>
        <w:pStyle w:val="Bibliography"/>
      </w:pPr>
      <w:r>
        <w:t xml:space="preserve">Cresswell, Tim, and Tanu Priya Uteng. 2008.</w:t>
      </w:r>
      <w:r>
        <w:t xml:space="preserve"> </w:t>
      </w:r>
      <w:r>
        <w:t xml:space="preserve">“Gendered Mobilities: Towards an Holistic Understanding.”</w:t>
      </w:r>
      <w:r>
        <w:t xml:space="preserve"> </w:t>
      </w:r>
      <w:r>
        <w:t xml:space="preserve">In, Ashgate Aldershot, 1–12.</w:t>
      </w:r>
      <w:r>
        <w:t xml:space="preserve"> </w:t>
      </w:r>
      <w:hyperlink r:id="rId81">
        <w:r>
          <w:rPr>
            <w:rStyle w:val="Hyperlink"/>
          </w:rPr>
          <w:t xml:space="preserve">https://scholar.googleusercontent.com/scholar.bib?q=info:Po-VQJ3PdC8J:scholar.google.com/&amp;output=citation&amp;scisdr=CgXWBZyhEKud2of3eV8:AAGBfm0AAAAAYhfxYV9SlOGokXr0aTZfNjhPI6OvxW5I&amp;scisig=AAGBfm0AAAAAYhfxYc8iC6UkrBP7WOJiAwZK5pn99p9G&amp;scisf=4&amp;ct=citation&amp;cd=-1&amp;hl=en</w:t>
        </w:r>
      </w:hyperlink>
      <w:r>
        <w:t xml:space="preserve">.</w:t>
      </w:r>
    </w:p>
    <w:bookmarkEnd w:id="82"/>
    <w:bookmarkStart w:id="84" w:name="ref-ville_dottawa_quartier_2021"/>
    <w:p>
      <w:pPr>
        <w:pStyle w:val="Bibliography"/>
      </w:pPr>
      <w:r>
        <w:t xml:space="preserve">d’Ottawa, Ville. 2021.</w:t>
      </w:r>
      <w:r>
        <w:t xml:space="preserve"> </w:t>
      </w:r>
      <w:r>
        <w:t xml:space="preserve">“Quartier Du Quart d’heure</w:t>
      </w:r>
      <w:r>
        <w:t xml:space="preserve"> </w:t>
      </w:r>
      <w:r>
        <w:t xml:space="preserve"> </w:t>
      </w:r>
      <w:r>
        <w:t xml:space="preserve">Nouveau</w:t>
      </w:r>
      <w:r>
        <w:t xml:space="preserve"> </w:t>
      </w:r>
      <w:r>
        <w:t xml:space="preserve">Plan</w:t>
      </w:r>
      <w:r>
        <w:t xml:space="preserve"> </w:t>
      </w:r>
      <w:r>
        <w:t xml:space="preserve">Officiel</w:t>
      </w:r>
      <w:r>
        <w:t xml:space="preserve"> </w:t>
      </w:r>
      <w:r>
        <w:t xml:space="preserve"> </w:t>
      </w:r>
      <w:r>
        <w:t xml:space="preserve">Participons</w:t>
      </w:r>
      <w:r>
        <w:t xml:space="preserve"> </w:t>
      </w:r>
      <w:r>
        <w:t xml:space="preserve">Ottawa</w:t>
      </w:r>
      <w:r>
        <w:t xml:space="preserve">.”</w:t>
      </w:r>
      <w:r>
        <w:t xml:space="preserve"> </w:t>
      </w:r>
      <w:hyperlink r:id="rId83">
        <w:r>
          <w:rPr>
            <w:rStyle w:val="Hyperlink"/>
          </w:rPr>
          <w:t xml:space="preserve">https://participons.ottawa.ca/nouveau-plan-officiel/news_feed/quartier-du-quart-d-heure</w:t>
        </w:r>
      </w:hyperlink>
      <w:r>
        <w:t xml:space="preserve">.</w:t>
      </w:r>
    </w:p>
    <w:bookmarkEnd w:id="84"/>
    <w:bookmarkStart w:id="86" w:name="ref-daiIncorporatingJobDiversity2018"/>
    <w:p>
      <w:pPr>
        <w:pStyle w:val="Bibliography"/>
      </w:pPr>
      <w:r>
        <w:t xml:space="preserve">Dai, Te-qi, Zheng-bing Liu, Cong Liao, and Hong-yu Cai. 2018.</w:t>
      </w:r>
      <w:r>
        <w:t xml:space="preserve"> </w:t>
      </w:r>
      <w:r>
        <w:t xml:space="preserve">“Incorporating Job Diversity Preference into Measuring Job Accessibility.”</w:t>
      </w:r>
      <w:r>
        <w:t xml:space="preserve"> </w:t>
      </w:r>
      <w:r>
        <w:rPr>
          <w:iCs/>
          <w:i/>
        </w:rPr>
        <w:t xml:space="preserve">Cities</w:t>
      </w:r>
      <w:r>
        <w:t xml:space="preserve"> </w:t>
      </w:r>
      <w:r>
        <w:t xml:space="preserve">78 (August): 108–15.</w:t>
      </w:r>
      <w:r>
        <w:t xml:space="preserve"> </w:t>
      </w:r>
      <w:hyperlink r:id="rId85">
        <w:r>
          <w:rPr>
            <w:rStyle w:val="Hyperlink"/>
          </w:rPr>
          <w:t xml:space="preserve">https://doi.org/10.1016/j.cities.2018.02.003</w:t>
        </w:r>
      </w:hyperlink>
      <w:r>
        <w:t xml:space="preserve">.</w:t>
      </w:r>
    </w:p>
    <w:bookmarkEnd w:id="86"/>
    <w:bookmarkStart w:id="88" w:name="ref-RN20"/>
    <w:p>
      <w:pPr>
        <w:pStyle w:val="Bibliography"/>
      </w:pPr>
      <w:r>
        <w:t xml:space="preserve">Dowling, Robyn. 2000.</w:t>
      </w:r>
      <w:r>
        <w:t xml:space="preserve"> </w:t>
      </w:r>
      <w:r>
        <w:t xml:space="preserve">“Cultures of Mothering and Car Use in Suburban Sydney: A Preliminary Investigation.”</w:t>
      </w:r>
      <w:r>
        <w:t xml:space="preserve"> </w:t>
      </w:r>
      <w:r>
        <w:t xml:space="preserve">Journal Article.</w:t>
      </w:r>
      <w:r>
        <w:t xml:space="preserve"> </w:t>
      </w:r>
      <w:r>
        <w:rPr>
          <w:iCs/>
          <w:i/>
        </w:rPr>
        <w:t xml:space="preserve">Geoforum</w:t>
      </w:r>
      <w:r>
        <w:t xml:space="preserve"> </w:t>
      </w:r>
      <w:r>
        <w:t xml:space="preserve">31 (3): 345–53. https://doi.org/</w:t>
      </w:r>
      <w:hyperlink r:id="rId87">
        <w:r>
          <w:rPr>
            <w:rStyle w:val="Hyperlink"/>
          </w:rPr>
          <w:t xml:space="preserve">https://doi.org/10.1016/S0016-7185(99)00048-2</w:t>
        </w:r>
      </w:hyperlink>
      <w:r>
        <w:t xml:space="preserve">.</w:t>
      </w:r>
    </w:p>
    <w:bookmarkEnd w:id="88"/>
    <w:bookmarkStart w:id="90" w:name="ref-drolet_intersectional_2023"/>
    <w:p>
      <w:pPr>
        <w:pStyle w:val="Bibliography"/>
      </w:pPr>
      <w:r>
        <w:t xml:space="preserve">Drolet, Marie, and Mandana Mardare Amini. 2023.</w:t>
      </w:r>
      <w:r>
        <w:t xml:space="preserve"> </w:t>
      </w:r>
      <w:r>
        <w:t xml:space="preserve">“Intersectional</w:t>
      </w:r>
      <w:r>
        <w:t xml:space="preserve"> </w:t>
      </w:r>
      <w:r>
        <w:t xml:space="preserve">Perspective</w:t>
      </w:r>
      <w:r>
        <w:t xml:space="preserve"> </w:t>
      </w:r>
      <w:r>
        <w:t xml:space="preserve">on the</w:t>
      </w:r>
      <w:r>
        <w:t xml:space="preserve"> </w:t>
      </w:r>
      <w:r>
        <w:t xml:space="preserve">Canadian</w:t>
      </w:r>
      <w:r>
        <w:t xml:space="preserve"> </w:t>
      </w:r>
      <w:r>
        <w:t xml:space="preserve">Gender</w:t>
      </w:r>
      <w:r>
        <w:t xml:space="preserve"> </w:t>
      </w:r>
      <w:r>
        <w:t xml:space="preserve">Wage</w:t>
      </w:r>
      <w:r>
        <w:t xml:space="preserve"> </w:t>
      </w:r>
      <w:r>
        <w:t xml:space="preserve">Gap</w:t>
      </w:r>
      <w:r>
        <w:t xml:space="preserve">.”</w:t>
      </w:r>
      <w:r>
        <w:t xml:space="preserve"> </w:t>
      </w:r>
      <w:r>
        <w:t xml:space="preserve">Studies on {Gender} and {Intersecting} {Identities}. Canada: Government of Canada.</w:t>
      </w:r>
      <w:r>
        <w:t xml:space="preserve"> </w:t>
      </w:r>
      <w:hyperlink r:id="rId89">
        <w:r>
          <w:rPr>
            <w:rStyle w:val="Hyperlink"/>
          </w:rPr>
          <w:t xml:space="preserve">https://www150.statcan.gc.ca/n1/pub/45-20-0002/452000022023002-eng.htm</w:t>
        </w:r>
      </w:hyperlink>
      <w:r>
        <w:t xml:space="preserve">.</w:t>
      </w:r>
    </w:p>
    <w:bookmarkEnd w:id="90"/>
    <w:bookmarkStart w:id="92" w:name="ref-EIGE2016"/>
    <w:p>
      <w:pPr>
        <w:pStyle w:val="Bibliography"/>
      </w:pPr>
      <w:r>
        <w:t xml:space="preserve">EIGE. 2016.</w:t>
      </w:r>
      <w:r>
        <w:t xml:space="preserve"> </w:t>
      </w:r>
      <w:r>
        <w:t xml:space="preserve">“Gender in Employment.”</w:t>
      </w:r>
      <w:r>
        <w:t xml:space="preserve"> </w:t>
      </w:r>
      <w:hyperlink r:id="rId91">
        <w:r>
          <w:rPr>
            <w:rStyle w:val="Hyperlink"/>
          </w:rPr>
          <w:t xml:space="preserve">https://eige.europa.eu/sites/default/files/documents/ti_pubpdf_mh0216898enn_pdfweb_20170124124440.pdf</w:t>
        </w:r>
      </w:hyperlink>
      <w:r>
        <w:t xml:space="preserve">.</w:t>
      </w:r>
    </w:p>
    <w:bookmarkEnd w:id="92"/>
    <w:bookmarkStart w:id="93" w:name="ref-RN29"/>
    <w:p>
      <w:pPr>
        <w:pStyle w:val="Bibliography"/>
      </w:pPr>
      <w:r>
        <w:t xml:space="preserve">England, Kim VL. 1993.</w:t>
      </w:r>
      <w:r>
        <w:t xml:space="preserve"> </w:t>
      </w:r>
      <w:r>
        <w:t xml:space="preserve">“Suburban Pink Collar Ghettos: The Spatial Entrapment of Women?”</w:t>
      </w:r>
      <w:r>
        <w:t xml:space="preserve"> Journal Article.</w:t>
      </w:r>
      <w:r>
        <w:t xml:space="preserve"> </w:t>
      </w:r>
      <w:r>
        <w:rPr>
          <w:iCs/>
          <w:i/>
        </w:rPr>
        <w:t xml:space="preserve">Annals of the Association of American Geographers</w:t>
      </w:r>
      <w:r>
        <w:t xml:space="preserve"> </w:t>
      </w:r>
      <w:r>
        <w:t xml:space="preserve">83 (2): 225–42.</w:t>
      </w:r>
    </w:p>
    <w:bookmarkEnd w:id="93"/>
    <w:bookmarkStart w:id="95" w:name="ref-RN19"/>
    <w:p>
      <w:pPr>
        <w:pStyle w:val="Bibliography"/>
      </w:pPr>
      <w:r>
        <w:t xml:space="preserve">Ermagun, Alireza, and Nebiyou Tilahun. 2020.</w:t>
      </w:r>
      <w:r>
        <w:t xml:space="preserve"> </w:t>
      </w:r>
      <w:r>
        <w:t xml:space="preserve">“Equity of Transit Accessibility Across Chicago.”</w:t>
      </w:r>
      <w:r>
        <w:t xml:space="preserve"> </w:t>
      </w:r>
      <w:r>
        <w:t xml:space="preserve">Journal Article.</w:t>
      </w:r>
      <w:r>
        <w:t xml:space="preserve"> </w:t>
      </w:r>
      <w:r>
        <w:rPr>
          <w:iCs/>
          <w:i/>
        </w:rPr>
        <w:t xml:space="preserve">Transportation Research Part D: Transport and Environment</w:t>
      </w:r>
      <w:r>
        <w:t xml:space="preserve"> </w:t>
      </w:r>
      <w:r>
        <w:t xml:space="preserve">86: 102461. https://doi.org/</w:t>
      </w:r>
      <w:hyperlink r:id="rId94">
        <w:r>
          <w:rPr>
            <w:rStyle w:val="Hyperlink"/>
          </w:rPr>
          <w:t xml:space="preserve">https://doi.org/10.1016/j.trd.2020.102461</w:t>
        </w:r>
      </w:hyperlink>
      <w:r>
        <w:t xml:space="preserve">.</w:t>
      </w:r>
    </w:p>
    <w:bookmarkEnd w:id="95"/>
    <w:bookmarkStart w:id="97" w:name="ref-ewingTravelBuiltEnvironment2010a"/>
    <w:p>
      <w:pPr>
        <w:pStyle w:val="Bibliography"/>
      </w:pPr>
      <w:r>
        <w:t xml:space="preserve">Ewing, Reid, and Robert Cervero. 2010.</w:t>
      </w:r>
      <w:r>
        <w:t xml:space="preserve"> </w:t>
      </w:r>
      <w:r>
        <w:t xml:space="preserve">“Travel and the Built Environment: A Meta-Analysis.”</w:t>
      </w:r>
      <w:r>
        <w:t xml:space="preserve"> </w:t>
      </w:r>
      <w:r>
        <w:rPr>
          <w:iCs/>
          <w:i/>
        </w:rPr>
        <w:t xml:space="preserve">Journal of the American Planning Association</w:t>
      </w:r>
      <w:r>
        <w:t xml:space="preserve"> </w:t>
      </w:r>
      <w:r>
        <w:t xml:space="preserve">76 (3): 265–94.</w:t>
      </w:r>
      <w:r>
        <w:t xml:space="preserve"> </w:t>
      </w:r>
      <w:hyperlink r:id="rId96">
        <w:r>
          <w:rPr>
            <w:rStyle w:val="Hyperlink"/>
          </w:rPr>
          <w:t xml:space="preserve">https://doi.org/10.1080/01944361003766766</w:t>
        </w:r>
      </w:hyperlink>
      <w:r>
        <w:t xml:space="preserve">.</w:t>
      </w:r>
    </w:p>
    <w:bookmarkEnd w:id="97"/>
    <w:bookmarkStart w:id="98" w:name="ref-RN15"/>
    <w:p>
      <w:pPr>
        <w:pStyle w:val="Bibliography"/>
      </w:pPr>
      <w:r>
        <w:t xml:space="preserve">Eye, A., and A. Ferreira. 2015.</w:t>
      </w:r>
      <w:r>
        <w:t xml:space="preserve"> </w:t>
      </w:r>
      <w:r>
        <w:t xml:space="preserve">“Taking the Tyke on a Bike: Mothers’ and Childless Women’s Space–Time Geographies in Amsterdam Compared.”</w:t>
      </w:r>
      <w:r>
        <w:t xml:space="preserve"> Journal Article.</w:t>
      </w:r>
      <w:r>
        <w:t xml:space="preserve"> </w:t>
      </w:r>
      <w:r>
        <w:rPr>
          <w:iCs/>
          <w:i/>
        </w:rPr>
        <w:t xml:space="preserve">Environment and Planning A</w:t>
      </w:r>
      <w:r>
        <w:t xml:space="preserve"> </w:t>
      </w:r>
      <w:r>
        <w:t xml:space="preserve">47: 691–708.</w:t>
      </w:r>
    </w:p>
    <w:bookmarkEnd w:id="98"/>
    <w:bookmarkStart w:id="99" w:name="ref-RN5"/>
    <w:p>
      <w:pPr>
        <w:pStyle w:val="Bibliography"/>
      </w:pPr>
      <w:r>
        <w:t xml:space="preserve">Ferrant, Gaëlle, Luca Maria Pesando, and Keiko Nowacka. 2014.</w:t>
      </w:r>
      <w:r>
        <w:t xml:space="preserve"> </w:t>
      </w:r>
      <w:r>
        <w:t xml:space="preserve">“Unpaid Care Work: The Missing Link in the Analysis of Gender Gaps in Labour Outcomes.”</w:t>
      </w:r>
      <w:r>
        <w:t xml:space="preserve"> </w:t>
      </w:r>
      <w:r>
        <w:t xml:space="preserve">Journal Article.</w:t>
      </w:r>
      <w:r>
        <w:t xml:space="preserve"> </w:t>
      </w:r>
      <w:r>
        <w:rPr>
          <w:iCs/>
          <w:i/>
        </w:rPr>
        <w:t xml:space="preserve">Boulogne Billancourt: OECD Development Center</w:t>
      </w:r>
      <w:r>
        <w:t xml:space="preserve">.</w:t>
      </w:r>
    </w:p>
    <w:bookmarkEnd w:id="99"/>
    <w:bookmarkStart w:id="101" w:name="ref-frankLinkingObjectivelyMeasured2005"/>
    <w:p>
      <w:pPr>
        <w:pStyle w:val="Bibliography"/>
      </w:pPr>
      <w:r>
        <w:t xml:space="preserve">Frank, Lawrence D., Thomas L. Schmid, James F. Sallis, James Chapman, and Brian E. Saelens. 2005.</w:t>
      </w:r>
      <w:r>
        <w:t xml:space="preserve"> </w:t>
      </w:r>
      <w:r>
        <w:t xml:space="preserve">“Linking Objectively Measured Physical Activity with Objectively Measured Urban Form.”</w:t>
      </w:r>
      <w:r>
        <w:t xml:space="preserve"> </w:t>
      </w:r>
      <w:r>
        <w:rPr>
          <w:iCs/>
          <w:i/>
        </w:rPr>
        <w:t xml:space="preserve">American Journal of Preventive Medicine</w:t>
      </w:r>
      <w:r>
        <w:t xml:space="preserve"> </w:t>
      </w:r>
      <w:r>
        <w:t xml:space="preserve">28 (2): 117–25.</w:t>
      </w:r>
      <w:r>
        <w:t xml:space="preserve"> </w:t>
      </w:r>
      <w:hyperlink r:id="rId100">
        <w:r>
          <w:rPr>
            <w:rStyle w:val="Hyperlink"/>
          </w:rPr>
          <w:t xml:space="preserve">https://doi.org/10.1016/j.amepre.2004.11.001</w:t>
        </w:r>
      </w:hyperlink>
      <w:r>
        <w:t xml:space="preserve">.</w:t>
      </w:r>
    </w:p>
    <w:bookmarkEnd w:id="101"/>
    <w:bookmarkStart w:id="103" w:name="Xb0baf6aba9b979c90d3e8a73147d352a800ee36"/>
    <w:p>
      <w:pPr>
        <w:pStyle w:val="Bibliography"/>
      </w:pPr>
      <w:r>
        <w:t xml:space="preserve">Gaglione, Federica, Carmela Gargiulo, Floriana Zucaro, and Caitlin Cottrill. 2022.</w:t>
      </w:r>
      <w:r>
        <w:t xml:space="preserve"> </w:t>
      </w:r>
      <w:r>
        <w:t xml:space="preserve">“Urban Accessibility in a 15-Minute City: A Measure in the City of Naples, Italy.”</w:t>
      </w:r>
      <w:r>
        <w:t xml:space="preserve"> </w:t>
      </w:r>
      <w:r>
        <w:rPr>
          <w:iCs/>
          <w:i/>
        </w:rPr>
        <w:t xml:space="preserve">Transportation Research Procedia</w:t>
      </w:r>
      <w:r>
        <w:t xml:space="preserve"> </w:t>
      </w:r>
      <w:r>
        <w:t xml:space="preserve">60: 378–85.</w:t>
      </w:r>
      <w:r>
        <w:t xml:space="preserve"> </w:t>
      </w:r>
      <w:hyperlink r:id="rId102">
        <w:r>
          <w:rPr>
            <w:rStyle w:val="Hyperlink"/>
          </w:rPr>
          <w:t xml:space="preserve">https://doi.org/10.1016/j.trpro.2021.12.049</w:t>
        </w:r>
      </w:hyperlink>
      <w:r>
        <w:t xml:space="preserve">.</w:t>
      </w:r>
    </w:p>
    <w:bookmarkEnd w:id="103"/>
    <w:bookmarkStart w:id="105" w:name="ref-gil_sola_choose_2022"/>
    <w:p>
      <w:pPr>
        <w:pStyle w:val="Bibliography"/>
      </w:pPr>
      <w:r>
        <w:t xml:space="preserve">Gil Solá, Ana, and Bertil Vilhelmson. 2022.</w:t>
      </w:r>
      <w:r>
        <w:t xml:space="preserve"> </w:t>
      </w:r>
      <w:r>
        <w:t xml:space="preserve">“To Choose, or Not to Choose, a Nearby Activity Option:</w:t>
      </w:r>
      <w:r>
        <w:t xml:space="preserve"> </w:t>
      </w:r>
      <w:r>
        <w:t xml:space="preserve">Understanding</w:t>
      </w:r>
      <w:r>
        <w:t xml:space="preserve"> </w:t>
      </w:r>
      <w:r>
        <w:t xml:space="preserve">the Gendered Role of Proximity in Urban Settings.”</w:t>
      </w:r>
      <w:r>
        <w:t xml:space="preserve"> </w:t>
      </w:r>
      <w:r>
        <w:rPr>
          <w:iCs/>
          <w:i/>
        </w:rPr>
        <w:t xml:space="preserve">Journal of Transport Geography</w:t>
      </w:r>
      <w:r>
        <w:t xml:space="preserve"> </w:t>
      </w:r>
      <w:r>
        <w:t xml:space="preserve">99 (February): 103301.</w:t>
      </w:r>
      <w:r>
        <w:t xml:space="preserve"> </w:t>
      </w:r>
      <w:hyperlink r:id="rId104">
        <w:r>
          <w:rPr>
            <w:rStyle w:val="Hyperlink"/>
          </w:rPr>
          <w:t xml:space="preserve">https://doi.org/10.1016/j.jtrangeo.2022.103301</w:t>
        </w:r>
      </w:hyperlink>
      <w:r>
        <w:t xml:space="preserve">.</w:t>
      </w:r>
    </w:p>
    <w:bookmarkEnd w:id="105"/>
    <w:bookmarkStart w:id="107" w:name="ref-gordon_womans_1976"/>
    <w:p>
      <w:pPr>
        <w:pStyle w:val="Bibliography"/>
      </w:pPr>
      <w:r>
        <w:t xml:space="preserve">Gordon, Linda. 1976.</w:t>
      </w:r>
      <w:r>
        <w:t xml:space="preserve"> </w:t>
      </w:r>
      <w:r>
        <w:rPr>
          <w:iCs/>
          <w:i/>
        </w:rPr>
        <w:t xml:space="preserve">Woman’s</w:t>
      </w:r>
      <w:r>
        <w:rPr>
          <w:iCs/>
          <w:i/>
        </w:rPr>
        <w:t xml:space="preserve"> </w:t>
      </w:r>
      <w:r>
        <w:rPr>
          <w:iCs/>
          <w:i/>
        </w:rPr>
        <w:t xml:space="preserve">Body</w:t>
      </w:r>
      <w:r>
        <w:rPr>
          <w:iCs/>
          <w:i/>
        </w:rPr>
        <w:t xml:space="preserve">,</w:t>
      </w:r>
      <w:r>
        <w:rPr>
          <w:iCs/>
          <w:i/>
        </w:rPr>
        <w:t xml:space="preserve"> </w:t>
      </w:r>
      <w:r>
        <w:rPr>
          <w:iCs/>
          <w:i/>
        </w:rPr>
        <w:t xml:space="preserve">Woman</w:t>
      </w:r>
      <w:r>
        <w:rPr>
          <w:iCs/>
          <w:i/>
        </w:rPr>
        <w:t xml:space="preserve">’s</w:t>
      </w:r>
      <w:r>
        <w:rPr>
          <w:iCs/>
          <w:i/>
        </w:rPr>
        <w:t xml:space="preserve"> </w:t>
      </w:r>
      <w:r>
        <w:rPr>
          <w:iCs/>
          <w:i/>
        </w:rPr>
        <w:t xml:space="preserve">Right</w:t>
      </w:r>
      <w:r>
        <w:rPr>
          <w:iCs/>
          <w:i/>
        </w:rPr>
        <w:t xml:space="preserve">:</w:t>
      </w:r>
      <w:r>
        <w:rPr>
          <w:iCs/>
          <w:i/>
        </w:rPr>
        <w:t xml:space="preserve"> </w:t>
      </w:r>
      <w:r>
        <w:rPr>
          <w:iCs/>
          <w:i/>
        </w:rPr>
        <w:t xml:space="preserve">A</w:t>
      </w:r>
      <w:r>
        <w:rPr>
          <w:iCs/>
          <w:i/>
        </w:rPr>
        <w:t xml:space="preserve"> </w:t>
      </w:r>
      <w:r>
        <w:rPr>
          <w:iCs/>
          <w:i/>
        </w:rPr>
        <w:t xml:space="preserve">Social</w:t>
      </w:r>
      <w:r>
        <w:rPr>
          <w:iCs/>
          <w:i/>
        </w:rPr>
        <w:t xml:space="preserve"> </w:t>
      </w:r>
      <w:r>
        <w:rPr>
          <w:iCs/>
          <w:i/>
        </w:rPr>
        <w:t xml:space="preserve">History</w:t>
      </w:r>
      <w:r>
        <w:rPr>
          <w:iCs/>
          <w:i/>
        </w:rPr>
        <w:t xml:space="preserve"> </w:t>
      </w:r>
      <w:r>
        <w:rPr>
          <w:iCs/>
          <w:i/>
        </w:rPr>
        <w:t xml:space="preserve">of</w:t>
      </w:r>
      <w:r>
        <w:rPr>
          <w:iCs/>
          <w:i/>
        </w:rPr>
        <w:t xml:space="preserve"> </w:t>
      </w:r>
      <w:r>
        <w:rPr>
          <w:iCs/>
          <w:i/>
        </w:rPr>
        <w:t xml:space="preserve">Birth</w:t>
      </w:r>
      <w:r>
        <w:rPr>
          <w:iCs/>
          <w:i/>
        </w:rPr>
        <w:t xml:space="preserve"> </w:t>
      </w:r>
      <w:r>
        <w:rPr>
          <w:iCs/>
          <w:i/>
        </w:rPr>
        <w:t xml:space="preserve">Control</w:t>
      </w:r>
      <w:r>
        <w:rPr>
          <w:iCs/>
          <w:i/>
        </w:rPr>
        <w:t xml:space="preserve"> </w:t>
      </w:r>
      <w:r>
        <w:rPr>
          <w:iCs/>
          <w:i/>
        </w:rPr>
        <w:t xml:space="preserve">in</w:t>
      </w:r>
      <w:r>
        <w:rPr>
          <w:iCs/>
          <w:i/>
        </w:rPr>
        <w:t xml:space="preserve"> </w:t>
      </w:r>
      <w:r>
        <w:rPr>
          <w:iCs/>
          <w:i/>
        </w:rPr>
        <w:t xml:space="preserve">America</w:t>
      </w:r>
      <w:r>
        <w:t xml:space="preserve">. Grossman.</w:t>
      </w:r>
      <w:r>
        <w:t xml:space="preserve"> </w:t>
      </w:r>
      <w:hyperlink r:id="rId106">
        <w:r>
          <w:rPr>
            <w:rStyle w:val="Hyperlink"/>
          </w:rPr>
          <w:t xml:space="preserve">https://books.google.de/books?id=lGxoAAAAIAAJ</w:t>
        </w:r>
      </w:hyperlink>
      <w:r>
        <w:t xml:space="preserve">.</w:t>
      </w:r>
    </w:p>
    <w:bookmarkEnd w:id="107"/>
    <w:bookmarkStart w:id="109" w:name="ref-government_of_canada_gender_2023"/>
    <w:p>
      <w:pPr>
        <w:pStyle w:val="Bibliography"/>
      </w:pPr>
      <w:r>
        <w:t xml:space="preserve">Government of Canada, Statistics Canada. 2023a.</w:t>
      </w:r>
      <w:r>
        <w:t xml:space="preserve"> </w:t>
      </w:r>
      <w:r>
        <w:t xml:space="preserve">“Gender</w:t>
      </w:r>
      <w:r>
        <w:t xml:space="preserve"> </w:t>
      </w:r>
      <w:r>
        <w:t xml:space="preserve">Equality</w:t>
      </w:r>
      <w:r>
        <w:t xml:space="preserve"> </w:t>
      </w:r>
      <w:r>
        <w:t xml:space="preserve">Week</w:t>
      </w:r>
      <w:r>
        <w:t xml:space="preserve">:</w:t>
      </w:r>
      <w:r>
        <w:t xml:space="preserve"> </w:t>
      </w:r>
      <w:r>
        <w:t xml:space="preserve">Examining</w:t>
      </w:r>
      <w:r>
        <w:t xml:space="preserve"> </w:t>
      </w:r>
      <w:r>
        <w:t xml:space="preserve">the Intersectional Gender Wage Gap in</w:t>
      </w:r>
      <w:r>
        <w:t xml:space="preserve"> </w:t>
      </w:r>
      <w:r>
        <w:t xml:space="preserve">Canada</w:t>
      </w:r>
      <w:r>
        <w:t xml:space="preserve">.”</w:t>
      </w:r>
      <w:r>
        <w:t xml:space="preserve"> </w:t>
      </w:r>
      <w:hyperlink r:id="rId108">
        <w:r>
          <w:rPr>
            <w:rStyle w:val="Hyperlink"/>
          </w:rPr>
          <w:t xml:space="preserve">https://www.statcan.gc.ca/o1/en/plus/4555-gender-equality-week-examining-intersectional-gender-wage-gap-canada</w:t>
        </w:r>
      </w:hyperlink>
      <w:r>
        <w:t xml:space="preserve">.</w:t>
      </w:r>
    </w:p>
    <w:bookmarkEnd w:id="109"/>
    <w:bookmarkStart w:id="111" w:name="ref-government_of_canada_women_2023"/>
    <w:p>
      <w:pPr>
        <w:pStyle w:val="Bibliography"/>
      </w:pPr>
      <w:r>
        <w:t xml:space="preserve">———. 2023b.</w:t>
      </w:r>
      <w:r>
        <w:t xml:space="preserve"> </w:t>
      </w:r>
      <w:r>
        <w:t xml:space="preserve">“Women in the Labour Market:</w:t>
      </w:r>
      <w:r>
        <w:t xml:space="preserve"> </w:t>
      </w:r>
      <w:r>
        <w:t xml:space="preserve">Increased</w:t>
      </w:r>
      <w:r>
        <w:t xml:space="preserve"> </w:t>
      </w:r>
      <w:r>
        <w:t xml:space="preserve">Potential, Pay, and Participation.”</w:t>
      </w:r>
      <w:r>
        <w:t xml:space="preserve"> </w:t>
      </w:r>
      <w:hyperlink r:id="rId110">
        <w:r>
          <w:rPr>
            <w:rStyle w:val="Hyperlink"/>
          </w:rPr>
          <w:t xml:space="preserve">https://www.statcan.gc.ca/o1/en/plus/4823-women-labour-market-increased-potential-pay-and-participation</w:t>
        </w:r>
      </w:hyperlink>
      <w:r>
        <w:t xml:space="preserve">.</w:t>
      </w:r>
    </w:p>
    <w:bookmarkEnd w:id="111"/>
    <w:bookmarkStart w:id="112" w:name="ref-portland_government_portland_2017"/>
    <w:p>
      <w:pPr>
        <w:pStyle w:val="Bibliography"/>
      </w:pPr>
      <w:r>
        <w:t xml:space="preserve">Government, Portland. 2017.</w:t>
      </w:r>
      <w:r>
        <w:t xml:space="preserve"> </w:t>
      </w:r>
      <w:r>
        <w:t xml:space="preserve">“The</w:t>
      </w:r>
      <w:r>
        <w:t xml:space="preserve"> </w:t>
      </w:r>
      <w:r>
        <w:t xml:space="preserve">Portland</w:t>
      </w:r>
      <w:r>
        <w:t xml:space="preserve"> </w:t>
      </w:r>
      <w:r>
        <w:t xml:space="preserve">Plan</w:t>
      </w:r>
      <w:r>
        <w:t xml:space="preserve"> </w:t>
      </w:r>
      <w:r>
        <w:t xml:space="preserve">Progress</w:t>
      </w:r>
      <w:r>
        <w:t xml:space="preserve"> </w:t>
      </w:r>
      <w:r>
        <w:t xml:space="preserve">Report</w:t>
      </w:r>
      <w:r>
        <w:t xml:space="preserve">.”</w:t>
      </w:r>
    </w:p>
    <w:bookmarkEnd w:id="112"/>
    <w:bookmarkStart w:id="114" w:name="ref-graellsCityCitiesMeasuring2021"/>
    <w:p>
      <w:pPr>
        <w:pStyle w:val="Bibliography"/>
      </w:pPr>
      <w:r>
        <w:t xml:space="preserve">Graells-Garrido, E., F. Serra-Burriel, F. Rowe, F. M. Cucchietti, and P. Reyes. 2021.</w:t>
      </w:r>
      <w:r>
        <w:t xml:space="preserve"> </w:t>
      </w:r>
      <w:r>
        <w:t xml:space="preserve">“A City of Cities: Measuring How 15-Minutes Urban Accessibility Shapes Human Mobility in Barcelona.”</w:t>
      </w:r>
      <w:r>
        <w:t xml:space="preserve"> </w:t>
      </w:r>
      <w:r>
        <w:t xml:space="preserve">Journal Article.</w:t>
      </w:r>
      <w:r>
        <w:t xml:space="preserve"> </w:t>
      </w:r>
      <w:r>
        <w:rPr>
          <w:iCs/>
          <w:i/>
        </w:rPr>
        <w:t xml:space="preserve">PLoS One</w:t>
      </w:r>
      <w:r>
        <w:t xml:space="preserve"> </w:t>
      </w:r>
      <w:r>
        <w:t xml:space="preserve">16 (5): e0250080.</w:t>
      </w:r>
      <w:r>
        <w:t xml:space="preserve"> </w:t>
      </w:r>
      <w:hyperlink r:id="rId113">
        <w:r>
          <w:rPr>
            <w:rStyle w:val="Hyperlink"/>
          </w:rPr>
          <w:t xml:space="preserve">https://doi.org/10.1371/journal.pone.0250080</w:t>
        </w:r>
      </w:hyperlink>
      <w:r>
        <w:t xml:space="preserve">.</w:t>
      </w:r>
    </w:p>
    <w:bookmarkEnd w:id="114"/>
    <w:bookmarkStart w:id="116" w:name="X206d22070030e8c3cf079b29a010e15d606c76d"/>
    <w:p>
      <w:pPr>
        <w:pStyle w:val="Bibliography"/>
      </w:pPr>
      <w:r>
        <w:t xml:space="preserve">Grant-Smith, Deanna, Natalie Osborne, and Laurel Johnson. 2016.</w:t>
      </w:r>
      <w:r>
        <w:t xml:space="preserve"> </w:t>
      </w:r>
      <w:r>
        <w:t xml:space="preserve">“Managing the Challenges of Combining Mobilities of Care and Commuting: An Australian Perspective.”</w:t>
      </w:r>
      <w:r>
        <w:t xml:space="preserve"> </w:t>
      </w:r>
      <w:r>
        <w:t xml:space="preserve">Journal Article.</w:t>
      </w:r>
      <w:r>
        <w:t xml:space="preserve"> </w:t>
      </w:r>
      <w:r>
        <w:rPr>
          <w:iCs/>
          <w:i/>
        </w:rPr>
        <w:t xml:space="preserve">Community, Work &amp; Family</w:t>
      </w:r>
      <w:r>
        <w:t xml:space="preserve"> </w:t>
      </w:r>
      <w:r>
        <w:t xml:space="preserve">20 (2): 201–10.</w:t>
      </w:r>
      <w:r>
        <w:t xml:space="preserve"> </w:t>
      </w:r>
      <w:hyperlink r:id="rId115">
        <w:r>
          <w:rPr>
            <w:rStyle w:val="Hyperlink"/>
          </w:rPr>
          <w:t xml:space="preserve">https://doi.org/10.1080/13668803.2016.1202194</w:t>
        </w:r>
      </w:hyperlink>
      <w:r>
        <w:t xml:space="preserve">.</w:t>
      </w:r>
    </w:p>
    <w:bookmarkEnd w:id="116"/>
    <w:bookmarkStart w:id="118" w:name="ref-hall_polycentricity_2009"/>
    <w:p>
      <w:pPr>
        <w:pStyle w:val="Bibliography"/>
      </w:pPr>
      <w:r>
        <w:t xml:space="preserve">Hall, Peter. 2009.</w:t>
      </w:r>
      <w:r>
        <w:t xml:space="preserve"> </w:t>
      </w:r>
      <w:r>
        <w:t xml:space="preserve">“Polycentricity.”</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Human</w:t>
      </w:r>
      <w:r>
        <w:rPr>
          <w:iCs/>
          <w:i/>
        </w:rPr>
        <w:t xml:space="preserve"> </w:t>
      </w:r>
      <w:r>
        <w:rPr>
          <w:iCs/>
          <w:i/>
        </w:rPr>
        <w:t xml:space="preserve">Geography</w:t>
      </w:r>
      <w:r>
        <w:t xml:space="preserve">, 213–17. Elsevier.</w:t>
      </w:r>
      <w:r>
        <w:t xml:space="preserve"> </w:t>
      </w:r>
      <w:hyperlink r:id="rId117">
        <w:r>
          <w:rPr>
            <w:rStyle w:val="Hyperlink"/>
          </w:rPr>
          <w:t xml:space="preserve">https://doi.org/10.1016/B978-0-08-102295-5.10415-9</w:t>
        </w:r>
      </w:hyperlink>
      <w:r>
        <w:t xml:space="preserve">.</w:t>
      </w:r>
    </w:p>
    <w:bookmarkEnd w:id="118"/>
    <w:bookmarkStart w:id="120" w:name="X6e70d33ff9e1c8eb01d67fabb80f7d84e60d543"/>
    <w:p>
      <w:pPr>
        <w:pStyle w:val="Bibliography"/>
      </w:pPr>
      <w:r>
        <w:t xml:space="preserve">Hamilton. 2022a.</w:t>
      </w:r>
      <w:r>
        <w:t xml:space="preserve"> </w:t>
      </w:r>
      <w:r>
        <w:t xml:space="preserve">“Educational Institutions.”</w:t>
      </w:r>
      <w:r>
        <w:t xml:space="preserve"> </w:t>
      </w:r>
      <w:r>
        <w:t xml:space="preserve">Aggregated Database. Open Data Hamilton.</w:t>
      </w:r>
      <w:r>
        <w:t xml:space="preserve"> </w:t>
      </w:r>
      <w:hyperlink r:id="rId119">
        <w:r>
          <w:rPr>
            <w:rStyle w:val="Hyperlink"/>
          </w:rPr>
          <w:t xml:space="preserve">https://open.hamilton.ca/datasets/cccae6f029334927856da6e20a50561f_19/explore</w:t>
        </w:r>
      </w:hyperlink>
      <w:r>
        <w:t xml:space="preserve">.</w:t>
      </w:r>
    </w:p>
    <w:bookmarkEnd w:id="120"/>
    <w:bookmarkStart w:id="122" w:name="ref-opendatahamiltonLibraries2022"/>
    <w:p>
      <w:pPr>
        <w:pStyle w:val="Bibliography"/>
      </w:pPr>
      <w:r>
        <w:t xml:space="preserve">———. 2022b.</w:t>
      </w:r>
      <w:r>
        <w:t xml:space="preserve"> </w:t>
      </w:r>
      <w:r>
        <w:t xml:space="preserve">“Libraries.”</w:t>
      </w:r>
      <w:r>
        <w:t xml:space="preserve"> </w:t>
      </w:r>
      <w:r>
        <w:t xml:space="preserve">Aggregated Database.</w:t>
      </w:r>
      <w:r>
        <w:t xml:space="preserve"> </w:t>
      </w:r>
      <w:hyperlink r:id="rId121">
        <w:r>
          <w:rPr>
            <w:rStyle w:val="Hyperlink"/>
          </w:rPr>
          <w:t xml:space="preserve">https://open.hamilton.ca/datasets/67a54ea25d944cf7b66750ba57da822c_1/explore?location=43.259483%2C-79.917850%2C11.81</w:t>
        </w:r>
      </w:hyperlink>
      <w:r>
        <w:t xml:space="preserve">.</w:t>
      </w:r>
    </w:p>
    <w:bookmarkEnd w:id="122"/>
    <w:bookmarkStart w:id="124" w:name="ref-opendatahamiltonParksDatabase2022"/>
    <w:p>
      <w:pPr>
        <w:pStyle w:val="Bibliography"/>
      </w:pPr>
      <w:r>
        <w:t xml:space="preserve">———. 2022c.</w:t>
      </w:r>
      <w:r>
        <w:t xml:space="preserve"> </w:t>
      </w:r>
      <w:r>
        <w:t xml:space="preserve">“Parks Database.”</w:t>
      </w:r>
      <w:r>
        <w:t xml:space="preserve"> </w:t>
      </w:r>
      <w:r>
        <w:t xml:space="preserve">Aggregated Database.</w:t>
      </w:r>
      <w:r>
        <w:t xml:space="preserve"> </w:t>
      </w:r>
      <w:hyperlink r:id="rId123">
        <w:r>
          <w:rPr>
            <w:rStyle w:val="Hyperlink"/>
          </w:rPr>
          <w:t xml:space="preserve">https://open.hamilton.ca/datasets/4f1b554e743b423f9574e7a3ca814cce_6/explore?location=43.273379%2C-79.919100%2C11.87&amp;showTable=true</w:t>
        </w:r>
      </w:hyperlink>
      <w:r>
        <w:t xml:space="preserve">.</w:t>
      </w:r>
    </w:p>
    <w:bookmarkEnd w:id="124"/>
    <w:bookmarkStart w:id="126" w:name="X4f6a381503945c2df2e437d993d10c039c16ae4"/>
    <w:p>
      <w:pPr>
        <w:pStyle w:val="Bibliography"/>
      </w:pPr>
      <w:r>
        <w:t xml:space="preserve">———. 2022d.</w:t>
      </w:r>
      <w:r>
        <w:t xml:space="preserve"> </w:t>
      </w:r>
      <w:r>
        <w:t xml:space="preserve">“Recreation and Community Centres.”</w:t>
      </w:r>
      <w:r>
        <w:t xml:space="preserve"> </w:t>
      </w:r>
      <w:r>
        <w:t xml:space="preserve">Aggregated Database.</w:t>
      </w:r>
      <w:r>
        <w:t xml:space="preserve"> </w:t>
      </w:r>
      <w:hyperlink r:id="rId125">
        <w:r>
          <w:rPr>
            <w:rStyle w:val="Hyperlink"/>
          </w:rPr>
          <w:t xml:space="preserve">https://open.hamilton.ca/datasets/272667665de646768db14e9fa1676405_11/explore?location=43.278136%2C-79.921850%2C11.65</w:t>
        </w:r>
      </w:hyperlink>
      <w:r>
        <w:t xml:space="preserve">.</w:t>
      </w:r>
    </w:p>
    <w:bookmarkEnd w:id="126"/>
    <w:bookmarkStart w:id="128" w:name="ref-cityofhamiltonChildCareRegistry2023"/>
    <w:p>
      <w:pPr>
        <w:pStyle w:val="Bibliography"/>
      </w:pPr>
      <w:r>
        <w:t xml:space="preserve">———. 2023a.</w:t>
      </w:r>
      <w:r>
        <w:t xml:space="preserve"> </w:t>
      </w:r>
      <w:r>
        <w:t xml:space="preserve">“Child Care Registry.”</w:t>
      </w:r>
      <w:r>
        <w:t xml:space="preserve"> </w:t>
      </w:r>
      <w:r>
        <w:t xml:space="preserve">Aggregated Database.</w:t>
      </w:r>
      <w:r>
        <w:t xml:space="preserve"> </w:t>
      </w:r>
      <w:hyperlink r:id="rId127">
        <w:r>
          <w:rPr>
            <w:rStyle w:val="Hyperlink"/>
          </w:rPr>
          <w:t xml:space="preserve">https://www.hamilton.ca/people-programs/early-years-child-care/child-care-services/child-care-registry</w:t>
        </w:r>
      </w:hyperlink>
      <w:r>
        <w:t xml:space="preserve">.</w:t>
      </w:r>
    </w:p>
    <w:bookmarkEnd w:id="128"/>
    <w:bookmarkStart w:id="130" w:name="ref-opendatahamiltonCityBoundary2023"/>
    <w:p>
      <w:pPr>
        <w:pStyle w:val="Bibliography"/>
      </w:pPr>
      <w:r>
        <w:t xml:space="preserve">———. 2023b.</w:t>
      </w:r>
      <w:r>
        <w:t xml:space="preserve"> </w:t>
      </w:r>
      <w:r>
        <w:t xml:space="preserve">“City Boundary.”</w:t>
      </w:r>
      <w:r>
        <w:t xml:space="preserve"> </w:t>
      </w:r>
      <w:hyperlink r:id="rId129">
        <w:r>
          <w:rPr>
            <w:rStyle w:val="Hyperlink"/>
          </w:rPr>
          <w:t xml:space="preserve">https://open.hamilton.ca/datasets/dd522e1245b1461887d998c6c17edff7_13/explore?location=43.099541%2C-79.560176%2C9.73</w:t>
        </w:r>
      </w:hyperlink>
      <w:r>
        <w:t xml:space="preserve">.</w:t>
      </w:r>
    </w:p>
    <w:bookmarkEnd w:id="130"/>
    <w:bookmarkStart w:id="132" w:name="ref-cityofhamiltonOpenData2023"/>
    <w:p>
      <w:pPr>
        <w:pStyle w:val="Bibliography"/>
      </w:pPr>
      <w:r>
        <w:t xml:space="preserve">———. 2023c.</w:t>
      </w:r>
      <w:r>
        <w:t xml:space="preserve"> </w:t>
      </w:r>
      <w:r>
        <w:t xml:space="preserve">“Hamilton Open Data Portal.”</w:t>
      </w:r>
      <w:r>
        <w:t xml:space="preserve"> </w:t>
      </w:r>
      <w:r>
        <w:t xml:space="preserve">Web Page.</w:t>
      </w:r>
      <w:r>
        <w:t xml:space="preserve"> </w:t>
      </w:r>
      <w:hyperlink r:id="rId131">
        <w:r>
          <w:rPr>
            <w:rStyle w:val="Hyperlink"/>
          </w:rPr>
          <w:t xml:space="preserve">https://open.hamilton.ca/</w:t>
        </w:r>
      </w:hyperlink>
      <w:r>
        <w:t xml:space="preserve">.</w:t>
      </w:r>
    </w:p>
    <w:bookmarkEnd w:id="132"/>
    <w:bookmarkStart w:id="134" w:name="X05a8eb297d0ea6b59473aecf07a7bd5ccb8cad9"/>
    <w:p>
      <w:pPr>
        <w:pStyle w:val="Bibliography"/>
      </w:pPr>
      <w:r>
        <w:t xml:space="preserve">Handy, S L, and D A Niemeier. 1997.</w:t>
      </w:r>
      <w:r>
        <w:t xml:space="preserve"> </w:t>
      </w:r>
      <w:r>
        <w:t xml:space="preserve">“Measuring Accessibility: An Exploration of Issues and Alternatives.”</w:t>
      </w:r>
      <w:r>
        <w:t xml:space="preserve"> </w:t>
      </w:r>
      <w:r>
        <w:rPr>
          <w:iCs/>
          <w:i/>
        </w:rPr>
        <w:t xml:space="preserve">Environment and Planning A: Economy and Space</w:t>
      </w:r>
      <w:r>
        <w:t xml:space="preserve"> </w:t>
      </w:r>
      <w:r>
        <w:t xml:space="preserve">29 (7): 1175–94.</w:t>
      </w:r>
      <w:r>
        <w:t xml:space="preserve"> </w:t>
      </w:r>
      <w:hyperlink r:id="rId133">
        <w:r>
          <w:rPr>
            <w:rStyle w:val="Hyperlink"/>
          </w:rPr>
          <w:t xml:space="preserve">https://doi.org/10.1068/a291175</w:t>
        </w:r>
      </w:hyperlink>
      <w:r>
        <w:t xml:space="preserve">.</w:t>
      </w:r>
    </w:p>
    <w:bookmarkEnd w:id="134"/>
    <w:bookmarkStart w:id="136" w:name="ref-handyAccessibilityIdeaWhose2020"/>
    <w:p>
      <w:pPr>
        <w:pStyle w:val="Bibliography"/>
      </w:pPr>
      <w:r>
        <w:t xml:space="preserve">Handy, Susan. 2020.</w:t>
      </w:r>
      <w:r>
        <w:t xml:space="preserve"> </w:t>
      </w:r>
      <w:r>
        <w:t xml:space="preserve">“Is Accessibility an Idea Whose Time Has Finally Come?”</w:t>
      </w:r>
      <w:r>
        <w:t xml:space="preserve"> </w:t>
      </w:r>
      <w:r>
        <w:rPr>
          <w:iCs/>
          <w:i/>
        </w:rPr>
        <w:t xml:space="preserve">Transportation Research Part D: Transport and Environment</w:t>
      </w:r>
      <w:r>
        <w:t xml:space="preserve"> </w:t>
      </w:r>
      <w:r>
        <w:t xml:space="preserve">83: 102319. https://doi.org/</w:t>
      </w:r>
      <w:hyperlink r:id="rId135">
        <w:r>
          <w:rPr>
            <w:rStyle w:val="Hyperlink"/>
          </w:rPr>
          <w:t xml:space="preserve">https://doi.org/10.1016/j.trd.2020.102319</w:t>
        </w:r>
      </w:hyperlink>
      <w:r>
        <w:t xml:space="preserve">.</w:t>
      </w:r>
    </w:p>
    <w:bookmarkEnd w:id="136"/>
    <w:bookmarkStart w:id="138" w:name="ref-hansonGenderMobilityNew2010"/>
    <w:p>
      <w:pPr>
        <w:pStyle w:val="Bibliography"/>
      </w:pPr>
      <w:r>
        <w:t xml:space="preserve">Hanson, Susan. 2010.</w:t>
      </w:r>
      <w:r>
        <w:t xml:space="preserve"> </w:t>
      </w:r>
      <w:r>
        <w:t xml:space="preserve">“Gender and Mobility: New Approaches for Informing Sustainability.”</w:t>
      </w:r>
      <w:r>
        <w:t xml:space="preserve"> </w:t>
      </w:r>
      <w:r>
        <w:t xml:space="preserve">Journal Article.</w:t>
      </w:r>
      <w:r>
        <w:t xml:space="preserve"> </w:t>
      </w:r>
      <w:r>
        <w:rPr>
          <w:iCs/>
          <w:i/>
        </w:rPr>
        <w:t xml:space="preserve">Gender, Place &amp; Culture</w:t>
      </w:r>
      <w:r>
        <w:t xml:space="preserve"> </w:t>
      </w:r>
      <w:r>
        <w:t xml:space="preserve">17 (1): 5–23.</w:t>
      </w:r>
      <w:r>
        <w:t xml:space="preserve"> </w:t>
      </w:r>
      <w:hyperlink r:id="rId137">
        <w:r>
          <w:rPr>
            <w:rStyle w:val="Hyperlink"/>
          </w:rPr>
          <w:t xml:space="preserve">https://doi.org/10.1080/09663690903498225</w:t>
        </w:r>
      </w:hyperlink>
      <w:r>
        <w:t xml:space="preserve">.</w:t>
      </w:r>
    </w:p>
    <w:bookmarkEnd w:id="138"/>
    <w:bookmarkStart w:id="140" w:name="ref-RN28"/>
    <w:p>
      <w:pPr>
        <w:pStyle w:val="Bibliography"/>
      </w:pPr>
      <w:r>
        <w:t xml:space="preserve">Hanson, Susan, and Geraldine Pratt. 1988.</w:t>
      </w:r>
      <w:r>
        <w:t xml:space="preserve"> </w:t>
      </w:r>
      <w:r>
        <w:t xml:space="preserve">“SPATIAL DIMENSIONS OF THE GENDER DIVISION OF LABOR IN a LOCAL LABOR MARKET.”</w:t>
      </w:r>
      <w:r>
        <w:t xml:space="preserve"> </w:t>
      </w:r>
      <w:r>
        <w:t xml:space="preserve">Journal Article.</w:t>
      </w:r>
      <w:r>
        <w:t xml:space="preserve"> </w:t>
      </w:r>
      <w:r>
        <w:rPr>
          <w:iCs/>
          <w:i/>
        </w:rPr>
        <w:t xml:space="preserve">Urban Geography</w:t>
      </w:r>
      <w:r>
        <w:t xml:space="preserve"> </w:t>
      </w:r>
      <w:r>
        <w:t xml:space="preserve">9 (2): 180–202.</w:t>
      </w:r>
      <w:r>
        <w:t xml:space="preserve"> </w:t>
      </w:r>
      <w:hyperlink r:id="rId139">
        <w:r>
          <w:rPr>
            <w:rStyle w:val="Hyperlink"/>
          </w:rPr>
          <w:t xml:space="preserve">https://doi.org/10.2747/0272-3638.9.2.180</w:t>
        </w:r>
      </w:hyperlink>
      <w:r>
        <w:t xml:space="preserve">.</w:t>
      </w:r>
    </w:p>
    <w:bookmarkEnd w:id="140"/>
    <w:bookmarkStart w:id="142" w:name="ref-hayden_grand_2000"/>
    <w:p>
      <w:pPr>
        <w:pStyle w:val="Bibliography"/>
      </w:pPr>
      <w:r>
        <w:t xml:space="preserve">Hayden, Dolores. 1982.</w:t>
      </w:r>
      <w:r>
        <w:t xml:space="preserve"> </w:t>
      </w:r>
      <w:r>
        <w:rPr>
          <w:iCs/>
          <w:i/>
        </w:rPr>
        <w:t xml:space="preserve">The Grand Domestic Revolution: History of Feminist Designs for</w:t>
      </w:r>
      <w:r>
        <w:rPr>
          <w:iCs/>
          <w:i/>
        </w:rPr>
        <w:t xml:space="preserve"> </w:t>
      </w:r>
      <w:r>
        <w:rPr>
          <w:iCs/>
          <w:i/>
        </w:rPr>
        <w:t xml:space="preserve">American</w:t>
      </w:r>
      <w:r>
        <w:rPr>
          <w:iCs/>
          <w:i/>
        </w:rPr>
        <w:t xml:space="preserve"> </w:t>
      </w:r>
      <w:r>
        <w:rPr>
          <w:iCs/>
          <w:i/>
        </w:rPr>
        <w:t xml:space="preserve">Homes, Neighborhoods, and Cities</w:t>
      </w:r>
      <w:r>
        <w:t xml:space="preserve">. 8. print. Cambridge, Mass.: MIT Pr.</w:t>
      </w:r>
      <w:r>
        <w:t xml:space="preserve"> </w:t>
      </w:r>
      <w:hyperlink r:id="rId141">
        <w:r>
          <w:rPr>
            <w:rStyle w:val="Hyperlink"/>
          </w:rPr>
          <w:t xml:space="preserve">http://mitpress.mit.edu/9780262580557/</w:t>
        </w:r>
      </w:hyperlink>
      <w:r>
        <w:t xml:space="preserve">.</w:t>
      </w:r>
    </w:p>
    <w:bookmarkEnd w:id="142"/>
    <w:bookmarkStart w:id="144" w:name="Xefb846e24122731d77a57985feed7b516a81b0d"/>
    <w:p>
      <w:pPr>
        <w:pStyle w:val="Bibliography"/>
      </w:pPr>
      <w:r>
        <w:t xml:space="preserve">HNHB Healthline. 2023.</w:t>
      </w:r>
      <w:r>
        <w:t xml:space="preserve"> </w:t>
      </w:r>
      <w:r>
        <w:t xml:space="preserve">“Amilton Niagara Haldimand Brant - Walk-in Medical Clinics.”</w:t>
      </w:r>
      <w:r>
        <w:t xml:space="preserve"> </w:t>
      </w:r>
      <w:r>
        <w:t xml:space="preserve">Web Page.</w:t>
      </w:r>
      <w:r>
        <w:t xml:space="preserve"> </w:t>
      </w:r>
      <w:hyperlink r:id="rId143">
        <w:r>
          <w:rPr>
            <w:rStyle w:val="Hyperlink"/>
          </w:rPr>
          <w:t xml:space="preserve">https://www.hnhbhealthline.ca/listServices.aspx?id=10072&amp;region=Hamilton</w:t>
        </w:r>
      </w:hyperlink>
      <w:r>
        <w:t xml:space="preserve">.</w:t>
      </w:r>
    </w:p>
    <w:bookmarkEnd w:id="144"/>
    <w:bookmarkStart w:id="146" w:name="ref-hochschild_second_2012"/>
    <w:p>
      <w:pPr>
        <w:pStyle w:val="Bibliography"/>
      </w:pPr>
      <w:r>
        <w:t xml:space="preserve">Hochschild, Arlie, and Anne Machung. 2012.</w:t>
      </w:r>
      <w:r>
        <w:t xml:space="preserve"> </w:t>
      </w:r>
      <w:r>
        <w:rPr>
          <w:iCs/>
          <w:i/>
        </w:rPr>
        <w:t xml:space="preserve">The Second Shift:</w:t>
      </w:r>
      <w:r>
        <w:rPr>
          <w:iCs/>
          <w:i/>
        </w:rPr>
        <w:t xml:space="preserve"> </w:t>
      </w:r>
      <w:r>
        <w:rPr>
          <w:iCs/>
          <w:i/>
        </w:rPr>
        <w:t xml:space="preserve">Working</w:t>
      </w:r>
      <w:r>
        <w:rPr>
          <w:iCs/>
          <w:i/>
        </w:rPr>
        <w:t xml:space="preserve"> </w:t>
      </w:r>
      <w:r>
        <w:rPr>
          <w:iCs/>
          <w:i/>
        </w:rPr>
        <w:t xml:space="preserve">Families and the Revolution at Home</w:t>
      </w:r>
      <w:r>
        <w:t xml:space="preserve">. Penguin.</w:t>
      </w:r>
      <w:r>
        <w:t xml:space="preserve"> </w:t>
      </w:r>
      <w:hyperlink r:id="rId145">
        <w:r>
          <w:rPr>
            <w:rStyle w:val="Hyperlink"/>
          </w:rPr>
          <w:t xml:space="preserve">https://books.google.de/books?hl=de&amp;lr=&amp;id=St_6kWcPJS8C&amp;oi=fnd&amp;pg=PT25&amp;ots=8IZZkZu4cf&amp;sig=W1cAH6vLmc8SUYRgLvUUz3zfHWs&amp;redir_esc=y#v=onepage&amp;q&amp;f=false</w:t>
        </w:r>
      </w:hyperlink>
      <w:r>
        <w:t xml:space="preserve">.</w:t>
      </w:r>
    </w:p>
    <w:bookmarkEnd w:id="146"/>
    <w:bookmarkStart w:id="148" w:name="Xb71c05f0e0f040c2907228b5d58ec7b979313e3"/>
    <w:p>
      <w:pPr>
        <w:pStyle w:val="Bibliography"/>
      </w:pPr>
      <w:r>
        <w:t xml:space="preserve">HSBC. 2023.</w:t>
      </w:r>
      <w:r>
        <w:t xml:space="preserve"> </w:t>
      </w:r>
      <w:r>
        <w:t xml:space="preserve">“The Hongkong and Shanghai Banking Corporation Limited (HSBC) Branch and ABM Locator.”</w:t>
      </w:r>
      <w:r>
        <w:t xml:space="preserve"> </w:t>
      </w:r>
      <w:r>
        <w:t xml:space="preserve">Web Page.</w:t>
      </w:r>
      <w:r>
        <w:t xml:space="preserve"> </w:t>
      </w:r>
      <w:hyperlink r:id="rId147">
        <w:r>
          <w:rPr>
            <w:rStyle w:val="Hyperlink"/>
          </w:rPr>
          <w:t xml:space="preserve">https://www.hsbc.ca/branch-locator/</w:t>
        </w:r>
      </w:hyperlink>
      <w:r>
        <w:t xml:space="preserve">.</w:t>
      </w:r>
    </w:p>
    <w:bookmarkEnd w:id="148"/>
    <w:bookmarkStart w:id="150" w:name="ref-ilo_care_2018"/>
    <w:p>
      <w:pPr>
        <w:pStyle w:val="Bibliography"/>
      </w:pPr>
      <w:r>
        <w:t xml:space="preserve">ILO. 2018.</w:t>
      </w:r>
      <w:r>
        <w:t xml:space="preserve"> </w:t>
      </w:r>
      <w:r>
        <w:t xml:space="preserve">“Care Work and Care Jobs for the Future of Decent Work.”</w:t>
      </w:r>
      <w:r>
        <w:t xml:space="preserve"> </w:t>
      </w:r>
      <w:r>
        <w:t xml:space="preserve">Geneva: International Labour Organization.</w:t>
      </w:r>
      <w:r>
        <w:t xml:space="preserve"> </w:t>
      </w:r>
      <w:hyperlink r:id="rId149">
        <w:r>
          <w:rPr>
            <w:rStyle w:val="Hyperlink"/>
          </w:rPr>
          <w:t xml:space="preserve">https://webapps.ilo.org/wcmsp5/groups/public/---dgreports/---dcomm/---publ/documents/publication/wcms_633135.pdf</w:t>
        </w:r>
      </w:hyperlink>
      <w:r>
        <w:t xml:space="preserve">.</w:t>
      </w:r>
    </w:p>
    <w:bookmarkEnd w:id="150"/>
    <w:bookmarkStart w:id="152" w:name="ref-lawWomenTransportNew1999"/>
    <w:p>
      <w:pPr>
        <w:pStyle w:val="Bibliography"/>
      </w:pPr>
      <w:r>
        <w:t xml:space="preserve">Law, Robin. 1999.</w:t>
      </w:r>
      <w:r>
        <w:t xml:space="preserve"> </w:t>
      </w:r>
      <w:r>
        <w:t xml:space="preserve">“Beyond</w:t>
      </w:r>
      <w:r>
        <w:t xml:space="preserve"> </w:t>
      </w:r>
      <w:r>
        <w:t xml:space="preserve">‘Women and Transport’</w:t>
      </w:r>
      <w:r>
        <w:t xml:space="preserve">: Towards New Geographies of Gender and Daily Mobility.”</w:t>
      </w:r>
      <w:r>
        <w:t xml:space="preserve"> </w:t>
      </w:r>
      <w:r>
        <w:rPr>
          <w:iCs/>
          <w:i/>
        </w:rPr>
        <w:t xml:space="preserve">Progress in Human Geography</w:t>
      </w:r>
      <w:r>
        <w:t xml:space="preserve"> </w:t>
      </w:r>
      <w:r>
        <w:t xml:space="preserve">23 (4): 567–88.</w:t>
      </w:r>
      <w:r>
        <w:t xml:space="preserve"> </w:t>
      </w:r>
      <w:hyperlink r:id="rId151">
        <w:r>
          <w:rPr>
            <w:rStyle w:val="Hyperlink"/>
          </w:rPr>
          <w:t xml:space="preserve">https://doi.org/10.1191/030913299666161864</w:t>
        </w:r>
      </w:hyperlink>
      <w:r>
        <w:t xml:space="preserve">.</w:t>
      </w:r>
    </w:p>
    <w:bookmarkEnd w:id="152"/>
    <w:bookmarkStart w:id="153" w:name="ref-levy1991towards"/>
    <w:p>
      <w:pPr>
        <w:pStyle w:val="Bibliography"/>
      </w:pPr>
      <w:r>
        <w:t xml:space="preserve">Levy, Caren. 1991.</w:t>
      </w:r>
      <w:r>
        <w:t xml:space="preserve"> </w:t>
      </w:r>
      <w:r>
        <w:t xml:space="preserve">“Towards Gender-Aware Urban Transport Planning.”</w:t>
      </w:r>
    </w:p>
    <w:bookmarkEnd w:id="153"/>
    <w:bookmarkStart w:id="154" w:name="ref-Oestergaard1992"/>
    <w:p>
      <w:pPr>
        <w:pStyle w:val="Bibliography"/>
      </w:pPr>
      <w:r>
        <w:t xml:space="preserve">———. 1992.</w:t>
      </w:r>
      <w:r>
        <w:t xml:space="preserve"> </w:t>
      </w:r>
      <w:r>
        <w:t xml:space="preserve">“Transport.”</w:t>
      </w:r>
      <w:r>
        <w:t xml:space="preserve"> </w:t>
      </w:r>
      <w:r>
        <w:t xml:space="preserve">In</w:t>
      </w:r>
      <w:r>
        <w:t xml:space="preserve"> </w:t>
      </w:r>
      <w:r>
        <w:rPr>
          <w:iCs/>
          <w:i/>
        </w:rPr>
        <w:t xml:space="preserve">Gender and Development : A Practical Guide</w:t>
      </w:r>
      <w:r>
        <w:t xml:space="preserve">, edited by Lise Oestergaard. London: Routledge.</w:t>
      </w:r>
    </w:p>
    <w:bookmarkEnd w:id="154"/>
    <w:bookmarkStart w:id="155" w:name="ref-levy2013travel"/>
    <w:p>
      <w:pPr>
        <w:pStyle w:val="Bibliography"/>
      </w:pPr>
      <w:r>
        <w:t xml:space="preserve">———. 2013.</w:t>
      </w:r>
      <w:r>
        <w:t xml:space="preserve"> </w:t>
      </w:r>
      <w:r>
        <w:t xml:space="preserve">“Travel Choice Reframed:</w:t>
      </w:r>
      <w:r>
        <w:t xml:space="preserve">‘deep Distribution’</w:t>
      </w:r>
      <w:r>
        <w:t xml:space="preserve"> </w:t>
      </w:r>
      <w:r>
        <w:t xml:space="preserve">and Gender in Urban Transport.”</w:t>
      </w:r>
      <w:r>
        <w:t xml:space="preserve"> </w:t>
      </w:r>
      <w:r>
        <w:rPr>
          <w:iCs/>
          <w:i/>
        </w:rPr>
        <w:t xml:space="preserve">Environment and Urbanization</w:t>
      </w:r>
      <w:r>
        <w:t xml:space="preserve"> </w:t>
      </w:r>
      <w:r>
        <w:t xml:space="preserve">25 (1): 47–63.</w:t>
      </w:r>
    </w:p>
    <w:bookmarkEnd w:id="155"/>
    <w:bookmarkStart w:id="157" w:name="ref-little_gender_1994"/>
    <w:p>
      <w:pPr>
        <w:pStyle w:val="Bibliography"/>
      </w:pPr>
      <w:r>
        <w:t xml:space="preserve">Little, Joe. 1994.</w:t>
      </w:r>
      <w:r>
        <w:t xml:space="preserve"> </w:t>
      </w:r>
      <w:r>
        <w:rPr>
          <w:iCs/>
          <w:i/>
        </w:rPr>
        <w:t xml:space="preserve">Gender,</w:t>
      </w:r>
      <w:r>
        <w:rPr>
          <w:iCs/>
          <w:i/>
        </w:rPr>
        <w:t xml:space="preserve"> </w:t>
      </w:r>
      <w:r>
        <w:rPr>
          <w:iCs/>
          <w:i/>
        </w:rPr>
        <w:t xml:space="preserve">Planning</w:t>
      </w:r>
      <w:r>
        <w:rPr>
          <w:iCs/>
          <w:i/>
        </w:rPr>
        <w:t xml:space="preserve">, and the</w:t>
      </w:r>
      <w:r>
        <w:rPr>
          <w:iCs/>
          <w:i/>
        </w:rPr>
        <w:t xml:space="preserve"> </w:t>
      </w:r>
      <w:r>
        <w:rPr>
          <w:iCs/>
          <w:i/>
        </w:rPr>
        <w:t xml:space="preserve">Policy</w:t>
      </w:r>
      <w:r>
        <w:rPr>
          <w:iCs/>
          <w:i/>
        </w:rPr>
        <w:t xml:space="preserve"> </w:t>
      </w:r>
      <w:r>
        <w:rPr>
          <w:iCs/>
          <w:i/>
        </w:rPr>
        <w:t xml:space="preserve">Process</w:t>
      </w:r>
      <w:r>
        <w:t xml:space="preserve">. Pergamon Press.</w:t>
      </w:r>
      <w:r>
        <w:t xml:space="preserve"> </w:t>
      </w:r>
      <w:hyperlink r:id="rId156">
        <w:r>
          <w:rPr>
            <w:rStyle w:val="Hyperlink"/>
          </w:rPr>
          <w:t xml:space="preserve">https://books.google.de/books/about/Gender_Planning_and_the_Policy_Process.html?id=h1y0AAAAIAAJ&amp;redir_esc=y</w:t>
        </w:r>
      </w:hyperlink>
      <w:r>
        <w:t xml:space="preserve">.</w:t>
      </w:r>
    </w:p>
    <w:bookmarkEnd w:id="157"/>
    <w:bookmarkStart w:id="158" w:name="ref-logan_xminute_2022"/>
    <w:p>
      <w:pPr>
        <w:pStyle w:val="Bibliography"/>
      </w:pPr>
      <w:r>
        <w:t xml:space="preserve">Logan, T. M., M. H. Hobbs, L. C. Conrow, N. L. Reid, R. A. Young, and M. J. Anderson. 2022.</w:t>
      </w:r>
      <w:r>
        <w:t xml:space="preserve"> </w:t>
      </w:r>
      <w:r>
        <w:t xml:space="preserve">“The x-Minute City:</w:t>
      </w:r>
      <w:r>
        <w:t xml:space="preserve"> </w:t>
      </w:r>
      <w:r>
        <w:t xml:space="preserve">Measuring</w:t>
      </w:r>
      <w:r>
        <w:t xml:space="preserve"> </w:t>
      </w:r>
      <w:r>
        <w:t xml:space="preserve">the 10, 15, 20-Minute City and an Evaluation of Its Use for Sustainable Urban Design.”</w:t>
      </w:r>
      <w:r>
        <w:t xml:space="preserve"> </w:t>
      </w:r>
      <w:r>
        <w:rPr>
          <w:iCs/>
          <w:i/>
        </w:rPr>
        <w:t xml:space="preserve">Cities</w:t>
      </w:r>
      <w:r>
        <w:t xml:space="preserve"> </w:t>
      </w:r>
      <w:r>
        <w:t xml:space="preserve">131: 103924.</w:t>
      </w:r>
    </w:p>
    <w:bookmarkEnd w:id="158"/>
    <w:bookmarkStart w:id="160" w:name="ref-luUrbanDensityDiversity2017"/>
    <w:p>
      <w:pPr>
        <w:pStyle w:val="Bibliography"/>
      </w:pPr>
      <w:r>
        <w:t xml:space="preserve">Lu, Yi, Yang Xiao, and Yu Ye. 2017.</w:t>
      </w:r>
      <w:r>
        <w:t xml:space="preserve"> </w:t>
      </w:r>
      <w:r>
        <w:t xml:space="preserve">“Urban Density, Diversity and Design: Is More Always Better for Walking? A Study from Hong Kong.”</w:t>
      </w:r>
      <w:r>
        <w:t xml:space="preserve"> </w:t>
      </w:r>
      <w:r>
        <w:rPr>
          <w:iCs/>
          <w:i/>
        </w:rPr>
        <w:t xml:space="preserve">Preventive Medicine</w:t>
      </w:r>
      <w:r>
        <w:t xml:space="preserve"> </w:t>
      </w:r>
      <w:r>
        <w:t xml:space="preserve">103 (October): S99–103.</w:t>
      </w:r>
      <w:r>
        <w:t xml:space="preserve"> </w:t>
      </w:r>
      <w:hyperlink r:id="rId159">
        <w:r>
          <w:rPr>
            <w:rStyle w:val="Hyperlink"/>
          </w:rPr>
          <w:t xml:space="preserve">https://doi.org/10.1016/j.ypmed.2016.08.042</w:t>
        </w:r>
      </w:hyperlink>
      <w:r>
        <w:t xml:space="preserve">.</w:t>
      </w:r>
    </w:p>
    <w:bookmarkEnd w:id="160"/>
    <w:bookmarkStart w:id="162" w:name="ref-maciejewskaHaveChildrenThus2019"/>
    <w:p>
      <w:pPr>
        <w:pStyle w:val="Bibliography"/>
      </w:pPr>
      <w:r>
        <w:t xml:space="preserve">Maciejewska, Monika, and Carme Miralles-Guasch. 2019.</w:t>
      </w:r>
      <w:r>
        <w:t xml:space="preserve"> </w:t>
      </w:r>
      <w:r>
        <w:t xml:space="preserve">“</w:t>
      </w:r>
      <w:r>
        <w:t xml:space="preserve">‘I Have Children and Thus i Drive’</w:t>
      </w:r>
      <w:r>
        <w:t xml:space="preserve">: Perceptions and Motivations of Modal Choice Among Suburban Commuting Mothers.”</w:t>
      </w:r>
      <w:r>
        <w:t xml:space="preserve"> </w:t>
      </w:r>
      <w:r>
        <w:t xml:space="preserve">Journal Article.</w:t>
      </w:r>
      <w:r>
        <w:t xml:space="preserve"> </w:t>
      </w:r>
      <w:r>
        <w:rPr>
          <w:iCs/>
          <w:i/>
        </w:rPr>
        <w:t xml:space="preserve">Finisterra</w:t>
      </w:r>
      <w:r>
        <w:t xml:space="preserve"> </w:t>
      </w:r>
      <w:r>
        <w:t xml:space="preserve">110: 55–74.</w:t>
      </w:r>
      <w:r>
        <w:t xml:space="preserve"> </w:t>
      </w:r>
      <w:hyperlink r:id="rId161">
        <w:r>
          <w:rPr>
            <w:rStyle w:val="Hyperlink"/>
          </w:rPr>
          <w:t xml:space="preserve">https://doi.org/10.18055/Finis16035</w:t>
        </w:r>
      </w:hyperlink>
      <w:r>
        <w:t xml:space="preserve">.</w:t>
      </w:r>
    </w:p>
    <w:bookmarkEnd w:id="162"/>
    <w:bookmarkStart w:id="164" w:name="ref-macintyre_her_2022"/>
    <w:p>
      <w:pPr>
        <w:pStyle w:val="Bibliography"/>
      </w:pPr>
      <w:r>
        <w:t xml:space="preserve">MacIntyre, Sorcha. 2022.</w:t>
      </w:r>
      <w:r>
        <w:t xml:space="preserve"> </w:t>
      </w:r>
      <w:r>
        <w:t xml:space="preserve">“Her 20-Minute Neighbourhood.</w:t>
      </w:r>
      <w:r>
        <w:t xml:space="preserve"> </w:t>
      </w:r>
      <w:r>
        <w:t xml:space="preserve">A</w:t>
      </w:r>
      <w:r>
        <w:t xml:space="preserve"> </w:t>
      </w:r>
      <w:r>
        <w:t xml:space="preserve">Critical Feminist Review of Women’s Experiences of the 20-Minute Neighbourhood in</w:t>
      </w:r>
      <w:r>
        <w:t xml:space="preserve"> </w:t>
      </w:r>
      <w:r>
        <w:t xml:space="preserve">Corstorphine</w:t>
      </w:r>
      <w:r>
        <w:t xml:space="preserve">,</w:t>
      </w:r>
      <w:r>
        <w:t xml:space="preserve"> </w:t>
      </w:r>
      <w:r>
        <w:t xml:space="preserve">Edinburgh</w:t>
      </w:r>
      <w:r>
        <w:t xml:space="preserve">.”</w:t>
      </w:r>
      <w:r>
        <w:t xml:space="preserve"> Master’s thesis, University of Groningen Faculty of Spatial Sciences Research.</w:t>
      </w:r>
      <w:r>
        <w:t xml:space="preserve"> </w:t>
      </w:r>
      <w:hyperlink r:id="rId163">
        <w:r>
          <w:rPr>
            <w:rStyle w:val="Hyperlink"/>
          </w:rPr>
          <w:t xml:space="preserve">https://frw.studenttheses.ub.rug.nl/3996/</w:t>
        </w:r>
      </w:hyperlink>
      <w:r>
        <w:t xml:space="preserve">.</w:t>
      </w:r>
    </w:p>
    <w:bookmarkEnd w:id="164"/>
    <w:bookmarkStart w:id="166" w:name="ref-RN32"/>
    <w:p>
      <w:pPr>
        <w:pStyle w:val="Bibliography"/>
      </w:pPr>
      <w:r>
        <w:t xml:space="preserve">Matsuo, Miwa. 2020.</w:t>
      </w:r>
      <w:r>
        <w:t xml:space="preserve"> </w:t>
      </w:r>
      <w:r>
        <w:t xml:space="preserve">“Carpooling and Drivers Without Household Vehicles: Gender Disparity in Automobility Among Hispanics and Non-Hispanics in the u.s.”</w:t>
      </w:r>
      <w:r>
        <w:t xml:space="preserve"> </w:t>
      </w:r>
      <w:r>
        <w:t xml:space="preserve">Journal Article.</w:t>
      </w:r>
      <w:r>
        <w:t xml:space="preserve"> </w:t>
      </w:r>
      <w:r>
        <w:rPr>
          <w:iCs/>
          <w:i/>
        </w:rPr>
        <w:t xml:space="preserve">Transportation</w:t>
      </w:r>
      <w:r>
        <w:t xml:space="preserve"> </w:t>
      </w:r>
      <w:r>
        <w:t xml:space="preserve">47 (4): 1631–63.</w:t>
      </w:r>
      <w:r>
        <w:t xml:space="preserve"> </w:t>
      </w:r>
      <w:hyperlink r:id="rId165">
        <w:r>
          <w:rPr>
            <w:rStyle w:val="Hyperlink"/>
          </w:rPr>
          <w:t xml:space="preserve">https://doi.org/10.1007/s11116-019-09974-w</w:t>
        </w:r>
      </w:hyperlink>
      <w:r>
        <w:t xml:space="preserve">.</w:t>
      </w:r>
    </w:p>
    <w:bookmarkEnd w:id="166"/>
    <w:bookmarkStart w:id="168" w:name="Xb7dbdcb10cb6a2ad6c9a053a652e1f4b35002a5"/>
    <w:p>
      <w:pPr>
        <w:pStyle w:val="Bibliography"/>
      </w:pPr>
      <w:r>
        <w:t xml:space="preserve">Mavoa, Suzanne, Claire Boulangé, Serryn Eagleson, Joshua Stewart, Hannah M Badland, Billie Giles-Corti, and Lucy Gunn. 2018.</w:t>
      </w:r>
      <w:r>
        <w:t xml:space="preserve"> </w:t>
      </w:r>
      <w:r>
        <w:t xml:space="preserve">“Identifying Appropriate Land-Use Mix Measures for Use in a National Walkability Index.”</w:t>
      </w:r>
      <w:r>
        <w:t xml:space="preserve"> </w:t>
      </w:r>
      <w:r>
        <w:rPr>
          <w:iCs/>
          <w:i/>
        </w:rPr>
        <w:t xml:space="preserve">Journal of Transport and Land Use</w:t>
      </w:r>
      <w:r>
        <w:t xml:space="preserve"> </w:t>
      </w:r>
      <w:r>
        <w:t xml:space="preserve">11 (1): 681–700.</w:t>
      </w:r>
      <w:r>
        <w:t xml:space="preserve"> </w:t>
      </w:r>
      <w:hyperlink r:id="rId167">
        <w:r>
          <w:rPr>
            <w:rStyle w:val="Hyperlink"/>
          </w:rPr>
          <w:t xml:space="preserve">https://www.jstor.org/stable/26622423</w:t>
        </w:r>
      </w:hyperlink>
      <w:r>
        <w:t xml:space="preserve">.</w:t>
      </w:r>
    </w:p>
    <w:bookmarkEnd w:id="168"/>
    <w:bookmarkStart w:id="169" w:name="ref-mcbride2020exploration"/>
    <w:p>
      <w:pPr>
        <w:pStyle w:val="Bibliography"/>
      </w:pPr>
      <w:r>
        <w:t xml:space="preserve">McBride, Elizabeth Callahan, Adam Wilkinson Davis, and Konstadinos G Goulias. 2020.</w:t>
      </w:r>
      <w:r>
        <w:t xml:space="preserve"> </w:t>
      </w:r>
      <w:r>
        <w:t xml:space="preserve">“Exploration of Statewide Fragmentation of Activity and Travel and a Taxonomy of Daily Time Use Patterns Using Sequence Analysis in California.”</w:t>
      </w:r>
      <w:r>
        <w:t xml:space="preserve"> </w:t>
      </w:r>
      <w:r>
        <w:rPr>
          <w:iCs/>
          <w:i/>
        </w:rPr>
        <w:t xml:space="preserve">Transportation Research Record</w:t>
      </w:r>
      <w:r>
        <w:t xml:space="preserve"> </w:t>
      </w:r>
      <w:r>
        <w:t xml:space="preserve">2674 (12): 38–51.</w:t>
      </w:r>
    </w:p>
    <w:bookmarkEnd w:id="169"/>
    <w:bookmarkStart w:id="171" w:name="ref-RN14"/>
    <w:p>
      <w:pPr>
        <w:pStyle w:val="Bibliography"/>
      </w:pPr>
      <w:r>
        <w:t xml:space="preserve">McIlvenny, P. 2015.</w:t>
      </w:r>
      <w:r>
        <w:t xml:space="preserve"> </w:t>
      </w:r>
      <w:r>
        <w:t xml:space="preserve">“The Joy of Biking Together: Sharing Everyday Experiences of Vélomobility.”</w:t>
      </w:r>
      <w:r>
        <w:t xml:space="preserve"> </w:t>
      </w:r>
      <w:r>
        <w:t xml:space="preserve">Journal Article.</w:t>
      </w:r>
      <w:r>
        <w:t xml:space="preserve"> </w:t>
      </w:r>
      <w:r>
        <w:rPr>
          <w:iCs/>
          <w:i/>
        </w:rPr>
        <w:t xml:space="preserve">Mobilities</w:t>
      </w:r>
      <w:r>
        <w:t xml:space="preserve"> </w:t>
      </w:r>
      <w:r>
        <w:t xml:space="preserve">10 (1): 55–82.</w:t>
      </w:r>
      <w:r>
        <w:t xml:space="preserve"> </w:t>
      </w:r>
      <w:hyperlink r:id="rId170">
        <w:r>
          <w:rPr>
            <w:rStyle w:val="Hyperlink"/>
          </w:rPr>
          <w:t xml:space="preserve">https://doi.org/10.1080/17450101.2013.844950</w:t>
        </w:r>
      </w:hyperlink>
      <w:r>
        <w:t xml:space="preserve">.</w:t>
      </w:r>
    </w:p>
    <w:bookmarkEnd w:id="171"/>
    <w:bookmarkStart w:id="173" w:name="ref-mejia2021mobility"/>
    <w:p>
      <w:pPr>
        <w:pStyle w:val="Bibliography"/>
      </w:pPr>
      <w:r>
        <w:t xml:space="preserve">Mejía-Dorantes, Lucía, Lídia Montero, and Jaume Barceló. 2021.</w:t>
      </w:r>
      <w:r>
        <w:t xml:space="preserve"> </w:t>
      </w:r>
      <w:r>
        <w:t xml:space="preserve">“Mobility</w:t>
      </w:r>
      <w:r>
        <w:t xml:space="preserve"> </w:t>
      </w:r>
      <w:r>
        <w:t xml:space="preserve">Trends</w:t>
      </w:r>
      <w:r>
        <w:t xml:space="preserve"> </w:t>
      </w:r>
      <w:r>
        <w:t xml:space="preserve">Before and After the</w:t>
      </w:r>
      <w:r>
        <w:t xml:space="preserve"> </w:t>
      </w:r>
      <w:r>
        <w:t xml:space="preserve">Pandemic</w:t>
      </w:r>
      <w:r>
        <w:t xml:space="preserve"> </w:t>
      </w:r>
      <w:r>
        <w:t xml:space="preserve">Outbreak</w:t>
      </w:r>
      <w:r>
        <w:t xml:space="preserve">:</w:t>
      </w:r>
      <w:r>
        <w:t xml:space="preserve"> </w:t>
      </w:r>
      <w:r>
        <w:t xml:space="preserve">Analyzing</w:t>
      </w:r>
      <w:r>
        <w:t xml:space="preserve"> </w:t>
      </w:r>
      <w:r>
        <w:t xml:space="preserve">the</w:t>
      </w:r>
      <w:r>
        <w:t xml:space="preserve"> </w:t>
      </w:r>
      <w:r>
        <w:t xml:space="preserve">Metropolitan</w:t>
      </w:r>
      <w:r>
        <w:t xml:space="preserve"> </w:t>
      </w:r>
      <w:r>
        <w:t xml:space="preserve">Area</w:t>
      </w:r>
      <w:r>
        <w:t xml:space="preserve"> </w:t>
      </w:r>
      <w:r>
        <w:t xml:space="preserve">of</w:t>
      </w:r>
      <w:r>
        <w:t xml:space="preserve"> </w:t>
      </w:r>
      <w:r>
        <w:t xml:space="preserve">Barcelona</w:t>
      </w:r>
      <w:r>
        <w:t xml:space="preserve"> </w:t>
      </w:r>
      <w:r>
        <w:t xml:space="preserve">Through the</w:t>
      </w:r>
      <w:r>
        <w:t xml:space="preserve"> </w:t>
      </w:r>
      <w:r>
        <w:t xml:space="preserve">Lens</w:t>
      </w:r>
      <w:r>
        <w:t xml:space="preserve"> </w:t>
      </w:r>
      <w:r>
        <w:t xml:space="preserve">of</w:t>
      </w:r>
      <w:r>
        <w:t xml:space="preserve"> </w:t>
      </w:r>
      <w:r>
        <w:t xml:space="preserve">Equality</w:t>
      </w:r>
      <w:r>
        <w:t xml:space="preserve"> </w:t>
      </w:r>
      <w:r>
        <w:t xml:space="preserve">and</w:t>
      </w:r>
      <w:r>
        <w:t xml:space="preserve"> </w:t>
      </w:r>
      <w:r>
        <w:t xml:space="preserve">Sustainability</w:t>
      </w:r>
      <w:r>
        <w:t xml:space="preserve">.”</w:t>
      </w:r>
      <w:r>
        <w:t xml:space="preserve"> </w:t>
      </w:r>
      <w:r>
        <w:rPr>
          <w:iCs/>
          <w:i/>
        </w:rPr>
        <w:t xml:space="preserve">Sustainability</w:t>
      </w:r>
      <w:r>
        <w:t xml:space="preserve"> </w:t>
      </w:r>
      <w:r>
        <w:t xml:space="preserve">13 (14): 7908.</w:t>
      </w:r>
      <w:r>
        <w:t xml:space="preserve"> </w:t>
      </w:r>
      <w:hyperlink r:id="rId172">
        <w:r>
          <w:rPr>
            <w:rStyle w:val="Hyperlink"/>
          </w:rPr>
          <w:t xml:space="preserve">https://doi.org/10.3390/su13147908</w:t>
        </w:r>
      </w:hyperlink>
      <w:r>
        <w:t xml:space="preserve">.</w:t>
      </w:r>
    </w:p>
    <w:bookmarkEnd w:id="173"/>
    <w:bookmarkStart w:id="174" w:name="ref-montero2023applying"/>
    <w:p>
      <w:pPr>
        <w:pStyle w:val="Bibliography"/>
      </w:pPr>
      <w:r>
        <w:t xml:space="preserve">Montero, Lı́dia, Lucı́a Mejı́a-Dorantes, and Jaume Barceló. 2023a.</w:t>
      </w:r>
      <w:r>
        <w:t xml:space="preserve"> </w:t>
      </w:r>
      <w:r>
        <w:t xml:space="preserve">“Applying Data Analytics to Analyze Activity Sequences for an Assessment of Fragmentation in Daily Travel Patterns: A Case Study of the Metropolitan Region of Barcelona.”</w:t>
      </w:r>
      <w:r>
        <w:t xml:space="preserve"> </w:t>
      </w:r>
      <w:r>
        <w:rPr>
          <w:iCs/>
          <w:i/>
        </w:rPr>
        <w:t xml:space="preserve">Sustainability</w:t>
      </w:r>
      <w:r>
        <w:t xml:space="preserve"> </w:t>
      </w:r>
      <w:r>
        <w:t xml:space="preserve">15 (19): 14213.</w:t>
      </w:r>
    </w:p>
    <w:bookmarkEnd w:id="174"/>
    <w:bookmarkStart w:id="175" w:name="ref-montero2023role"/>
    <w:p>
      <w:pPr>
        <w:pStyle w:val="Bibliography"/>
      </w:pPr>
      <w:r>
        <w:t xml:space="preserve">———. 2023b.</w:t>
      </w:r>
      <w:r>
        <w:t xml:space="preserve"> </w:t>
      </w:r>
      <w:r>
        <w:t xml:space="preserve">“The Role of Life Course and Gender in Mobility Patterns: A Spatiotemporal Sequence Analysis in Barcelona.”</w:t>
      </w:r>
      <w:r>
        <w:t xml:space="preserve"> </w:t>
      </w:r>
      <w:r>
        <w:rPr>
          <w:iCs/>
          <w:i/>
        </w:rPr>
        <w:t xml:space="preserve">European Transport Research Review</w:t>
      </w:r>
      <w:r>
        <w:t xml:space="preserve"> </w:t>
      </w:r>
      <w:r>
        <w:t xml:space="preserve">15 (1): 44.</w:t>
      </w:r>
    </w:p>
    <w:bookmarkEnd w:id="175"/>
    <w:bookmarkStart w:id="177" w:name="ref-moreno_introducing_2021"/>
    <w:p>
      <w:pPr>
        <w:pStyle w:val="Bibliography"/>
      </w:pPr>
      <w:r>
        <w:t xml:space="preserve">Moreno, Carlos, Zaheer Allam, Didier Chabaud, Catherine Gall, and Florent Pratlong. 2021.</w:t>
      </w:r>
      <w:r>
        <w:t xml:space="preserve"> </w:t>
      </w:r>
      <w:r>
        <w:t xml:space="preserve">“Introducing the</w:t>
      </w:r>
      <w:r>
        <w:t xml:space="preserve"> </w:t>
      </w:r>
      <w:r>
        <w:t xml:space="preserve">‘15-</w:t>
      </w:r>
      <w:r>
        <w:t xml:space="preserve">Minute</w:t>
      </w:r>
      <w:r>
        <w:t xml:space="preserve"> </w:t>
      </w:r>
      <w:r>
        <w:t xml:space="preserve">City</w:t>
      </w:r>
      <w:r>
        <w:t xml:space="preserve">’</w:t>
      </w:r>
      <w:r>
        <w:t xml:space="preserve">:</w:t>
      </w:r>
      <w:r>
        <w:t xml:space="preserve"> </w:t>
      </w:r>
      <w:r>
        <w:t xml:space="preserve">Sustainability</w:t>
      </w:r>
      <w:r>
        <w:t xml:space="preserve">,</w:t>
      </w:r>
      <w:r>
        <w:t xml:space="preserve"> </w:t>
      </w:r>
      <w:r>
        <w:t xml:space="preserve">Resilience</w:t>
      </w:r>
      <w:r>
        <w:t xml:space="preserve"> </w:t>
      </w:r>
      <w:r>
        <w:t xml:space="preserve">and</w:t>
      </w:r>
      <w:r>
        <w:t xml:space="preserve"> </w:t>
      </w:r>
      <w:r>
        <w:t xml:space="preserve">Place</w:t>
      </w:r>
      <w:r>
        <w:t xml:space="preserve"> </w:t>
      </w:r>
      <w:r>
        <w:t xml:space="preserve">Identity</w:t>
      </w:r>
      <w:r>
        <w:t xml:space="preserve"> </w:t>
      </w:r>
      <w:r>
        <w:t xml:space="preserve">in</w:t>
      </w:r>
      <w:r>
        <w:t xml:space="preserve"> </w:t>
      </w:r>
      <w:r>
        <w:t xml:space="preserve">Future</w:t>
      </w:r>
      <w:r>
        <w:t xml:space="preserve"> </w:t>
      </w:r>
      <w:r>
        <w:t xml:space="preserve">Post</w:t>
      </w:r>
      <w:r>
        <w:t xml:space="preserve">-</w:t>
      </w:r>
      <w:r>
        <w:t xml:space="preserve">Pandemic</w:t>
      </w:r>
      <w:r>
        <w:t xml:space="preserve"> </w:t>
      </w:r>
      <w:r>
        <w:t xml:space="preserve">Cities</w:t>
      </w:r>
      <w:r>
        <w:t xml:space="preserve">.”</w:t>
      </w:r>
      <w:r>
        <w:t xml:space="preserve"> </w:t>
      </w:r>
      <w:r>
        <w:rPr>
          <w:iCs/>
          <w:i/>
        </w:rPr>
        <w:t xml:space="preserve">Smart Cities</w:t>
      </w:r>
      <w:r>
        <w:t xml:space="preserve"> </w:t>
      </w:r>
      <w:r>
        <w:t xml:space="preserve">4 (1): 93–111.</w:t>
      </w:r>
      <w:r>
        <w:t xml:space="preserve"> </w:t>
      </w:r>
      <w:hyperlink r:id="rId176">
        <w:r>
          <w:rPr>
            <w:rStyle w:val="Hyperlink"/>
          </w:rPr>
          <w:t xml:space="preserve">https://doi.org/10.3390/smartcities4010006</w:t>
        </w:r>
      </w:hyperlink>
      <w:r>
        <w:t xml:space="preserve">.</w:t>
      </w:r>
    </w:p>
    <w:bookmarkEnd w:id="177"/>
    <w:bookmarkStart w:id="179" w:name="ref-RN10"/>
    <w:p>
      <w:pPr>
        <w:pStyle w:val="Bibliography"/>
      </w:pPr>
      <w:r>
        <w:t xml:space="preserve">Morioka, Wataru, Mei-Po Kwan, Kimihiro Hino, and Ikuho Yamada. 2023.</w:t>
      </w:r>
      <w:r>
        <w:t xml:space="preserve"> </w:t>
      </w:r>
      <w:r>
        <w:t xml:space="preserve">“How Accessibility to Neighborhood Grocery Stores Is Related to Older People’s Walking Behavior: A Study of Yokohama, Japan.”</w:t>
      </w:r>
      <w:r>
        <w:t xml:space="preserve"> </w:t>
      </w:r>
      <w:r>
        <w:t xml:space="preserve">Journal Article.</w:t>
      </w:r>
      <w:r>
        <w:t xml:space="preserve"> </w:t>
      </w:r>
      <w:r>
        <w:rPr>
          <w:iCs/>
          <w:i/>
        </w:rPr>
        <w:t xml:space="preserve">Journal of Transport &amp; Health</w:t>
      </w:r>
      <w:r>
        <w:t xml:space="preserve"> </w:t>
      </w:r>
      <w:r>
        <w:t xml:space="preserve">32: 101668. https://doi.org/</w:t>
      </w:r>
      <w:hyperlink r:id="rId178">
        <w:r>
          <w:rPr>
            <w:rStyle w:val="Hyperlink"/>
          </w:rPr>
          <w:t xml:space="preserve">https://doi.org/10.1016/j.jth.2023.101668</w:t>
        </w:r>
      </w:hyperlink>
      <w:r>
        <w:t xml:space="preserve">.</w:t>
      </w:r>
    </w:p>
    <w:bookmarkEnd w:id="179"/>
    <w:bookmarkStart w:id="181" w:name="ref-RN9"/>
    <w:p>
      <w:pPr>
        <w:pStyle w:val="Bibliography"/>
      </w:pPr>
      <w:r>
        <w:t xml:space="preserve">Napier, Melissa A., Barbara B. Brown, Carol M. Werner, and Jonathan Gallimore. 2011.</w:t>
      </w:r>
      <w:r>
        <w:t xml:space="preserve"> </w:t>
      </w:r>
      <w:r>
        <w:t xml:space="preserve">“Walking to School: Community Design and Child and Parent Barriers.”</w:t>
      </w:r>
      <w:r>
        <w:t xml:space="preserve"> </w:t>
      </w:r>
      <w:r>
        <w:t xml:space="preserve">Journal Article.</w:t>
      </w:r>
      <w:r>
        <w:t xml:space="preserve"> </w:t>
      </w:r>
      <w:r>
        <w:rPr>
          <w:iCs/>
          <w:i/>
        </w:rPr>
        <w:t xml:space="preserve">Journal of Environmental Psychology</w:t>
      </w:r>
      <w:r>
        <w:t xml:space="preserve"> </w:t>
      </w:r>
      <w:r>
        <w:t xml:space="preserve">31 (1): 45–51. https://doi.org/</w:t>
      </w:r>
      <w:hyperlink r:id="rId180">
        <w:r>
          <w:rPr>
            <w:rStyle w:val="Hyperlink"/>
          </w:rPr>
          <w:t xml:space="preserve">https://doi.org/10.1016/j.jenvp.2010.04.005</w:t>
        </w:r>
      </w:hyperlink>
      <w:r>
        <w:t xml:space="preserve">.</w:t>
      </w:r>
    </w:p>
    <w:bookmarkEnd w:id="181"/>
    <w:bookmarkStart w:id="183" w:name="ref-nationalbankNationalBankBranches2023"/>
    <w:p>
      <w:pPr>
        <w:pStyle w:val="Bibliography"/>
      </w:pPr>
      <w:r>
        <w:t xml:space="preserve">National Bank. 2023.</w:t>
      </w:r>
      <w:r>
        <w:t xml:space="preserve"> </w:t>
      </w:r>
      <w:r>
        <w:t xml:space="preserve">“National Bank Branches Locator.”</w:t>
      </w:r>
      <w:r>
        <w:t xml:space="preserve"> </w:t>
      </w:r>
      <w:r>
        <w:t xml:space="preserve">Web Page.</w:t>
      </w:r>
      <w:r>
        <w:t xml:space="preserve"> </w:t>
      </w:r>
      <w:hyperlink r:id="rId182">
        <w:r>
          <w:rPr>
            <w:rStyle w:val="Hyperlink"/>
          </w:rPr>
          <w:t xml:space="preserve">https://locator.nbc.ca/?=&amp;referrerPageUrl=https%3A%2F%2Fwww.google.com%2F&amp;query=&amp;facetFilters=%7B%7D&amp;filters=%7B%7D</w:t>
        </w:r>
      </w:hyperlink>
      <w:r>
        <w:t xml:space="preserve">.</w:t>
      </w:r>
    </w:p>
    <w:bookmarkEnd w:id="183"/>
    <w:bookmarkStart w:id="185" w:name="ref-RN11"/>
    <w:p>
      <w:pPr>
        <w:pStyle w:val="Bibliography"/>
      </w:pPr>
      <w:r>
        <w:t xml:space="preserve">Negron-Poblete, Paula, Anne-Marie Séguin, and Philippe Apparicio. 2016.</w:t>
      </w:r>
      <w:r>
        <w:t xml:space="preserve"> </w:t>
      </w:r>
      <w:r>
        <w:t xml:space="preserve">“Improving Walkability for Seniors Through Accessibility to Food Stores: A Study of Three Areas of Greater Montreal.”</w:t>
      </w:r>
      <w:r>
        <w:t xml:space="preserve"> </w:t>
      </w:r>
      <w:r>
        <w:t xml:space="preserve">Journal Article.</w:t>
      </w:r>
      <w:r>
        <w:t xml:space="preserve"> </w:t>
      </w:r>
      <w:r>
        <w:rPr>
          <w:iCs/>
          <w:i/>
        </w:rPr>
        <w:t xml:space="preserve">Journal of Urbanism: International Research on Placemaking and Urban Sustainability</w:t>
      </w:r>
      <w:r>
        <w:t xml:space="preserve"> </w:t>
      </w:r>
      <w:r>
        <w:t xml:space="preserve">9 (1): 51–72.</w:t>
      </w:r>
      <w:r>
        <w:t xml:space="preserve"> </w:t>
      </w:r>
      <w:hyperlink r:id="rId184">
        <w:r>
          <w:rPr>
            <w:rStyle w:val="Hyperlink"/>
          </w:rPr>
          <w:t xml:space="preserve">https://doi.org/10.1080/17549175.2014.990916</w:t>
        </w:r>
      </w:hyperlink>
      <w:r>
        <w:t xml:space="preserve">.</w:t>
      </w:r>
    </w:p>
    <w:bookmarkEnd w:id="185"/>
    <w:bookmarkStart w:id="187" w:name="ref-RN18"/>
    <w:p>
      <w:pPr>
        <w:pStyle w:val="Bibliography"/>
      </w:pPr>
      <w:r>
        <w:t xml:space="preserve">Niedzielski, Michał A. 2021.</w:t>
      </w:r>
      <w:r>
        <w:t xml:space="preserve"> </w:t>
      </w:r>
      <w:r>
        <w:t xml:space="preserve">“Grocery Store Accessibility: Different Metrics – Different Modal Disparity Results and Spatial Patterns.”</w:t>
      </w:r>
      <w:r>
        <w:t xml:space="preserve"> </w:t>
      </w:r>
      <w:r>
        <w:t xml:space="preserve">Journal Article.</w:t>
      </w:r>
      <w:r>
        <w:t xml:space="preserve"> </w:t>
      </w:r>
      <w:r>
        <w:rPr>
          <w:iCs/>
          <w:i/>
        </w:rPr>
        <w:t xml:space="preserve">Journal of Transport Geography</w:t>
      </w:r>
      <w:r>
        <w:t xml:space="preserve"> </w:t>
      </w:r>
      <w:r>
        <w:t xml:space="preserve">96: 103160. https://doi.org/</w:t>
      </w:r>
      <w:hyperlink r:id="rId186">
        <w:r>
          <w:rPr>
            <w:rStyle w:val="Hyperlink"/>
          </w:rPr>
          <w:t xml:space="preserve">https://doi.org/10.1016/j.jtrangeo.2021.103160</w:t>
        </w:r>
      </w:hyperlink>
      <w:r>
        <w:t xml:space="preserve">.</w:t>
      </w:r>
    </w:p>
    <w:bookmarkEnd w:id="187"/>
    <w:bookmarkStart w:id="189" w:name="ref-RN7"/>
    <w:p>
      <w:pPr>
        <w:pStyle w:val="Bibliography"/>
      </w:pPr>
      <w:r>
        <w:t xml:space="preserve">Omura, John D., Eric T. Hyde, Kathleen B. Watson, Sarah A. Sliwa, Janet E. Fulton, and Susan A. Carlson. 2019.</w:t>
      </w:r>
      <w:r>
        <w:t xml:space="preserve"> </w:t>
      </w:r>
      <w:r>
        <w:t xml:space="preserve">“Prevalence of Children Walking to School and Related Barriers—United States, 2017.”</w:t>
      </w:r>
      <w:r>
        <w:t xml:space="preserve"> </w:t>
      </w:r>
      <w:r>
        <w:t xml:space="preserve">Journal Article.</w:t>
      </w:r>
      <w:r>
        <w:t xml:space="preserve"> </w:t>
      </w:r>
      <w:r>
        <w:rPr>
          <w:iCs/>
          <w:i/>
        </w:rPr>
        <w:t xml:space="preserve">Preventive Medicine</w:t>
      </w:r>
      <w:r>
        <w:t xml:space="preserve"> </w:t>
      </w:r>
      <w:r>
        <w:t xml:space="preserve">118: 191–95. https://doi.org/</w:t>
      </w:r>
      <w:hyperlink r:id="rId188">
        <w:r>
          <w:rPr>
            <w:rStyle w:val="Hyperlink"/>
          </w:rPr>
          <w:t xml:space="preserve">https://doi.org/10.1016/j.ypmed.2018.10.016</w:t>
        </w:r>
      </w:hyperlink>
      <w:r>
        <w:t xml:space="preserve">.</w:t>
      </w:r>
    </w:p>
    <w:bookmarkEnd w:id="189"/>
    <w:bookmarkStart w:id="191" w:name="ref-RN31"/>
    <w:p>
      <w:pPr>
        <w:pStyle w:val="Bibliography"/>
      </w:pPr>
      <w:r>
        <w:t xml:space="preserve">Ong, Paul M., and Douglas Miller. 2005.</w:t>
      </w:r>
      <w:r>
        <w:t xml:space="preserve"> </w:t>
      </w:r>
      <w:r>
        <w:t xml:space="preserve">“Spatial and Transportation Mismatch in Los Angeles.”</w:t>
      </w:r>
      <w:r>
        <w:t xml:space="preserve"> </w:t>
      </w:r>
      <w:r>
        <w:t xml:space="preserve">Journal Article.</w:t>
      </w:r>
      <w:r>
        <w:t xml:space="preserve"> </w:t>
      </w:r>
      <w:r>
        <w:rPr>
          <w:iCs/>
          <w:i/>
        </w:rPr>
        <w:t xml:space="preserve">Journal of Planning Education and Research</w:t>
      </w:r>
      <w:r>
        <w:t xml:space="preserve"> </w:t>
      </w:r>
      <w:r>
        <w:t xml:space="preserve">25 (1): 43–56.</w:t>
      </w:r>
      <w:r>
        <w:t xml:space="preserve"> </w:t>
      </w:r>
      <w:hyperlink r:id="rId190">
        <w:r>
          <w:rPr>
            <w:rStyle w:val="Hyperlink"/>
          </w:rPr>
          <w:t xml:space="preserve">https://doi.org/10.1177/0739456x04270244</w:t>
        </w:r>
      </w:hyperlink>
      <w:r>
        <w:t xml:space="preserve">.</w:t>
      </w:r>
    </w:p>
    <w:bookmarkEnd w:id="191"/>
    <w:bookmarkStart w:id="193" w:name="X9baab901da3fbe66a13b3d2a0e77bced3d98e6d"/>
    <w:p>
      <w:pPr>
        <w:pStyle w:val="Bibliography"/>
      </w:pPr>
      <w:r>
        <w:t xml:space="preserve">Ontario. 2023a.</w:t>
      </w:r>
      <w:r>
        <w:t xml:space="preserve"> </w:t>
      </w:r>
      <w:r>
        <w:t xml:space="preserve">“Ministry of Education - Funding for an Education and Community Partnership Program (ECPP).”</w:t>
      </w:r>
      <w:r>
        <w:t xml:space="preserve"> </w:t>
      </w:r>
      <w:r>
        <w:t xml:space="preserve">Web Page.</w:t>
      </w:r>
      <w:r>
        <w:t xml:space="preserve"> </w:t>
      </w:r>
      <w:hyperlink r:id="rId192">
        <w:r>
          <w:rPr>
            <w:rStyle w:val="Hyperlink"/>
          </w:rPr>
          <w:t xml:space="preserve">https://efis.fma.csc.gov.on.ca/faab/Section%2023.htm</w:t>
        </w:r>
      </w:hyperlink>
      <w:r>
        <w:t xml:space="preserve">.</w:t>
      </w:r>
    </w:p>
    <w:bookmarkEnd w:id="193"/>
    <w:bookmarkStart w:id="195" w:name="X18b8e5e66f82b9f47ddd41717a33b3948dfbae2"/>
    <w:p>
      <w:pPr>
        <w:pStyle w:val="Bibliography"/>
      </w:pPr>
      <w:r>
        <w:t xml:space="preserve">———. 2023b.</w:t>
      </w:r>
      <w:r>
        <w:t xml:space="preserve"> </w:t>
      </w:r>
      <w:r>
        <w:t xml:space="preserve">“Ontario Data Catalogue.”</w:t>
      </w:r>
      <w:r>
        <w:t xml:space="preserve"> </w:t>
      </w:r>
      <w:r>
        <w:t xml:space="preserve">Web Page.</w:t>
      </w:r>
      <w:r>
        <w:t xml:space="preserve"> </w:t>
      </w:r>
      <w:hyperlink r:id="rId194">
        <w:r>
          <w:rPr>
            <w:rStyle w:val="Hyperlink"/>
          </w:rPr>
          <w:t xml:space="preserve">https://data.ontario.ca/</w:t>
        </w:r>
      </w:hyperlink>
      <w:r>
        <w:t xml:space="preserve">.</w:t>
      </w:r>
    </w:p>
    <w:bookmarkEnd w:id="195"/>
    <w:bookmarkStart w:id="197" w:name="Xccc1a8f7e2034702664e0e15ba754667cabb56d"/>
    <w:p>
      <w:pPr>
        <w:pStyle w:val="Bibliography"/>
      </w:pPr>
      <w:r>
        <w:t xml:space="preserve">Ontario GeoHub. 2023.</w:t>
      </w:r>
      <w:r>
        <w:t xml:space="preserve"> </w:t>
      </w:r>
      <w:r>
        <w:t xml:space="preserve">“Ministry of Health Service Provider Locations.”</w:t>
      </w:r>
      <w:r>
        <w:t xml:space="preserve"> </w:t>
      </w:r>
      <w:r>
        <w:t xml:space="preserve">Aggregated Database.</w:t>
      </w:r>
      <w:r>
        <w:t xml:space="preserve"> </w:t>
      </w:r>
      <w:hyperlink r:id="rId196">
        <w:r>
          <w:rPr>
            <w:rStyle w:val="Hyperlink"/>
          </w:rPr>
          <w:t xml:space="preserve">https://geohub.lio.gov.on.ca/datasets/ministry-of-health-service-provider-locations/explore?showTable=true</w:t>
        </w:r>
      </w:hyperlink>
      <w:r>
        <w:t xml:space="preserve">.</w:t>
      </w:r>
    </w:p>
    <w:bookmarkEnd w:id="197"/>
    <w:bookmarkStart w:id="199" w:name="ref-paez_measuring_2012"/>
    <w:p>
      <w:pPr>
        <w:pStyle w:val="Bibliography"/>
      </w:pPr>
      <w:r>
        <w:t xml:space="preserve">Paez, A., D. M. Scott, and C. Morency. 2012.</w:t>
      </w:r>
      <w:r>
        <w:t xml:space="preserve"> </w:t>
      </w:r>
      <w:r>
        <w:t xml:space="preserve">“Measuring Accessibility: Positive and Normative Implementations of Various Accessibility Indicators.”</w:t>
      </w:r>
      <w:r>
        <w:t xml:space="preserve"> </w:t>
      </w:r>
      <w:r>
        <w:rPr>
          <w:iCs/>
          <w:i/>
        </w:rPr>
        <w:t xml:space="preserve">Journal of Transport Geography</w:t>
      </w:r>
      <w:r>
        <w:t xml:space="preserve"> </w:t>
      </w:r>
      <w:r>
        <w:t xml:space="preserve">25 (November): 141–53.</w:t>
      </w:r>
      <w:r>
        <w:t xml:space="preserve"> </w:t>
      </w:r>
      <w:hyperlink r:id="rId198">
        <w:r>
          <w:rPr>
            <w:rStyle w:val="Hyperlink"/>
          </w:rPr>
          <w:t xml:space="preserve">https://doi.org/10.1016/j.jtrangeo.2012.03.016</w:t>
        </w:r>
      </w:hyperlink>
      <w:r>
        <w:t xml:space="preserve">.</w:t>
      </w:r>
    </w:p>
    <w:bookmarkEnd w:id="199"/>
    <w:bookmarkStart w:id="201" w:name="ref-paez_jobs_2024"/>
    <w:p>
      <w:pPr>
        <w:pStyle w:val="Bibliography"/>
      </w:pPr>
      <w:r>
        <w:t xml:space="preserve">Páez, Antonio, Steven Farber, Ruben Mercado, Matthew Roorda, and Catherine Morency. 2013.</w:t>
      </w:r>
      <w:r>
        <w:t xml:space="preserve"> </w:t>
      </w:r>
      <w:r>
        <w:t xml:space="preserve">“Jobs and the</w:t>
      </w:r>
      <w:r>
        <w:t xml:space="preserve"> </w:t>
      </w:r>
      <w:r>
        <w:t xml:space="preserve">Single</w:t>
      </w:r>
      <w:r>
        <w:t xml:space="preserve"> </w:t>
      </w:r>
      <w:r>
        <w:t xml:space="preserve">Parent</w:t>
      </w:r>
      <w:r>
        <w:t xml:space="preserve">:</w:t>
      </w:r>
      <w:r>
        <w:t xml:space="preserve"> </w:t>
      </w:r>
      <w:r>
        <w:t xml:space="preserve">An</w:t>
      </w:r>
      <w:r>
        <w:t xml:space="preserve"> </w:t>
      </w:r>
      <w:r>
        <w:t xml:space="preserve">Analysis</w:t>
      </w:r>
      <w:r>
        <w:t xml:space="preserve"> </w:t>
      </w:r>
      <w:r>
        <w:t xml:space="preserve">of</w:t>
      </w:r>
      <w:r>
        <w:t xml:space="preserve"> </w:t>
      </w:r>
      <w:r>
        <w:t xml:space="preserve">Accessibility</w:t>
      </w:r>
      <w:r>
        <w:t xml:space="preserve"> </w:t>
      </w:r>
      <w:r>
        <w:t xml:space="preserve">to</w:t>
      </w:r>
      <w:r>
        <w:t xml:space="preserve"> </w:t>
      </w:r>
      <w:r>
        <w:t xml:space="preserve">Employment</w:t>
      </w:r>
      <w:r>
        <w:t xml:space="preserve"> </w:t>
      </w:r>
      <w:r>
        <w:t xml:space="preserve">in</w:t>
      </w:r>
      <w:r>
        <w:t xml:space="preserve"> </w:t>
      </w:r>
      <w:r>
        <w:t xml:space="preserve">Toronto</w:t>
      </w:r>
      <w:r>
        <w:t xml:space="preserve">.”</w:t>
      </w:r>
      <w:r>
        <w:t xml:space="preserve"> </w:t>
      </w:r>
      <w:r>
        <w:rPr>
          <w:iCs/>
          <w:i/>
        </w:rPr>
        <w:t xml:space="preserve">Urban Geography</w:t>
      </w:r>
      <w:r>
        <w:t xml:space="preserve"> </w:t>
      </w:r>
      <w:r>
        <w:t xml:space="preserve">34 (6): 815–42.</w:t>
      </w:r>
      <w:r>
        <w:t xml:space="preserve"> </w:t>
      </w:r>
      <w:hyperlink r:id="rId200">
        <w:r>
          <w:rPr>
            <w:rStyle w:val="Hyperlink"/>
          </w:rPr>
          <w:t xml:space="preserve">https://doi.org/10.1080/02723638.2013.778600</w:t>
        </w:r>
      </w:hyperlink>
      <w:r>
        <w:t xml:space="preserve">.</w:t>
      </w:r>
    </w:p>
    <w:bookmarkEnd w:id="201"/>
    <w:bookmarkStart w:id="203" w:name="ref-ville_de_paris_paris_2022"/>
    <w:p>
      <w:pPr>
        <w:pStyle w:val="Bibliography"/>
      </w:pPr>
      <w:r>
        <w:t xml:space="preserve">Paris, Ville de. 2022.</w:t>
      </w:r>
      <w:r>
        <w:t xml:space="preserve"> </w:t>
      </w:r>
      <w:r>
        <w:t xml:space="preserve">“Paris Ville Du Quart d’heure, Ou Le Pari de La Proximité.”</w:t>
      </w:r>
      <w:r>
        <w:t xml:space="preserve"> </w:t>
      </w:r>
      <w:hyperlink r:id="rId202">
        <w:r>
          <w:rPr>
            <w:rStyle w:val="Hyperlink"/>
          </w:rPr>
          <w:t xml:space="preserve">https://www.paris.fr/dossiers/paris-ville-du-quart-d-heure-ou-le-pari-de-la-proximite-37</w:t>
        </w:r>
      </w:hyperlink>
      <w:r>
        <w:t xml:space="preserve">.</w:t>
      </w:r>
    </w:p>
    <w:bookmarkEnd w:id="203"/>
    <w:bookmarkStart w:id="205" w:name="ref-pay_equity_office_gender_2023"/>
    <w:p>
      <w:pPr>
        <w:pStyle w:val="Bibliography"/>
      </w:pPr>
      <w:r>
        <w:t xml:space="preserve">Pay Equity Office. 2023.</w:t>
      </w:r>
      <w:r>
        <w:t xml:space="preserve"> </w:t>
      </w:r>
      <w:r>
        <w:t xml:space="preserve">“The</w:t>
      </w:r>
      <w:r>
        <w:t xml:space="preserve"> </w:t>
      </w:r>
      <w:r>
        <w:t xml:space="preserve">Gender</w:t>
      </w:r>
      <w:r>
        <w:t xml:space="preserve"> </w:t>
      </w:r>
      <w:r>
        <w:t xml:space="preserve">Wage</w:t>
      </w:r>
      <w:r>
        <w:t xml:space="preserve"> </w:t>
      </w:r>
      <w:r>
        <w:t xml:space="preserve">Gap</w:t>
      </w:r>
      <w:r>
        <w:t xml:space="preserve">:</w:t>
      </w:r>
      <w:r>
        <w:t xml:space="preserve"> </w:t>
      </w:r>
      <w:r>
        <w:t xml:space="preserve">It</w:t>
      </w:r>
      <w:r>
        <w:t xml:space="preserve">’s</w:t>
      </w:r>
      <w:r>
        <w:t xml:space="preserve"> </w:t>
      </w:r>
      <w:r>
        <w:t xml:space="preserve">More</w:t>
      </w:r>
      <w:r>
        <w:t xml:space="preserve"> </w:t>
      </w:r>
      <w:r>
        <w:t xml:space="preserve">Than</w:t>
      </w:r>
      <w:r>
        <w:t xml:space="preserve"> </w:t>
      </w:r>
      <w:r>
        <w:t xml:space="preserve">You</w:t>
      </w:r>
      <w:r>
        <w:t xml:space="preserve"> </w:t>
      </w:r>
      <w:r>
        <w:t xml:space="preserve">Think</w:t>
      </w:r>
      <w:r>
        <w:t xml:space="preserve">.”</w:t>
      </w:r>
      <w:r>
        <w:t xml:space="preserve"> </w:t>
      </w:r>
      <w:r>
        <w:t xml:space="preserve">Ontario {Canada}.</w:t>
      </w:r>
      <w:r>
        <w:t xml:space="preserve"> </w:t>
      </w:r>
      <w:r>
        <w:rPr>
          <w:iCs/>
          <w:i/>
        </w:rPr>
        <w:t xml:space="preserve">Pay Equity Office</w:t>
      </w:r>
      <w:r>
        <w:t xml:space="preserve">.</w:t>
      </w:r>
      <w:r>
        <w:t xml:space="preserve"> </w:t>
      </w:r>
      <w:hyperlink r:id="rId204">
        <w:r>
          <w:rPr>
            <w:rStyle w:val="Hyperlink"/>
          </w:rPr>
          <w:t xml:space="preserve">https://payequity.gov.on.ca/the-gender-wage-gap-its-more-than-you-think/</w:t>
        </w:r>
      </w:hyperlink>
      <w:r>
        <w:t xml:space="preserve">.</w:t>
      </w:r>
    </w:p>
    <w:bookmarkEnd w:id="205"/>
    <w:bookmarkStart w:id="207" w:name="ref-city_of_portland_20minute_2010"/>
    <w:p>
      <w:pPr>
        <w:pStyle w:val="Bibliography"/>
      </w:pPr>
      <w:r>
        <w:t xml:space="preserve">Portland, City of. 2010.</w:t>
      </w:r>
      <w:r>
        <w:t xml:space="preserve"> </w:t>
      </w:r>
      <w:r>
        <w:t xml:space="preserve">“20-</w:t>
      </w:r>
      <w:r>
        <w:t xml:space="preserve">Minute</w:t>
      </w:r>
      <w:r>
        <w:t xml:space="preserve"> </w:t>
      </w:r>
      <w:r>
        <w:t xml:space="preserve">Neighborhoods</w:t>
      </w:r>
      <w:r>
        <w:t xml:space="preserve">.”</w:t>
      </w:r>
      <w:r>
        <w:t xml:space="preserve"> </w:t>
      </w:r>
      <w:r>
        <w:rPr>
          <w:iCs/>
          <w:i/>
        </w:rPr>
        <w:t xml:space="preserve">Portland Plan</w:t>
      </w:r>
      <w:r>
        <w:t xml:space="preserve">.</w:t>
      </w:r>
      <w:r>
        <w:t xml:space="preserve"> </w:t>
      </w:r>
      <w:hyperlink r:id="rId206">
        <w:r>
          <w:rPr>
            <w:rStyle w:val="Hyperlink"/>
          </w:rPr>
          <w:t xml:space="preserve">https://www.portlandonline.com/portlandplan/index.cfm?c=52256&amp;a=288098</w:t>
        </w:r>
      </w:hyperlink>
      <w:r>
        <w:t xml:space="preserve">.</w:t>
      </w:r>
    </w:p>
    <w:bookmarkEnd w:id="207"/>
    <w:bookmarkStart w:id="209" w:name="ref-randallGISBasedLand2015"/>
    <w:p>
      <w:pPr>
        <w:pStyle w:val="Bibliography"/>
      </w:pPr>
      <w:r>
        <w:t xml:space="preserve">Randall, Todd A, and Brian W Baetz. 2015.</w:t>
      </w:r>
      <w:r>
        <w:t xml:space="preserve"> </w:t>
      </w:r>
      <w:r>
        <w:t xml:space="preserve">“A</w:t>
      </w:r>
      <w:r>
        <w:t xml:space="preserve"> </w:t>
      </w:r>
      <w:r>
        <w:t xml:space="preserve">&lt;</w:t>
      </w:r>
      <w:r>
        <w:t xml:space="preserve">Span Style="font-Variant:small-Caps;"</w:t>
      </w:r>
      <w:r>
        <w:t xml:space="preserve">&gt;</w:t>
      </w:r>
      <w:r>
        <w:t xml:space="preserve">GIS</w:t>
      </w:r>
      <w:r>
        <w:t xml:space="preserve">&lt;</w:t>
      </w:r>
      <w:r>
        <w:t xml:space="preserve">/Span</w:t>
      </w:r>
      <w:r>
        <w:t xml:space="preserve">&gt;</w:t>
      </w:r>
      <w:r>
        <w:t xml:space="preserve"> </w:t>
      </w:r>
      <w:r>
        <w:t xml:space="preserve">‐Based Land‐use Diversity Index Model to Measure the Degree of Suburban Sprawl.”</w:t>
      </w:r>
      <w:r>
        <w:t xml:space="preserve"> </w:t>
      </w:r>
      <w:r>
        <w:rPr>
          <w:iCs/>
          <w:i/>
        </w:rPr>
        <w:t xml:space="preserve">Area</w:t>
      </w:r>
      <w:r>
        <w:t xml:space="preserve"> </w:t>
      </w:r>
      <w:r>
        <w:t xml:space="preserve">47 (4): 360–75.</w:t>
      </w:r>
      <w:r>
        <w:t xml:space="preserve"> </w:t>
      </w:r>
      <w:hyperlink r:id="rId208">
        <w:r>
          <w:rPr>
            <w:rStyle w:val="Hyperlink"/>
          </w:rPr>
          <w:t xml:space="preserve">https://doi.org/10.1111/area.12182</w:t>
        </w:r>
      </w:hyperlink>
      <w:r>
        <w:t xml:space="preserve">.</w:t>
      </w:r>
    </w:p>
    <w:bookmarkEnd w:id="209"/>
    <w:bookmarkStart w:id="211" w:name="X5de1ff5f3c1aca101fb121e2db7d1b1331c751e"/>
    <w:p>
      <w:pPr>
        <w:pStyle w:val="Bibliography"/>
      </w:pPr>
      <w:r>
        <w:t xml:space="preserve">Ravensbergen, Léa, Ron Buliung, and Stephanie Sersli. 2020.</w:t>
      </w:r>
      <w:r>
        <w:t xml:space="preserve"> </w:t>
      </w:r>
      <w:r>
        <w:t xml:space="preserve">“Vélomobilities of Care in a Low-Cycling City.”</w:t>
      </w:r>
      <w:r>
        <w:t xml:space="preserve"> </w:t>
      </w:r>
      <w:r>
        <w:t xml:space="preserve">Journal Article.</w:t>
      </w:r>
      <w:r>
        <w:t xml:space="preserve"> </w:t>
      </w:r>
      <w:r>
        <w:rPr>
          <w:iCs/>
          <w:i/>
        </w:rPr>
        <w:t xml:space="preserve">Transportation Research Part A: Policy and Practice</w:t>
      </w:r>
      <w:r>
        <w:t xml:space="preserve"> </w:t>
      </w:r>
      <w:r>
        <w:t xml:space="preserve">134: 336–47.</w:t>
      </w:r>
      <w:r>
        <w:t xml:space="preserve"> </w:t>
      </w:r>
      <w:hyperlink r:id="rId210">
        <w:r>
          <w:rPr>
            <w:rStyle w:val="Hyperlink"/>
          </w:rPr>
          <w:t xml:space="preserve">https://doi.org/10.1016/j.tra.2020.02.014</w:t>
        </w:r>
      </w:hyperlink>
      <w:r>
        <w:t xml:space="preserve">.</w:t>
      </w:r>
    </w:p>
    <w:bookmarkEnd w:id="211"/>
    <w:bookmarkStart w:id="212" w:name="ref-ravensbergen2023exploratory"/>
    <w:p>
      <w:pPr>
        <w:pStyle w:val="Bibliography"/>
      </w:pPr>
      <w:r>
        <w:t xml:space="preserve">Ravensbergen, Léa, Juliette Fournier, and Ahmed El-Geneidy. 2023.</w:t>
      </w:r>
      <w:r>
        <w:t xml:space="preserve"> </w:t>
      </w:r>
      <w:r>
        <w:t xml:space="preserve">“Exploratory Analysis of Mobility of Care in Montreal, Canada.”</w:t>
      </w:r>
      <w:r>
        <w:t xml:space="preserve"> </w:t>
      </w:r>
      <w:r>
        <w:rPr>
          <w:iCs/>
          <w:i/>
        </w:rPr>
        <w:t xml:space="preserve">Transportation Research Record</w:t>
      </w:r>
      <w:r>
        <w:t xml:space="preserve"> </w:t>
      </w:r>
      <w:r>
        <w:t xml:space="preserve">2677 (1): 1499–509.</w:t>
      </w:r>
    </w:p>
    <w:bookmarkEnd w:id="212"/>
    <w:bookmarkStart w:id="214" w:name="ref-royalbankofcanadaRBCBranchABM2023"/>
    <w:p>
      <w:pPr>
        <w:pStyle w:val="Bibliography"/>
      </w:pPr>
      <w:r>
        <w:t xml:space="preserve">RBC. 2023.</w:t>
      </w:r>
      <w:r>
        <w:t xml:space="preserve"> </w:t>
      </w:r>
      <w:r>
        <w:t xml:space="preserve">“Royal Bank of Canada (RBC) - Branch and ABM Locator.”</w:t>
      </w:r>
      <w:r>
        <w:t xml:space="preserve"> </w:t>
      </w:r>
      <w:r>
        <w:t xml:space="preserve">Web Page.</w:t>
      </w:r>
      <w:r>
        <w:t xml:space="preserve"> </w:t>
      </w:r>
      <w:hyperlink r:id="rId213">
        <w:r>
          <w:rPr>
            <w:rStyle w:val="Hyperlink"/>
          </w:rPr>
          <w:t xml:space="preserve">https://maps.rbc.com/rbcbank/</w:t>
        </w:r>
      </w:hyperlink>
      <w:r>
        <w:t xml:space="preserve">.</w:t>
      </w:r>
    </w:p>
    <w:bookmarkEnd w:id="214"/>
    <w:bookmarkStart w:id="216" w:name="ref-ritschardSequenceAnalysisRelated2018"/>
    <w:p>
      <w:pPr>
        <w:pStyle w:val="Bibliography"/>
      </w:pPr>
      <w:r>
        <w:t xml:space="preserve">Ritschard, Gilbert, and Matthias Studer, eds. 2018.</w:t>
      </w:r>
      <w:r>
        <w:t xml:space="preserve"> </w:t>
      </w:r>
      <w:r>
        <w:rPr>
          <w:iCs/>
          <w:i/>
        </w:rPr>
        <w:t xml:space="preserve">Sequence Analysis and Related Approaches: Innovative Methods and Applications</w:t>
      </w:r>
      <w:r>
        <w:t xml:space="preserve">. Vol. 10. Life Course Research and Social Policies. Cham: Springer International Publishing.</w:t>
      </w:r>
      <w:r>
        <w:t xml:space="preserve"> </w:t>
      </w:r>
      <w:hyperlink r:id="rId215">
        <w:r>
          <w:rPr>
            <w:rStyle w:val="Hyperlink"/>
          </w:rPr>
          <w:t xml:space="preserve">https://doi.org/10.1007/978-3-319-95420-2</w:t>
        </w:r>
      </w:hyperlink>
      <w:r>
        <w:t xml:space="preserve">.</w:t>
      </w:r>
    </w:p>
    <w:bookmarkEnd w:id="216"/>
    <w:bookmarkStart w:id="217" w:name="X9656c649d9fc7c89e397022ac606c2c9f0b3f60"/>
    <w:p>
      <w:pPr>
        <w:pStyle w:val="Bibliography"/>
      </w:pPr>
      <w:r>
        <w:t xml:space="preserve">Sánchez de Madariaga, Inés. 2013.</w:t>
      </w:r>
      <w:r>
        <w:t xml:space="preserve"> </w:t>
      </w:r>
      <w:r>
        <w:t xml:space="preserve">“Mobility of Care: Introducing New Concepts in Urban Transport.”</w:t>
      </w:r>
      <w:r>
        <w:t xml:space="preserve"> </w:t>
      </w:r>
      <w:r>
        <w:t xml:space="preserve">Book Section. In</w:t>
      </w:r>
      <w:r>
        <w:t xml:space="preserve"> </w:t>
      </w:r>
      <w:r>
        <w:rPr>
          <w:iCs/>
          <w:i/>
        </w:rPr>
        <w:t xml:space="preserve">Fair Shared Cities: The Impact of Gender Planning in Europe</w:t>
      </w:r>
      <w:r>
        <w:t xml:space="preserve">, edited by Sánchez de Madariaga I. and M. Roberts.</w:t>
      </w:r>
    </w:p>
    <w:bookmarkEnd w:id="217"/>
    <w:bookmarkStart w:id="218" w:name="X2a06c794192078d97de854c514c0581b526e532"/>
    <w:p>
      <w:pPr>
        <w:pStyle w:val="Bibliography"/>
      </w:pPr>
      <w:r>
        <w:t xml:space="preserve">Sánchez de Madariaga, Inés, and Elena Zucchini. 2019.</w:t>
      </w:r>
      <w:r>
        <w:t xml:space="preserve"> </w:t>
      </w:r>
      <w:r>
        <w:t xml:space="preserve">“Measuring Mobilities of Care, a Challenge for Transport Agendas.”</w:t>
      </w:r>
      <w:r>
        <w:t xml:space="preserve"> </w:t>
      </w:r>
      <w:r>
        <w:t xml:space="preserve">Book Section. In</w:t>
      </w:r>
      <w:r>
        <w:t xml:space="preserve"> </w:t>
      </w:r>
      <w:r>
        <w:rPr>
          <w:iCs/>
          <w:i/>
        </w:rPr>
        <w:t xml:space="preserve">Integrating Gender into Transport Planning</w:t>
      </w:r>
      <w:r>
        <w:t xml:space="preserve">, edited by T. Joelsson C. L. Scholten.</w:t>
      </w:r>
    </w:p>
    <w:bookmarkEnd w:id="218"/>
    <w:bookmarkStart w:id="219" w:name="ref-RN24"/>
    <w:p>
      <w:pPr>
        <w:pStyle w:val="Bibliography"/>
      </w:pPr>
      <w:r>
        <w:t xml:space="preserve">Scheiner, Joachim, and Christian Holz-Rau. 2012.</w:t>
      </w:r>
      <w:r>
        <w:t xml:space="preserve"> </w:t>
      </w:r>
      <w:r>
        <w:t xml:space="preserve">“Gendered Travel Mode Choice: A Focus on Car Deficient Households.”</w:t>
      </w:r>
      <w:r>
        <w:t xml:space="preserve"> </w:t>
      </w:r>
      <w:r>
        <w:t xml:space="preserve">Journal Article.</w:t>
      </w:r>
      <w:r>
        <w:t xml:space="preserve"> </w:t>
      </w:r>
      <w:r>
        <w:rPr>
          <w:iCs/>
          <w:i/>
        </w:rPr>
        <w:t xml:space="preserve">Journal of Transport Geography</w:t>
      </w:r>
      <w:r>
        <w:t xml:space="preserve"> </w:t>
      </w:r>
      <w:r>
        <w:t xml:space="preserve">24: 250–61.</w:t>
      </w:r>
    </w:p>
    <w:bookmarkEnd w:id="219"/>
    <w:bookmarkStart w:id="221" w:name="ref-scheinerWomenComplexDaily2015"/>
    <w:p>
      <w:pPr>
        <w:pStyle w:val="Bibliography"/>
      </w:pPr>
      <w:r>
        <w:t xml:space="preserve">———. 2015.</w:t>
      </w:r>
      <w:r>
        <w:t xml:space="preserve"> </w:t>
      </w:r>
      <w:r>
        <w:t xml:space="preserve">“Women’s Complex Daily Lives: A Gendered Look at Trip Chaining and Activity Pattern Entropy in Germany.”</w:t>
      </w:r>
      <w:r>
        <w:t xml:space="preserve"> </w:t>
      </w:r>
      <w:r>
        <w:t xml:space="preserve">Journal Article.</w:t>
      </w:r>
      <w:r>
        <w:t xml:space="preserve"> </w:t>
      </w:r>
      <w:r>
        <w:rPr>
          <w:iCs/>
          <w:i/>
        </w:rPr>
        <w:t xml:space="preserve">Transportation</w:t>
      </w:r>
      <w:r>
        <w:t xml:space="preserve"> </w:t>
      </w:r>
      <w:r>
        <w:t xml:space="preserve">44 (1): 117–38.</w:t>
      </w:r>
      <w:r>
        <w:t xml:space="preserve"> </w:t>
      </w:r>
      <w:hyperlink r:id="rId220">
        <w:r>
          <w:rPr>
            <w:rStyle w:val="Hyperlink"/>
          </w:rPr>
          <w:t xml:space="preserve">https://doi.org/10.1007/s11116-015-9627-9</w:t>
        </w:r>
      </w:hyperlink>
      <w:r>
        <w:t xml:space="preserve">.</w:t>
      </w:r>
    </w:p>
    <w:bookmarkEnd w:id="221"/>
    <w:bookmarkStart w:id="223" w:name="ref-schneider_transit_1981"/>
    <w:p>
      <w:pPr>
        <w:pStyle w:val="Bibliography"/>
      </w:pPr>
      <w:r>
        <w:t xml:space="preserve">Schneider, Jerry B. 1981.</w:t>
      </w:r>
      <w:r>
        <w:t xml:space="preserve"> </w:t>
      </w:r>
      <w:r>
        <w:t xml:space="preserve">“Transit and the</w:t>
      </w:r>
      <w:r>
        <w:t xml:space="preserve"> </w:t>
      </w:r>
      <w:r>
        <w:t xml:space="preserve">Polycentric</w:t>
      </w:r>
      <w:r>
        <w:t xml:space="preserve"> </w:t>
      </w:r>
      <w:r>
        <w:t xml:space="preserve">City</w:t>
      </w:r>
      <w:r>
        <w:t xml:space="preserve">.”</w:t>
      </w:r>
      <w:r>
        <w:t xml:space="preserve"> </w:t>
      </w:r>
      <w:r>
        <w:t xml:space="preserve">United {States}. {Urban} {Mass} {Transportation} {Administration} DOT-I-81-33. University of Washington. Department of Civil; Environmental Engineering.</w:t>
      </w:r>
      <w:r>
        <w:t xml:space="preserve"> </w:t>
      </w:r>
      <w:hyperlink r:id="rId222">
        <w:r>
          <w:rPr>
            <w:rStyle w:val="Hyperlink"/>
          </w:rPr>
          <w:t xml:space="preserve">https://trid.trb.org/view/177893</w:t>
        </w:r>
      </w:hyperlink>
      <w:r>
        <w:t xml:space="preserve">.</w:t>
      </w:r>
    </w:p>
    <w:bookmarkEnd w:id="223"/>
    <w:bookmarkStart w:id="225" w:name="ref-scotiabankScotiabankABMBranch2023"/>
    <w:p>
      <w:pPr>
        <w:pStyle w:val="Bibliography"/>
      </w:pPr>
      <w:r>
        <w:t xml:space="preserve">Scotiabank. 2023.</w:t>
      </w:r>
      <w:r>
        <w:t xml:space="preserve"> </w:t>
      </w:r>
      <w:r>
        <w:t xml:space="preserve">“Scotiabank ABM and Branch Locator.”</w:t>
      </w:r>
      <w:r>
        <w:t xml:space="preserve"> </w:t>
      </w:r>
      <w:r>
        <w:t xml:space="preserve">Web Page.</w:t>
      </w:r>
      <w:r>
        <w:t xml:space="preserve"> </w:t>
      </w:r>
      <w:hyperlink r:id="rId224">
        <w:r>
          <w:rPr>
            <w:rStyle w:val="Hyperlink"/>
          </w:rPr>
          <w:t xml:space="preserve">https://maps.scotiabank.com/locator/index.html</w:t>
        </w:r>
      </w:hyperlink>
      <w:r>
        <w:t xml:space="preserve">.</w:t>
      </w:r>
    </w:p>
    <w:bookmarkEnd w:id="225"/>
    <w:bookmarkStart w:id="226" w:name="ref-sersliRidingAloneTogether2020"/>
    <w:p>
      <w:pPr>
        <w:pStyle w:val="Bibliography"/>
      </w:pPr>
      <w:r>
        <w:t xml:space="preserve">Sersli, Stephanie, Maya Gislason, Nicholas Scott, and Meghan Winters. 2020.</w:t>
      </w:r>
      <w:r>
        <w:t xml:space="preserve"> </w:t>
      </w:r>
      <w:r>
        <w:t xml:space="preserve">“Riding Alone and Together: Is Mobility of Care at Odds with Mothers’ Bicycling?”</w:t>
      </w:r>
      <w:r>
        <w:t xml:space="preserve"> Journal Article.</w:t>
      </w:r>
      <w:r>
        <w:t xml:space="preserve"> </w:t>
      </w:r>
      <w:r>
        <w:rPr>
          <w:iCs/>
          <w:i/>
        </w:rPr>
        <w:t xml:space="preserve">Journal of Transport Geography</w:t>
      </w:r>
      <w:r>
        <w:t xml:space="preserve"> </w:t>
      </w:r>
      <w:r>
        <w:t xml:space="preserve">83 (C).</w:t>
      </w:r>
    </w:p>
    <w:bookmarkEnd w:id="226"/>
    <w:bookmarkStart w:id="228" w:name="X662cddf8172d12ed9e7ae3df1c60d22319ae2b1"/>
    <w:p>
      <w:pPr>
        <w:pStyle w:val="Bibliography"/>
      </w:pPr>
      <w:r>
        <w:t xml:space="preserve">Statistics Canada. 2023.</w:t>
      </w:r>
      <w:r>
        <w:t xml:space="preserve"> </w:t>
      </w:r>
      <w:r>
        <w:t xml:space="preserve">“Governement of Canada - Census of Population.”</w:t>
      </w:r>
      <w:r>
        <w:t xml:space="preserve"> </w:t>
      </w:r>
      <w:r>
        <w:t xml:space="preserve">Web Page.</w:t>
      </w:r>
      <w:r>
        <w:t xml:space="preserve"> </w:t>
      </w:r>
      <w:hyperlink r:id="rId227">
        <w:r>
          <w:rPr>
            <w:rStyle w:val="Hyperlink"/>
          </w:rPr>
          <w:t xml:space="preserve">https://www12.statcan.gc.ca/census-recensement/index-eng.cfm</w:t>
        </w:r>
      </w:hyperlink>
      <w:r>
        <w:t xml:space="preserve">.</w:t>
      </w:r>
    </w:p>
    <w:bookmarkEnd w:id="228"/>
    <w:bookmarkStart w:id="230" w:name="ref-sweet_are_2017"/>
    <w:p>
      <w:pPr>
        <w:pStyle w:val="Bibliography"/>
      </w:pPr>
      <w:r>
        <w:t xml:space="preserve">Sweet, Matthias N., Bronson Bullivant, and Pavlos S. Kanaroglou. 2017.</w:t>
      </w:r>
      <w:r>
        <w:t xml:space="preserve"> </w:t>
      </w:r>
      <w:r>
        <w:t xml:space="preserve">“Are Major Canadian City-Regions Monocentric, Polycentric, or Dispersed?”</w:t>
      </w:r>
      <w:r>
        <w:t xml:space="preserve"> </w:t>
      </w:r>
      <w:r>
        <w:rPr>
          <w:iCs/>
          <w:i/>
        </w:rPr>
        <w:t xml:space="preserve">Urban Geography</w:t>
      </w:r>
      <w:r>
        <w:t xml:space="preserve"> </w:t>
      </w:r>
      <w:r>
        <w:t xml:space="preserve">38 (3): 445–71.</w:t>
      </w:r>
      <w:r>
        <w:t xml:space="preserve"> </w:t>
      </w:r>
      <w:hyperlink r:id="rId229">
        <w:r>
          <w:rPr>
            <w:rStyle w:val="Hyperlink"/>
          </w:rPr>
          <w:t xml:space="preserve">https://doi.org/10.1080/02723638.2016.1200279</w:t>
        </w:r>
      </w:hyperlink>
      <w:r>
        <w:t xml:space="preserve">.</w:t>
      </w:r>
    </w:p>
    <w:bookmarkEnd w:id="230"/>
    <w:bookmarkStart w:id="232" w:name="X48ec43817b475dd5e0348f2bae54d4a375d98dc"/>
    <w:p>
      <w:pPr>
        <w:pStyle w:val="Bibliography"/>
      </w:pPr>
      <w:r>
        <w:t xml:space="preserve">TD Bank. 2023.</w:t>
      </w:r>
      <w:r>
        <w:t xml:space="preserve"> </w:t>
      </w:r>
      <w:r>
        <w:t xml:space="preserve">“The Toronto Dominion Bank (TD) - Bank Branch and ABM Locator.”</w:t>
      </w:r>
      <w:r>
        <w:t xml:space="preserve"> </w:t>
      </w:r>
      <w:r>
        <w:t xml:space="preserve">Web Page.</w:t>
      </w:r>
      <w:r>
        <w:t xml:space="preserve"> </w:t>
      </w:r>
      <w:hyperlink r:id="rId231">
        <w:r>
          <w:rPr>
            <w:rStyle w:val="Hyperlink"/>
          </w:rPr>
          <w:t xml:space="preserve">https://www.td.com/ca/en/personal-banking/branch-locator#/</w:t>
        </w:r>
      </w:hyperlink>
      <w:r>
        <w:t xml:space="preserve">.</w:t>
      </w:r>
    </w:p>
    <w:bookmarkEnd w:id="232"/>
    <w:bookmarkStart w:id="234" w:name="ref-tronto_toward_1990"/>
    <w:p>
      <w:pPr>
        <w:pStyle w:val="Bibliography"/>
      </w:pPr>
      <w:r>
        <w:t xml:space="preserve">Tronto, Joan C., and Berenice Fisher. 1990.</w:t>
      </w:r>
      <w:r>
        <w:t xml:space="preserve"> </w:t>
      </w:r>
      <w:r>
        <w:t xml:space="preserve">“Toward a</w:t>
      </w:r>
      <w:r>
        <w:t xml:space="preserve"> </w:t>
      </w:r>
      <w:r>
        <w:t xml:space="preserve">Feminist</w:t>
      </w:r>
      <w:r>
        <w:t xml:space="preserve"> </w:t>
      </w:r>
      <w:r>
        <w:t xml:space="preserve">Theory</w:t>
      </w:r>
      <w:r>
        <w:t xml:space="preserve"> </w:t>
      </w:r>
      <w:r>
        <w:t xml:space="preserve">of</w:t>
      </w:r>
      <w:r>
        <w:t xml:space="preserve"> </w:t>
      </w:r>
      <w:r>
        <w:t xml:space="preserve">Caring</w:t>
      </w:r>
      <w:r>
        <w:t xml:space="preserve">.”</w:t>
      </w:r>
      <w:r>
        <w:t xml:space="preserve"> </w:t>
      </w:r>
      <w:r>
        <w:t xml:space="preserve">In</w:t>
      </w:r>
      <w:r>
        <w:t xml:space="preserve"> </w:t>
      </w:r>
      <w:r>
        <w:rPr>
          <w:iCs/>
          <w:i/>
        </w:rPr>
        <w:t xml:space="preserve">Circles of</w:t>
      </w:r>
      <w:r>
        <w:rPr>
          <w:iCs/>
          <w:i/>
        </w:rPr>
        <w:t xml:space="preserve"> </w:t>
      </w:r>
      <w:r>
        <w:rPr>
          <w:iCs/>
          <w:i/>
        </w:rPr>
        <w:t xml:space="preserve">Care</w:t>
      </w:r>
      <w:r>
        <w:t xml:space="preserve">, edited by E. Abel and M. Nelson, 36–54. Albany, NY: SUNY Press.</w:t>
      </w:r>
      <w:r>
        <w:t xml:space="preserve"> </w:t>
      </w:r>
      <w:hyperlink r:id="rId233">
        <w:r>
          <w:rPr>
            <w:rStyle w:val="Hyperlink"/>
          </w:rPr>
          <w:t xml:space="preserve">https://books.google.de/books?hl=de&amp;lr=&amp;id=sAYy_oEw6NcC&amp;oi=fnd&amp;pg=PA29&amp;dq=Towards+Feminist+Theory+of+Caring&amp;ots=H93jKUsuvt&amp;sig=LeJy-oufC87O8kIfxhnRrpbqEw8#v=onepage&amp;q=Towards%20Feminist%20Theory%20of%20Caring&amp;f=false</w:t>
        </w:r>
      </w:hyperlink>
      <w:r>
        <w:t xml:space="preserve">.</w:t>
      </w:r>
    </w:p>
    <w:bookmarkEnd w:id="234"/>
    <w:bookmarkStart w:id="236" w:name="ref-greatlakesUSGS2010"/>
    <w:p>
      <w:pPr>
        <w:pStyle w:val="Bibliography"/>
      </w:pPr>
      <w:r>
        <w:t xml:space="preserve">USGS. 2010.</w:t>
      </w:r>
      <w:r>
        <w:t xml:space="preserve"> </w:t>
      </w:r>
      <w:r>
        <w:t xml:space="preserve">“Great Lakes and Watersheds Shapefiles.”</w:t>
      </w:r>
      <w:r>
        <w:t xml:space="preserve"> </w:t>
      </w:r>
      <w:hyperlink r:id="rId235">
        <w:r>
          <w:rPr>
            <w:rStyle w:val="Hyperlink"/>
          </w:rPr>
          <w:t xml:space="preserve">https://www.sciencebase.gov/catalog/item/530f8a0ee4b0e7e46bd300dd</w:t>
        </w:r>
      </w:hyperlink>
      <w:r>
        <w:t xml:space="preserve">.</w:t>
      </w:r>
    </w:p>
    <w:bookmarkEnd w:id="236"/>
    <w:bookmarkStart w:id="237" w:name="ref-vale2023accessibility"/>
    <w:p>
      <w:pPr>
        <w:pStyle w:val="Bibliography"/>
      </w:pPr>
      <w:r>
        <w:t xml:space="preserve">Vale, David, and André Soares Lopes. 2023.</w:t>
      </w:r>
      <w:r>
        <w:t xml:space="preserve"> </w:t>
      </w:r>
      <w:r>
        <w:t xml:space="preserve">“Accessibility Inequality Across Europe: A Comparison of 15-Minute Pedestrian Accessibility in Cities with 100,000 or More Inhabitants.”</w:t>
      </w:r>
      <w:r>
        <w:t xml:space="preserve"> </w:t>
      </w:r>
      <w:r>
        <w:rPr>
          <w:iCs/>
          <w:i/>
        </w:rPr>
        <w:t xml:space="preserve">Npj Urban Sustainability</w:t>
      </w:r>
      <w:r>
        <w:t xml:space="preserve"> </w:t>
      </w:r>
      <w:r>
        <w:t xml:space="preserve">3 (1): 55.</w:t>
      </w:r>
    </w:p>
    <w:bookmarkEnd w:id="237"/>
    <w:bookmarkStart w:id="238" w:name="ref-RN25"/>
    <w:p>
      <w:pPr>
        <w:pStyle w:val="Bibliography"/>
      </w:pPr>
      <w:r>
        <w:t xml:space="preserve">Vance, Colin, and Rich Iovanna. 2007.</w:t>
      </w:r>
      <w:r>
        <w:t xml:space="preserve"> </w:t>
      </w:r>
      <w:r>
        <w:t xml:space="preserve">“Gender and the Automobile: Analysis of Nonwork Service Trips.”</w:t>
      </w:r>
      <w:r>
        <w:t xml:space="preserve"> </w:t>
      </w:r>
      <w:r>
        <w:t xml:space="preserve">Journal Article.</w:t>
      </w:r>
      <w:r>
        <w:t xml:space="preserve"> </w:t>
      </w:r>
      <w:r>
        <w:rPr>
          <w:iCs/>
          <w:i/>
        </w:rPr>
        <w:t xml:space="preserve">Transportation Research Record</w:t>
      </w:r>
      <w:r>
        <w:t xml:space="preserve"> </w:t>
      </w:r>
      <w:r>
        <w:t xml:space="preserve">2013 (1): 54–61.</w:t>
      </w:r>
    </w:p>
    <w:bookmarkEnd w:id="238"/>
    <w:bookmarkStart w:id="240" w:name="ref-victorianoTimeSpaceMoney2020"/>
    <w:p>
      <w:pPr>
        <w:pStyle w:val="Bibliography"/>
      </w:pPr>
      <w:r>
        <w:t xml:space="preserve">Victoriano, Rodrigo, Antonio Paez, and Juan-Antonio Carrasco. 2020.</w:t>
      </w:r>
      <w:r>
        <w:t xml:space="preserve"> </w:t>
      </w:r>
      <w:r>
        <w:t xml:space="preserve">“Time, Space, Money, and Social Interaction: Using Machine Learning to Classify People’s Mobility Strategies Through Four Key Dimensions.”</w:t>
      </w:r>
      <w:r>
        <w:t xml:space="preserve"> </w:t>
      </w:r>
      <w:r>
        <w:rPr>
          <w:iCs/>
          <w:i/>
        </w:rPr>
        <w:t xml:space="preserve">Travel Behaviour and Society</w:t>
      </w:r>
      <w:r>
        <w:t xml:space="preserve"> </w:t>
      </w:r>
      <w:r>
        <w:t xml:space="preserve">20 (July): 1–11.</w:t>
      </w:r>
      <w:r>
        <w:t xml:space="preserve"> </w:t>
      </w:r>
      <w:hyperlink r:id="rId239">
        <w:r>
          <w:rPr>
            <w:rStyle w:val="Hyperlink"/>
          </w:rPr>
          <w:t xml:space="preserve">https://doi.org/10.1016/j.tbs.2020.02.004</w:t>
        </w:r>
      </w:hyperlink>
      <w:r>
        <w:t xml:space="preserve">.</w:t>
      </w:r>
    </w:p>
    <w:bookmarkEnd w:id="240"/>
    <w:bookmarkStart w:id="242" w:name="ref-RN30"/>
    <w:p>
      <w:pPr>
        <w:pStyle w:val="Bibliography"/>
      </w:pPr>
      <w:r>
        <w:t xml:space="preserve">Wheatley, Dan. 2013.</w:t>
      </w:r>
      <w:r>
        <w:t xml:space="preserve"> </w:t>
      </w:r>
      <w:r>
        <w:t xml:space="preserve">“Location, Vocation, Location? Spatial Entrapment Among Women in Dual Career Households.”</w:t>
      </w:r>
      <w:r>
        <w:t xml:space="preserve"> </w:t>
      </w:r>
      <w:r>
        <w:t xml:space="preserve">Journal Article.</w:t>
      </w:r>
      <w:r>
        <w:t xml:space="preserve"> </w:t>
      </w:r>
      <w:r>
        <w:rPr>
          <w:iCs/>
          <w:i/>
        </w:rPr>
        <w:t xml:space="preserve">Gender, Work &amp; Organization</w:t>
      </w:r>
      <w:r>
        <w:t xml:space="preserve"> </w:t>
      </w:r>
      <w:r>
        <w:t xml:space="preserve">20 (6): 720–36. https://doi.org/</w:t>
      </w:r>
      <w:hyperlink r:id="rId241">
        <w:r>
          <w:rPr>
            <w:rStyle w:val="Hyperlink"/>
          </w:rPr>
          <w:t xml:space="preserve">https://doi.org/10.1111/gwao.12005</w:t>
        </w:r>
      </w:hyperlink>
      <w:r>
        <w:t xml:space="preserve">.</w:t>
      </w:r>
    </w:p>
    <w:bookmarkEnd w:id="242"/>
    <w:bookmarkStart w:id="243" w:name="ref-whittaker1972evolution"/>
    <w:p>
      <w:pPr>
        <w:pStyle w:val="Bibliography"/>
      </w:pPr>
      <w:r>
        <w:t xml:space="preserve">Whittaker, Robert H. 1972.</w:t>
      </w:r>
      <w:r>
        <w:t xml:space="preserve"> </w:t>
      </w:r>
      <w:r>
        <w:t xml:space="preserve">“Evolution and Measurement of Species Diversity.”</w:t>
      </w:r>
      <w:r>
        <w:t xml:space="preserve"> </w:t>
      </w:r>
      <w:r>
        <w:rPr>
          <w:iCs/>
          <w:i/>
        </w:rPr>
        <w:t xml:space="preserve">Taxon</w:t>
      </w:r>
      <w:r>
        <w:t xml:space="preserve"> </w:t>
      </w:r>
      <w:r>
        <w:t xml:space="preserve">21 (2-3): 213–51.</w:t>
      </w:r>
    </w:p>
    <w:bookmarkEnd w:id="243"/>
    <w:bookmarkStart w:id="245" w:name="ref-RN16"/>
    <w:p>
      <w:pPr>
        <w:pStyle w:val="Bibliography"/>
      </w:pPr>
      <w:r>
        <w:t xml:space="preserve">Widener, Michael J., Steven Farber, Tijs Neutens, and Mark Horner. 2015.</w:t>
      </w:r>
      <w:r>
        <w:t xml:space="preserve"> </w:t>
      </w:r>
      <w:r>
        <w:t xml:space="preserve">“Spatiotemporal Accessibility to Supermarkets Using Public Transit: An Interaction Potential Approach in Cincinnati, Ohio.”</w:t>
      </w:r>
      <w:r>
        <w:t xml:space="preserve"> </w:t>
      </w:r>
      <w:r>
        <w:t xml:space="preserve">Journal Article.</w:t>
      </w:r>
      <w:r>
        <w:t xml:space="preserve"> </w:t>
      </w:r>
      <w:r>
        <w:rPr>
          <w:iCs/>
          <w:i/>
        </w:rPr>
        <w:t xml:space="preserve">Journal of Transport Geography</w:t>
      </w:r>
      <w:r>
        <w:t xml:space="preserve"> </w:t>
      </w:r>
      <w:r>
        <w:t xml:space="preserve">42: 72–83. https://doi.org/</w:t>
      </w:r>
      <w:hyperlink r:id="rId244">
        <w:r>
          <w:rPr>
            <w:rStyle w:val="Hyperlink"/>
          </w:rPr>
          <w:t xml:space="preserve">https://doi.org/10.1016/j.jtrangeo.2014.11.004</w:t>
        </w:r>
      </w:hyperlink>
      <w:r>
        <w:t xml:space="preserve">.</w:t>
      </w:r>
    </w:p>
    <w:bookmarkEnd w:id="245"/>
    <w:bookmarkStart w:id="246" w:name="ref-RN17"/>
    <w:p>
      <w:pPr>
        <w:pStyle w:val="Bibliography"/>
      </w:pPr>
      <w:r>
        <w:t xml:space="preserve">Widener, Michael J, Leia Minaker, Steven Farber, Jeff Allen, Brigitte Vitali, Paul C Coleman, and Brian Cook. 2017.</w:t>
      </w:r>
      <w:r>
        <w:t xml:space="preserve"> </w:t>
      </w:r>
      <w:r>
        <w:t xml:space="preserve">“How Do Changes in the Daily Food and Transportation Environments Affect Grocery Store Accessibility?”</w:t>
      </w:r>
      <w:r>
        <w:t xml:space="preserve"> Journal Article.</w:t>
      </w:r>
      <w:r>
        <w:t xml:space="preserve"> </w:t>
      </w:r>
      <w:r>
        <w:rPr>
          <w:iCs/>
          <w:i/>
        </w:rPr>
        <w:t xml:space="preserve">Applied Geography</w:t>
      </w:r>
      <w:r>
        <w:t xml:space="preserve"> </w:t>
      </w:r>
      <w:r>
        <w:t xml:space="preserve">83: 46–62.</w:t>
      </w:r>
    </w:p>
    <w:bookmarkEnd w:id="246"/>
    <w:bookmarkStart w:id="248" w:name="X34ecf2838a21833bbc9ccdc037df68a2f2f903f"/>
    <w:p>
      <w:pPr>
        <w:pStyle w:val="Bibliography"/>
      </w:pPr>
      <w:r>
        <w:t xml:space="preserve">Yin, Zijuan, Yan Zheng, and Wenquan Li. 2024.</w:t>
      </w:r>
      <w:r>
        <w:t xml:space="preserve"> </w:t>
      </w:r>
      <w:r>
        <w:t xml:space="preserve">“Incorporating Facility Diversity into Measuring Accessibility to Transit: A Case Study in Beijing.”</w:t>
      </w:r>
      <w:r>
        <w:t xml:space="preserve"> </w:t>
      </w:r>
      <w:r>
        <w:rPr>
          <w:iCs/>
          <w:i/>
        </w:rPr>
        <w:t xml:space="preserve">Journal of Urban Planning and Development</w:t>
      </w:r>
      <w:r>
        <w:t xml:space="preserve"> </w:t>
      </w:r>
      <w:r>
        <w:t xml:space="preserve">150 (3): 05024018.</w:t>
      </w:r>
      <w:r>
        <w:t xml:space="preserve"> </w:t>
      </w:r>
      <w:hyperlink r:id="rId247">
        <w:r>
          <w:rPr>
            <w:rStyle w:val="Hyperlink"/>
          </w:rPr>
          <w:t xml:space="preserve">https://doi.org/10.1061/JUPDDM.UPENG-4935</w:t>
        </w:r>
      </w:hyperlink>
      <w:r>
        <w:t xml:space="preserve">.</w:t>
      </w:r>
    </w:p>
    <w:bookmarkEnd w:id="248"/>
    <w:bookmarkStart w:id="250" w:name="ref-RN8"/>
    <w:p>
      <w:pPr>
        <w:pStyle w:val="Bibliography"/>
      </w:pPr>
      <w:r>
        <w:t xml:space="preserve">Yu, Chia-Yuan, and Xuemei Zhu. 2016.</w:t>
      </w:r>
      <w:r>
        <w:t xml:space="preserve"> </w:t>
      </w:r>
      <w:r>
        <w:t xml:space="preserve">“From Attitude to Action: What Shapes Attitude Toward Walking to/from School and How Does It Influence Actual Behaviors?”</w:t>
      </w:r>
      <w:r>
        <w:t xml:space="preserve"> Journal Article.</w:t>
      </w:r>
      <w:r>
        <w:t xml:space="preserve"> </w:t>
      </w:r>
      <w:r>
        <w:rPr>
          <w:iCs/>
          <w:i/>
        </w:rPr>
        <w:t xml:space="preserve">Preventive Medicine</w:t>
      </w:r>
      <w:r>
        <w:t xml:space="preserve"> </w:t>
      </w:r>
      <w:r>
        <w:t xml:space="preserve">90: 72–78. https://doi.org/</w:t>
      </w:r>
      <w:hyperlink r:id="rId249">
        <w:r>
          <w:rPr>
            <w:rStyle w:val="Hyperlink"/>
          </w:rPr>
          <w:t xml:space="preserve">https://doi.org/10.1016/j.ypmed.2016.06.036</w:t>
        </w:r>
      </w:hyperlink>
      <w:r>
        <w:t xml:space="preserve">.</w:t>
      </w:r>
    </w:p>
    <w:bookmarkEnd w:id="250"/>
    <w:bookmarkEnd w:id="251"/>
    <w:bookmarkEnd w:id="252"/>
    <w:bookmarkStart w:id="257" w:name="appendix"/>
    <w:p>
      <w:pPr>
        <w:pStyle w:val="Heading1"/>
      </w:pPr>
      <w:r>
        <w:t xml:space="preserve">Appendix</w:t>
      </w:r>
    </w:p>
    <w:tbl>
      <w:tblPr>
        <w:tblStyle w:val="Table"/>
        <w:tblW w:type="pct" w:w="5000"/>
        <w:tblLook w:firstRow="0" w:lastRow="0" w:firstColumn="0" w:lastColumn="0" w:noHBand="0" w:noVBand="0" w:val="0000"/>
        <w:jc w:val="start"/>
        <w:tblLayout w:type="fixed"/>
      </w:tblPr>
      <w:tblGrid>
        <w:gridCol w:w="7920"/>
      </w:tblGrid>
      <w:tr>
        <w:tc>
          <w:tcPr/>
          <w:bookmarkStart w:id="256" w:name="fig-Fig10"/>
          <w:p>
            <w:pPr>
              <w:pStyle w:val="Compact"/>
              <w:jc w:val="center"/>
            </w:pPr>
            <w:r>
              <w:drawing>
                <wp:inline>
                  <wp:extent cx="5334000" cy="5334000"/>
                  <wp:effectExtent b="0" l="0" r="0" t="0"/>
                  <wp:docPr descr="" title="" id="254" name="Picture"/>
                  <a:graphic>
                    <a:graphicData uri="http://schemas.openxmlformats.org/drawingml/2006/picture">
                      <pic:pic>
                        <pic:nvPicPr>
                          <pic:cNvPr descr="../figures/all_cats_bivariate_entropy_copp_plot.png" id="255" name="Picture"/>
                          <pic:cNvPicPr>
                            <a:picLocks noChangeArrowheads="1" noChangeAspect="1"/>
                          </pic:cNvPicPr>
                        </pic:nvPicPr>
                        <pic:blipFill>
                          <a:blip r:embed="rId25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 bivariate map of the cumulative opportuninities map (aggregated per category at DA) and the diversity measure. Amenity diverse = diviersity index above the region median. Caring/Complete = accessibility value above the region median. The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56"/>
        </w:tc>
      </w:tr>
    </w:tbl>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astasia" w:date="2024-05-16T15:00:00Z">
    <w:p>
      <w:pPr>
        <w:pStyle w:val="CommentText"/>
      </w:pPr>
      <w:r>
        <w:rPr>
          <w:rStyle w:val="CommentReference"/>
          <w:annotationRef/>
        </w:rPr>
      </w:r>
      <w:r>
        <w:t xml:space="preserve">TO ADD: some good feminist 15 minute cities. It’s novel but movements exists in the Canadian context i.e., https://x.com/brenttoderian/status/1800371515877384527?s=48&amp;t=QI0WSvV_FDb82ZGeLdJ9lQ. Also discuss Barcelona and Bogota (care blocks)</w:t>
      </w:r>
    </w:p>
  </w:comment>
  <w:comment w:id="0" w:author="Anastasia" w:date="2024-05-16T15:00:00Z">
    <w:p>
      <w:pPr>
        <w:pStyle w:val="CommentText"/>
      </w:pPr>
      <w:r>
        <w:rPr>
          <w:rStyle w:val="CommentReference"/>
          <w:annotationRef/>
        </w:rPr>
      </w:r>
      <w:r>
        <w:t xml:space="preserve">NOTE TO SELF: And so what? Is this a research gap?</w:t>
      </w:r>
    </w:p>
  </w:comment>
  <w:comment w:id="0" w:author="Anastasia" w:date="2024-05-16T15:00:00Z">
    <w:p>
      <w:pPr>
        <w:pStyle w:val="CommentText"/>
      </w:pPr>
      <w:r>
        <w:rPr>
          <w:rStyle w:val="CommentReference"/>
          <w:annotationRef/>
        </w:rPr>
      </w:r>
      <w:r>
        <w:t xml:space="preserve">TO ADD: Replace the following three paragrapgs with a more elaborated discussion on walking as the primary mode for 15-min cities and how it overlaps with mobility of care.</w:t>
      </w:r>
    </w:p>
  </w:comment>
  <w:comment w:id="0" w:author="Anastasia" w:date="2024-05-16T15:00:00Z">
    <w:p>
      <w:pPr>
        <w:pStyle w:val="CommentText"/>
      </w:pPr>
      <w:r>
        <w:rPr>
          <w:rStyle w:val="CommentReference"/>
          <w:annotationRef/>
        </w:rPr>
      </w:r>
      <w:r>
        <w:t xml:space="preserve">TO ADD: add summary statistics</w:t>
      </w:r>
    </w:p>
  </w:comment>
  <w:comment w:id="0" w:author="Anastasia" w:date="2024-05-16T15:00:00Z">
    <w:p>
      <w:pPr>
        <w:pStyle w:val="CommentText"/>
      </w:pPr>
      <w:r>
        <w:rPr>
          <w:rStyle w:val="CommentReference"/>
          <w:annotationRef/>
        </w:rPr>
      </w:r>
      <w:r>
        <w:t xml:space="preserve">(TO ADD: The escarpment line)</w:t>
      </w:r>
    </w:p>
  </w:comment>
  <w:comment w:id="0" w:author="Anastasia" w:date="2024-05-16T15:00:00Z">
    <w:p>
      <w:pPr>
        <w:pStyle w:val="CommentText"/>
      </w:pPr>
      <w:r>
        <w:rPr>
          <w:rStyle w:val="CommentReference"/>
          <w:annotationRef/>
        </w:rPr>
      </w:r>
      <w:r>
        <w:t xml:space="preserve">AN IDEA DISCUSSED: Overall, in</w:t>
      </w:r>
      <w:r>
        <w:t xml:space="preserve"> </w:t>
      </w:r>
      <w:hyperlink w:anchor="fig-Fig8">
        <w:r>
          <w:rPr>
            <w:rStyle w:val="Hyperlink"/>
          </w:rPr>
          <w:t xml:space="preserve">Figure 8</w:t>
        </w:r>
      </w:hyperlink>
      <w:r>
        <w:t xml:space="preserve"> </w:t>
      </w:r>
      <w:r>
        <w:t xml:space="preserve">there are many pockets of good/great care accessibility+diversity of opportunities Hamilton. These are objectively caring neighbourhoods. However, people may subjectively disagree…</w:t>
      </w:r>
    </w:p>
  </w:comment>
  <w:comment w:id="0" w:author="Anastasia" w:date="2024-05-16T15:00:00Z">
    <w:p>
      <w:pPr>
        <w:pStyle w:val="CommentText"/>
      </w:pPr>
      <w:r>
        <w:rPr>
          <w:rStyle w:val="CommentReference"/>
          <w:annotationRef/>
        </w:rPr>
      </w:r>
      <w:r>
        <w:t xml:space="preserve">IDEAS DISCUSSED: regarding</w:t>
      </w:r>
      <w:r>
        <w:t xml:space="preserve"> </w:t>
      </w:r>
      <w:hyperlink w:anchor="fig-Fig9">
        <w:r>
          <w:rPr>
            <w:rStyle w:val="Hyperlink"/>
          </w:rPr>
          <w:t xml:space="preserve">Figure 9</w:t>
        </w:r>
      </w:hyperlink>
      <w:r>
        <w:t xml:space="preserve"> </w:t>
      </w:r>
      <w:r>
        <w:t xml:space="preserve">- 1) We know that highest accessibility &amp; complete is downtown. But people there have fewer children + lowest income are downtown. On the horizon as rent increases, the most precarious may be pushed out and replaced by people who can pay higher rents. 2) The lowest accessibility &amp; most incomplete are suburban – they are likely higher income. Interesting to note: one-parent families are more likely to be time poor – and leaving in low access/incomplete suburbs puts more at risk. We know a think or 2 about single parents and jobs – access to jobs was high where single parents were not. (Catherine, farber Paez paper). 3) Pockets of the suburbs have high access to care. The suburbs do something – they have care amenities.</w:t>
      </w:r>
    </w:p>
  </w:comment>
  <w:comment w:id="0" w:author="Anastasia" w:date="2024-05-16T15:00:00Z">
    <w:p>
      <w:pPr>
        <w:pStyle w:val="CommentText"/>
      </w:pPr>
      <w:r>
        <w:rPr>
          <w:rStyle w:val="CommentReference"/>
          <w:annotationRef/>
        </w:rPr>
      </w:r>
      <w:r>
        <w:t xml:space="preserve">IDEAS DISCUSSED: regarding</w:t>
      </w:r>
      <w:r>
        <w:t xml:space="preserve"> </w:t>
      </w:r>
      <w:hyperlink w:anchor="fig-Fig9">
        <w:r>
          <w:rPr>
            <w:rStyle w:val="Hyperlink"/>
          </w:rPr>
          <w:t xml:space="preserve">Figure 9</w:t>
        </w:r>
      </w:hyperlink>
      <w:r>
        <w:t xml:space="preserve"> </w:t>
      </w:r>
      <w:r>
        <w:t xml:space="preserve">- 2) The lowest accessibility &amp; most incomplete are suburban – they are likely higher income. Interesting to note: one-parent families are more likely to be time poor – and leaving in low access/incomplete suburbs puts more at risk. We know a think or 2 about single parents and jobs – access to jobs was high where single parents were not. (Catherine, farber Paez paper).</w:t>
      </w:r>
    </w:p>
  </w:comment>
  <w:comment w:id="0" w:author="Anastasia" w:date="2024-05-16T15:00:00Z">
    <w:p>
      <w:pPr>
        <w:pStyle w:val="CommentText"/>
      </w:pPr>
      <w:r>
        <w:rPr>
          <w:rStyle w:val="CommentReference"/>
          <w:annotationRef/>
        </w:rPr>
      </w:r>
      <w:r>
        <w:t xml:space="preserve">IDEAS DISCUSSED: regarding</w:t>
      </w:r>
      <w:r>
        <w:t xml:space="preserve"> </w:t>
      </w:r>
      <w:hyperlink w:anchor="fig-Fig9">
        <w:r>
          <w:rPr>
            <w:rStyle w:val="Hyperlink"/>
          </w:rPr>
          <w:t xml:space="preserve">Figure 9</w:t>
        </w:r>
      </w:hyperlink>
      <w:r>
        <w:t xml:space="preserve"> </w:t>
      </w:r>
      <w:r>
        <w:t xml:space="preserve">- 3) Pockets of the suburbs have high access to care. The suburbs do something – they have care amenities.</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253" Target="media/rId253.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141" Target="http://mitpress.mit.edu/9780262580557/" TargetMode="External" /><Relationship Type="http://schemas.openxmlformats.org/officeDocument/2006/relationships/hyperlink" Id="rId156" Target="https://books.google.de/books/about/Gender_Planning_and_the_Policy_Process.html?id=h1y0AAAAIAAJ&amp;redir_esc=y" TargetMode="External" /><Relationship Type="http://schemas.openxmlformats.org/officeDocument/2006/relationships/hyperlink" Id="rId145" Target="https://books.google.de/books?hl=de&amp;lr=&amp;id=St_6kWcPJS8C&amp;oi=fnd&amp;pg=PT25&amp;ots=8IZZkZu4cf&amp;sig=W1cAH6vLmc8SUYRgLvUUz3zfHWs&amp;redir_esc=y#v=onepage&amp;q&amp;f=false" TargetMode="External" /><Relationship Type="http://schemas.openxmlformats.org/officeDocument/2006/relationships/hyperlink" Id="rId233"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106" Target="https://books.google.de/books?id=lGxoAAAAIAAJ" TargetMode="External" /><Relationship Type="http://schemas.openxmlformats.org/officeDocument/2006/relationships/hyperlink" Id="rId71" Target="https://branchlocator.bmo.com/index.html" TargetMode="External" /><Relationship Type="http://schemas.openxmlformats.org/officeDocument/2006/relationships/hyperlink" Id="rId194" Target="https://data.ontario.ca/" TargetMode="External" /><Relationship Type="http://schemas.openxmlformats.org/officeDocument/2006/relationships/hyperlink" Id="rId215" Target="https://doi.org/10.1007/978-3-319-95420-2" TargetMode="External" /><Relationship Type="http://schemas.openxmlformats.org/officeDocument/2006/relationships/hyperlink" Id="rId220" Target="https://doi.org/10.1007/s11116-015-9627-9" TargetMode="External" /><Relationship Type="http://schemas.openxmlformats.org/officeDocument/2006/relationships/hyperlink" Id="rId165" Target="https://doi.org/10.1007/s11116-019-09974-w" TargetMode="External" /><Relationship Type="http://schemas.openxmlformats.org/officeDocument/2006/relationships/hyperlink" Id="rId117" Target="https://doi.org/10.1016/B978-0-08-102295-5.10415-9" TargetMode="External" /><Relationship Type="http://schemas.openxmlformats.org/officeDocument/2006/relationships/hyperlink" Id="rId87" Target="https://doi.org/10.1016/S0016-7185(99)00048-2" TargetMode="External" /><Relationship Type="http://schemas.openxmlformats.org/officeDocument/2006/relationships/hyperlink" Id="rId100" Target="https://doi.org/10.1016/j.amepre.2004.11.001" TargetMode="External" /><Relationship Type="http://schemas.openxmlformats.org/officeDocument/2006/relationships/hyperlink" Id="rId85" Target="https://doi.org/10.1016/j.cities.2018.02.003" TargetMode="External" /><Relationship Type="http://schemas.openxmlformats.org/officeDocument/2006/relationships/hyperlink" Id="rId180" Target="https://doi.org/10.1016/j.jenvp.2010.04.005" TargetMode="External" /><Relationship Type="http://schemas.openxmlformats.org/officeDocument/2006/relationships/hyperlink" Id="rId178" Target="https://doi.org/10.1016/j.jth.2023.101668" TargetMode="External" /><Relationship Type="http://schemas.openxmlformats.org/officeDocument/2006/relationships/hyperlink" Id="rId198" Target="https://doi.org/10.1016/j.jtrangeo.2012.03.016" TargetMode="External" /><Relationship Type="http://schemas.openxmlformats.org/officeDocument/2006/relationships/hyperlink" Id="rId75" Target="https://doi.org/10.1016/j.jtrangeo.2012.08.017" TargetMode="External" /><Relationship Type="http://schemas.openxmlformats.org/officeDocument/2006/relationships/hyperlink" Id="rId77" Target="https://doi.org/10.1016/j.jtrangeo.2013.03.005" TargetMode="External" /><Relationship Type="http://schemas.openxmlformats.org/officeDocument/2006/relationships/hyperlink" Id="rId244" Target="https://doi.org/10.1016/j.jtrangeo.2014.11.004" TargetMode="External" /><Relationship Type="http://schemas.openxmlformats.org/officeDocument/2006/relationships/hyperlink" Id="rId186" Target="https://doi.org/10.1016/j.jtrangeo.2021.103160" TargetMode="External" /><Relationship Type="http://schemas.openxmlformats.org/officeDocument/2006/relationships/hyperlink" Id="rId104" Target="https://doi.org/10.1016/j.jtrangeo.2022.103301" TargetMode="External" /><Relationship Type="http://schemas.openxmlformats.org/officeDocument/2006/relationships/hyperlink" Id="rId239" Target="https://doi.org/10.1016/j.tbs.2020.02.004" TargetMode="External" /><Relationship Type="http://schemas.openxmlformats.org/officeDocument/2006/relationships/hyperlink" Id="rId210" Target="https://doi.org/10.1016/j.tra.2020.02.014" TargetMode="External" /><Relationship Type="http://schemas.openxmlformats.org/officeDocument/2006/relationships/hyperlink" Id="rId135" Target="https://doi.org/10.1016/j.trd.2020.102319" TargetMode="External" /><Relationship Type="http://schemas.openxmlformats.org/officeDocument/2006/relationships/hyperlink" Id="rId94" Target="https://doi.org/10.1016/j.trd.2020.102461" TargetMode="External" /><Relationship Type="http://schemas.openxmlformats.org/officeDocument/2006/relationships/hyperlink" Id="rId102" Target="https://doi.org/10.1016/j.trpro.2021.12.049" TargetMode="External" /><Relationship Type="http://schemas.openxmlformats.org/officeDocument/2006/relationships/hyperlink" Id="rId249" Target="https://doi.org/10.1016/j.ypmed.2016.06.036" TargetMode="External" /><Relationship Type="http://schemas.openxmlformats.org/officeDocument/2006/relationships/hyperlink" Id="rId159" Target="https://doi.org/10.1016/j.ypmed.2016.08.042" TargetMode="External" /><Relationship Type="http://schemas.openxmlformats.org/officeDocument/2006/relationships/hyperlink" Id="rId188" Target="https://doi.org/10.1016/j.ypmed.2018.10.016" TargetMode="External" /><Relationship Type="http://schemas.openxmlformats.org/officeDocument/2006/relationships/hyperlink" Id="rId247" Target="https://doi.org/10.1061/JUPDDM.UPENG-4935" TargetMode="External" /><Relationship Type="http://schemas.openxmlformats.org/officeDocument/2006/relationships/hyperlink" Id="rId133" Target="https://doi.org/10.1068/a291175" TargetMode="External" /><Relationship Type="http://schemas.openxmlformats.org/officeDocument/2006/relationships/hyperlink" Id="rId96" Target="https://doi.org/10.1080/01944361003766766" TargetMode="External" /><Relationship Type="http://schemas.openxmlformats.org/officeDocument/2006/relationships/hyperlink" Id="rId200" Target="https://doi.org/10.1080/02723638.2013.778600" TargetMode="External" /><Relationship Type="http://schemas.openxmlformats.org/officeDocument/2006/relationships/hyperlink" Id="rId229" Target="https://doi.org/10.1080/02723638.2016.1200279" TargetMode="External" /><Relationship Type="http://schemas.openxmlformats.org/officeDocument/2006/relationships/hyperlink" Id="rId137" Target="https://doi.org/10.1080/09663690903498225" TargetMode="External" /><Relationship Type="http://schemas.openxmlformats.org/officeDocument/2006/relationships/hyperlink" Id="rId115" Target="https://doi.org/10.1080/13668803.2016.1202194" TargetMode="External" /><Relationship Type="http://schemas.openxmlformats.org/officeDocument/2006/relationships/hyperlink" Id="rId170" Target="https://doi.org/10.1080/17450101.2013.844950" TargetMode="External" /><Relationship Type="http://schemas.openxmlformats.org/officeDocument/2006/relationships/hyperlink" Id="rId184" Target="https://doi.org/10.1080/17549175.2014.990916" TargetMode="External" /><Relationship Type="http://schemas.openxmlformats.org/officeDocument/2006/relationships/hyperlink" Id="rId208" Target="https://doi.org/10.1111/area.12182" TargetMode="External" /><Relationship Type="http://schemas.openxmlformats.org/officeDocument/2006/relationships/hyperlink" Id="rId241" Target="https://doi.org/10.1111/gwao.12005" TargetMode="External" /><Relationship Type="http://schemas.openxmlformats.org/officeDocument/2006/relationships/hyperlink" Id="rId190" Target="https://doi.org/10.1177/0739456x04270244" TargetMode="External" /><Relationship Type="http://schemas.openxmlformats.org/officeDocument/2006/relationships/hyperlink" Id="rId151" Target="https://doi.org/10.1191/030913299666161864" TargetMode="External" /><Relationship Type="http://schemas.openxmlformats.org/officeDocument/2006/relationships/hyperlink" Id="rId113" Target="https://doi.org/10.1371/journal.pone.0250080" TargetMode="External" /><Relationship Type="http://schemas.openxmlformats.org/officeDocument/2006/relationships/hyperlink" Id="rId161" Target="https://doi.org/10.18055/Finis16035" TargetMode="External" /><Relationship Type="http://schemas.openxmlformats.org/officeDocument/2006/relationships/hyperlink" Id="rId139" Target="https://doi.org/10.2747/0272-3638.9.2.180" TargetMode="External" /><Relationship Type="http://schemas.openxmlformats.org/officeDocument/2006/relationships/hyperlink" Id="rId176" Target="https://doi.org/10.3390/smartcities4010006" TargetMode="External" /><Relationship Type="http://schemas.openxmlformats.org/officeDocument/2006/relationships/hyperlink" Id="rId172" Target="https://doi.org/10.3390/su13147908" TargetMode="External" /><Relationship Type="http://schemas.openxmlformats.org/officeDocument/2006/relationships/hyperlink" Id="rId192" Target="https://efis.fma.csc.gov.on.ca/faab/Section%2023.htm" TargetMode="External" /><Relationship Type="http://schemas.openxmlformats.org/officeDocument/2006/relationships/hyperlink" Id="rId91" Target="https://eige.europa.eu/sites/default/files/documents/ti_pubpdf_mh0216898enn_pdfweb_20170124124440.pdf" TargetMode="External" /><Relationship Type="http://schemas.openxmlformats.org/officeDocument/2006/relationships/hyperlink" Id="rId79" Target="https://equalpaycoalition.org/myths-about-the-gap/" TargetMode="External" /><Relationship Type="http://schemas.openxmlformats.org/officeDocument/2006/relationships/hyperlink" Id="rId163" Target="https://frw.studenttheses.ub.rug.nl/3996/" TargetMode="External" /><Relationship Type="http://schemas.openxmlformats.org/officeDocument/2006/relationships/hyperlink" Id="rId196" Target="https://geohub.lio.gov.on.ca/datasets/ministry-of-health-service-provider-locations/explore?showTable=true" TargetMode="External" /><Relationship Type="http://schemas.openxmlformats.org/officeDocument/2006/relationships/hyperlink" Id="rId182" Target="https://locator.nbc.ca/?=&amp;referrerPageUrl=https%3A%2F%2Fwww.google.com%2F&amp;query=&amp;facetFilters=%7B%7D&amp;filters=%7B%7D" TargetMode="External" /><Relationship Type="http://schemas.openxmlformats.org/officeDocument/2006/relationships/hyperlink" Id="rId213" Target="https://maps.rbc.com/rbcbank/" TargetMode="External" /><Relationship Type="http://schemas.openxmlformats.org/officeDocument/2006/relationships/hyperlink" Id="rId224" Target="https://maps.scotiabank.com/locator/index.html" TargetMode="External" /><Relationship Type="http://schemas.openxmlformats.org/officeDocument/2006/relationships/hyperlink" Id="rId131" Target="https://open.hamilton.ca/" TargetMode="External" /><Relationship Type="http://schemas.openxmlformats.org/officeDocument/2006/relationships/hyperlink" Id="rId125" Target="https://open.hamilton.ca/datasets/272667665de646768db14e9fa1676405_11/explore?location=43.278136%2C-79.921850%2C11.65" TargetMode="External" /><Relationship Type="http://schemas.openxmlformats.org/officeDocument/2006/relationships/hyperlink" Id="rId123" Target="https://open.hamilton.ca/datasets/4f1b554e743b423f9574e7a3ca814cce_6/explore?location=43.273379%2C-79.919100%2C11.87&amp;showTable=true" TargetMode="External" /><Relationship Type="http://schemas.openxmlformats.org/officeDocument/2006/relationships/hyperlink" Id="rId121" Target="https://open.hamilton.ca/datasets/67a54ea25d944cf7b66750ba57da822c_1/explore?location=43.259483%2C-79.917850%2C11.81" TargetMode="External" /><Relationship Type="http://schemas.openxmlformats.org/officeDocument/2006/relationships/hyperlink" Id="rId119" Target="https://open.hamilton.ca/datasets/cccae6f029334927856da6e20a50561f_19/explore" TargetMode="External" /><Relationship Type="http://schemas.openxmlformats.org/officeDocument/2006/relationships/hyperlink" Id="rId129" Target="https://open.hamilton.ca/datasets/dd522e1245b1461887d998c6c17edff7_13/explore?location=43.099541%2C-79.560176%2C9.73" TargetMode="External" /><Relationship Type="http://schemas.openxmlformats.org/officeDocument/2006/relationships/hyperlink" Id="rId83" Target="https://participons.ottawa.ca/nouveau-plan-officiel/news_feed/quartier-du-quart-d-heure" TargetMode="External" /><Relationship Type="http://schemas.openxmlformats.org/officeDocument/2006/relationships/hyperlink" Id="rId204" Target="https://payequity.gov.on.ca/the-gender-wage-gap-its-more-than-you-think/" TargetMode="External" /><Relationship Type="http://schemas.openxmlformats.org/officeDocument/2006/relationships/hyperlink" Id="rId81"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222" Target="https://trid.trb.org/view/177893" TargetMode="External" /><Relationship Type="http://schemas.openxmlformats.org/officeDocument/2006/relationships/hyperlink" Id="rId149" Target="https://webapps.ilo.org/wcmsp5/groups/public/---dgreports/---dcomm/---publ/documents/publication/wcms_633135.pdf" TargetMode="External" /><Relationship Type="http://schemas.openxmlformats.org/officeDocument/2006/relationships/hyperlink" Id="rId73" Target="https://www.canadapost-postescanada.ca/information/app/fpo/personal/findpostoffice" TargetMode="External" /><Relationship Type="http://schemas.openxmlformats.org/officeDocument/2006/relationships/hyperlink" Id="rId69" Target="https://www.data-axle.com/our-data/" TargetMode="External" /><Relationship Type="http://schemas.openxmlformats.org/officeDocument/2006/relationships/hyperlink" Id="rId127" Target="https://www.hamilton.ca/people-programs/early-years-child-care/child-care-services/child-care-registry" TargetMode="External" /><Relationship Type="http://schemas.openxmlformats.org/officeDocument/2006/relationships/hyperlink" Id="rId143" Target="https://www.hnhbhealthline.ca/listServices.aspx?id=10072&amp;region=Hamilton" TargetMode="External" /><Relationship Type="http://schemas.openxmlformats.org/officeDocument/2006/relationships/hyperlink" Id="rId147" Target="https://www.hsbc.ca/branch-locator/" TargetMode="External" /><Relationship Type="http://schemas.openxmlformats.org/officeDocument/2006/relationships/hyperlink" Id="rId167" Target="https://www.jstor.org/stable/26622423" TargetMode="External" /><Relationship Type="http://schemas.openxmlformats.org/officeDocument/2006/relationships/hyperlink" Id="rId202" Target="https://www.paris.fr/dossiers/paris-ville-du-quart-d-heure-ou-le-pari-de-la-proximite-37" TargetMode="External" /><Relationship Type="http://schemas.openxmlformats.org/officeDocument/2006/relationships/hyperlink" Id="rId206" Target="https://www.portlandonline.com/portlandplan/index.cfm?c=52256&amp;a=288098" TargetMode="External" /><Relationship Type="http://schemas.openxmlformats.org/officeDocument/2006/relationships/hyperlink" Id="rId235" Target="https://www.sciencebase.gov/catalog/item/530f8a0ee4b0e7e46bd300dd" TargetMode="External" /><Relationship Type="http://schemas.openxmlformats.org/officeDocument/2006/relationships/hyperlink" Id="rId108" Target="https://www.statcan.gc.ca/o1/en/plus/4555-gender-equality-week-examining-intersectional-gender-wage-gap-canada" TargetMode="External" /><Relationship Type="http://schemas.openxmlformats.org/officeDocument/2006/relationships/hyperlink" Id="rId110" Target="https://www.statcan.gc.ca/o1/en/plus/4823-women-labour-market-increased-potential-pay-and-participation" TargetMode="External" /><Relationship Type="http://schemas.openxmlformats.org/officeDocument/2006/relationships/hyperlink" Id="rId231" Target="https://www.td.com/ca/en/personal-banking/branch-locator#/" TargetMode="External" /><Relationship Type="http://schemas.openxmlformats.org/officeDocument/2006/relationships/hyperlink" Id="rId227" Target="https://www12.statcan.gc.ca/census-recensement/index-eng.cfm" TargetMode="External" /><Relationship Type="http://schemas.openxmlformats.org/officeDocument/2006/relationships/hyperlink" Id="rId89" Target="https://www150.statcan.gc.ca/n1/pub/45-20-0002/452000022023002-eng.htm" TargetMode="External" /></Relationships>
</file>

<file path=word/_rels/footnotes.xml.rels><?xml version="1.0" encoding="UTF-8"?><Relationships xmlns="http://schemas.openxmlformats.org/package/2006/relationships"><Relationship Type="http://schemas.openxmlformats.org/officeDocument/2006/relationships/hyperlink" Id="rId141" Target="http://mitpress.mit.edu/9780262580557/" TargetMode="External" /><Relationship Type="http://schemas.openxmlformats.org/officeDocument/2006/relationships/hyperlink" Id="rId156" Target="https://books.google.de/books/about/Gender_Planning_and_the_Policy_Process.html?id=h1y0AAAAIAAJ&amp;redir_esc=y" TargetMode="External" /><Relationship Type="http://schemas.openxmlformats.org/officeDocument/2006/relationships/hyperlink" Id="rId145" Target="https://books.google.de/books?hl=de&amp;lr=&amp;id=St_6kWcPJS8C&amp;oi=fnd&amp;pg=PT25&amp;ots=8IZZkZu4cf&amp;sig=W1cAH6vLmc8SUYRgLvUUz3zfHWs&amp;redir_esc=y#v=onepage&amp;q&amp;f=false" TargetMode="External" /><Relationship Type="http://schemas.openxmlformats.org/officeDocument/2006/relationships/hyperlink" Id="rId233"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106" Target="https://books.google.de/books?id=lGxoAAAAIAAJ" TargetMode="External" /><Relationship Type="http://schemas.openxmlformats.org/officeDocument/2006/relationships/hyperlink" Id="rId71" Target="https://branchlocator.bmo.com/index.html" TargetMode="External" /><Relationship Type="http://schemas.openxmlformats.org/officeDocument/2006/relationships/hyperlink" Id="rId194" Target="https://data.ontario.ca/" TargetMode="External" /><Relationship Type="http://schemas.openxmlformats.org/officeDocument/2006/relationships/hyperlink" Id="rId215" Target="https://doi.org/10.1007/978-3-319-95420-2" TargetMode="External" /><Relationship Type="http://schemas.openxmlformats.org/officeDocument/2006/relationships/hyperlink" Id="rId220" Target="https://doi.org/10.1007/s11116-015-9627-9" TargetMode="External" /><Relationship Type="http://schemas.openxmlformats.org/officeDocument/2006/relationships/hyperlink" Id="rId165" Target="https://doi.org/10.1007/s11116-019-09974-w" TargetMode="External" /><Relationship Type="http://schemas.openxmlformats.org/officeDocument/2006/relationships/hyperlink" Id="rId117" Target="https://doi.org/10.1016/B978-0-08-102295-5.10415-9" TargetMode="External" /><Relationship Type="http://schemas.openxmlformats.org/officeDocument/2006/relationships/hyperlink" Id="rId87" Target="https://doi.org/10.1016/S0016-7185(99)00048-2" TargetMode="External" /><Relationship Type="http://schemas.openxmlformats.org/officeDocument/2006/relationships/hyperlink" Id="rId100" Target="https://doi.org/10.1016/j.amepre.2004.11.001" TargetMode="External" /><Relationship Type="http://schemas.openxmlformats.org/officeDocument/2006/relationships/hyperlink" Id="rId85" Target="https://doi.org/10.1016/j.cities.2018.02.003" TargetMode="External" /><Relationship Type="http://schemas.openxmlformats.org/officeDocument/2006/relationships/hyperlink" Id="rId180" Target="https://doi.org/10.1016/j.jenvp.2010.04.005" TargetMode="External" /><Relationship Type="http://schemas.openxmlformats.org/officeDocument/2006/relationships/hyperlink" Id="rId178" Target="https://doi.org/10.1016/j.jth.2023.101668" TargetMode="External" /><Relationship Type="http://schemas.openxmlformats.org/officeDocument/2006/relationships/hyperlink" Id="rId198" Target="https://doi.org/10.1016/j.jtrangeo.2012.03.016" TargetMode="External" /><Relationship Type="http://schemas.openxmlformats.org/officeDocument/2006/relationships/hyperlink" Id="rId75" Target="https://doi.org/10.1016/j.jtrangeo.2012.08.017" TargetMode="External" /><Relationship Type="http://schemas.openxmlformats.org/officeDocument/2006/relationships/hyperlink" Id="rId77" Target="https://doi.org/10.1016/j.jtrangeo.2013.03.005" TargetMode="External" /><Relationship Type="http://schemas.openxmlformats.org/officeDocument/2006/relationships/hyperlink" Id="rId244" Target="https://doi.org/10.1016/j.jtrangeo.2014.11.004" TargetMode="External" /><Relationship Type="http://schemas.openxmlformats.org/officeDocument/2006/relationships/hyperlink" Id="rId186" Target="https://doi.org/10.1016/j.jtrangeo.2021.103160" TargetMode="External" /><Relationship Type="http://schemas.openxmlformats.org/officeDocument/2006/relationships/hyperlink" Id="rId104" Target="https://doi.org/10.1016/j.jtrangeo.2022.103301" TargetMode="External" /><Relationship Type="http://schemas.openxmlformats.org/officeDocument/2006/relationships/hyperlink" Id="rId239" Target="https://doi.org/10.1016/j.tbs.2020.02.004" TargetMode="External" /><Relationship Type="http://schemas.openxmlformats.org/officeDocument/2006/relationships/hyperlink" Id="rId210" Target="https://doi.org/10.1016/j.tra.2020.02.014" TargetMode="External" /><Relationship Type="http://schemas.openxmlformats.org/officeDocument/2006/relationships/hyperlink" Id="rId135" Target="https://doi.org/10.1016/j.trd.2020.102319" TargetMode="External" /><Relationship Type="http://schemas.openxmlformats.org/officeDocument/2006/relationships/hyperlink" Id="rId94" Target="https://doi.org/10.1016/j.trd.2020.102461" TargetMode="External" /><Relationship Type="http://schemas.openxmlformats.org/officeDocument/2006/relationships/hyperlink" Id="rId102" Target="https://doi.org/10.1016/j.trpro.2021.12.049" TargetMode="External" /><Relationship Type="http://schemas.openxmlformats.org/officeDocument/2006/relationships/hyperlink" Id="rId249" Target="https://doi.org/10.1016/j.ypmed.2016.06.036" TargetMode="External" /><Relationship Type="http://schemas.openxmlformats.org/officeDocument/2006/relationships/hyperlink" Id="rId159" Target="https://doi.org/10.1016/j.ypmed.2016.08.042" TargetMode="External" /><Relationship Type="http://schemas.openxmlformats.org/officeDocument/2006/relationships/hyperlink" Id="rId188" Target="https://doi.org/10.1016/j.ypmed.2018.10.016" TargetMode="External" /><Relationship Type="http://schemas.openxmlformats.org/officeDocument/2006/relationships/hyperlink" Id="rId247" Target="https://doi.org/10.1061/JUPDDM.UPENG-4935" TargetMode="External" /><Relationship Type="http://schemas.openxmlformats.org/officeDocument/2006/relationships/hyperlink" Id="rId133" Target="https://doi.org/10.1068/a291175" TargetMode="External" /><Relationship Type="http://schemas.openxmlformats.org/officeDocument/2006/relationships/hyperlink" Id="rId96" Target="https://doi.org/10.1080/01944361003766766" TargetMode="External" /><Relationship Type="http://schemas.openxmlformats.org/officeDocument/2006/relationships/hyperlink" Id="rId200" Target="https://doi.org/10.1080/02723638.2013.778600" TargetMode="External" /><Relationship Type="http://schemas.openxmlformats.org/officeDocument/2006/relationships/hyperlink" Id="rId229" Target="https://doi.org/10.1080/02723638.2016.1200279" TargetMode="External" /><Relationship Type="http://schemas.openxmlformats.org/officeDocument/2006/relationships/hyperlink" Id="rId137" Target="https://doi.org/10.1080/09663690903498225" TargetMode="External" /><Relationship Type="http://schemas.openxmlformats.org/officeDocument/2006/relationships/hyperlink" Id="rId115" Target="https://doi.org/10.1080/13668803.2016.1202194" TargetMode="External" /><Relationship Type="http://schemas.openxmlformats.org/officeDocument/2006/relationships/hyperlink" Id="rId170" Target="https://doi.org/10.1080/17450101.2013.844950" TargetMode="External" /><Relationship Type="http://schemas.openxmlformats.org/officeDocument/2006/relationships/hyperlink" Id="rId184" Target="https://doi.org/10.1080/17549175.2014.990916" TargetMode="External" /><Relationship Type="http://schemas.openxmlformats.org/officeDocument/2006/relationships/hyperlink" Id="rId208" Target="https://doi.org/10.1111/area.12182" TargetMode="External" /><Relationship Type="http://schemas.openxmlformats.org/officeDocument/2006/relationships/hyperlink" Id="rId241" Target="https://doi.org/10.1111/gwao.12005" TargetMode="External" /><Relationship Type="http://schemas.openxmlformats.org/officeDocument/2006/relationships/hyperlink" Id="rId190" Target="https://doi.org/10.1177/0739456x04270244" TargetMode="External" /><Relationship Type="http://schemas.openxmlformats.org/officeDocument/2006/relationships/hyperlink" Id="rId151" Target="https://doi.org/10.1191/030913299666161864" TargetMode="External" /><Relationship Type="http://schemas.openxmlformats.org/officeDocument/2006/relationships/hyperlink" Id="rId113" Target="https://doi.org/10.1371/journal.pone.0250080" TargetMode="External" /><Relationship Type="http://schemas.openxmlformats.org/officeDocument/2006/relationships/hyperlink" Id="rId161" Target="https://doi.org/10.18055/Finis16035" TargetMode="External" /><Relationship Type="http://schemas.openxmlformats.org/officeDocument/2006/relationships/hyperlink" Id="rId139" Target="https://doi.org/10.2747/0272-3638.9.2.180" TargetMode="External" /><Relationship Type="http://schemas.openxmlformats.org/officeDocument/2006/relationships/hyperlink" Id="rId176" Target="https://doi.org/10.3390/smartcities4010006" TargetMode="External" /><Relationship Type="http://schemas.openxmlformats.org/officeDocument/2006/relationships/hyperlink" Id="rId172" Target="https://doi.org/10.3390/su13147908" TargetMode="External" /><Relationship Type="http://schemas.openxmlformats.org/officeDocument/2006/relationships/hyperlink" Id="rId192" Target="https://efis.fma.csc.gov.on.ca/faab/Section%2023.htm" TargetMode="External" /><Relationship Type="http://schemas.openxmlformats.org/officeDocument/2006/relationships/hyperlink" Id="rId91" Target="https://eige.europa.eu/sites/default/files/documents/ti_pubpdf_mh0216898enn_pdfweb_20170124124440.pdf" TargetMode="External" /><Relationship Type="http://schemas.openxmlformats.org/officeDocument/2006/relationships/hyperlink" Id="rId79" Target="https://equalpaycoalition.org/myths-about-the-gap/" TargetMode="External" /><Relationship Type="http://schemas.openxmlformats.org/officeDocument/2006/relationships/hyperlink" Id="rId163" Target="https://frw.studenttheses.ub.rug.nl/3996/" TargetMode="External" /><Relationship Type="http://schemas.openxmlformats.org/officeDocument/2006/relationships/hyperlink" Id="rId196" Target="https://geohub.lio.gov.on.ca/datasets/ministry-of-health-service-provider-locations/explore?showTable=true" TargetMode="External" /><Relationship Type="http://schemas.openxmlformats.org/officeDocument/2006/relationships/hyperlink" Id="rId182" Target="https://locator.nbc.ca/?=&amp;referrerPageUrl=https%3A%2F%2Fwww.google.com%2F&amp;query=&amp;facetFilters=%7B%7D&amp;filters=%7B%7D" TargetMode="External" /><Relationship Type="http://schemas.openxmlformats.org/officeDocument/2006/relationships/hyperlink" Id="rId213" Target="https://maps.rbc.com/rbcbank/" TargetMode="External" /><Relationship Type="http://schemas.openxmlformats.org/officeDocument/2006/relationships/hyperlink" Id="rId224" Target="https://maps.scotiabank.com/locator/index.html" TargetMode="External" /><Relationship Type="http://schemas.openxmlformats.org/officeDocument/2006/relationships/hyperlink" Id="rId131" Target="https://open.hamilton.ca/" TargetMode="External" /><Relationship Type="http://schemas.openxmlformats.org/officeDocument/2006/relationships/hyperlink" Id="rId125" Target="https://open.hamilton.ca/datasets/272667665de646768db14e9fa1676405_11/explore?location=43.278136%2C-79.921850%2C11.65" TargetMode="External" /><Relationship Type="http://schemas.openxmlformats.org/officeDocument/2006/relationships/hyperlink" Id="rId123" Target="https://open.hamilton.ca/datasets/4f1b554e743b423f9574e7a3ca814cce_6/explore?location=43.273379%2C-79.919100%2C11.87&amp;showTable=true" TargetMode="External" /><Relationship Type="http://schemas.openxmlformats.org/officeDocument/2006/relationships/hyperlink" Id="rId121" Target="https://open.hamilton.ca/datasets/67a54ea25d944cf7b66750ba57da822c_1/explore?location=43.259483%2C-79.917850%2C11.81" TargetMode="External" /><Relationship Type="http://schemas.openxmlformats.org/officeDocument/2006/relationships/hyperlink" Id="rId119" Target="https://open.hamilton.ca/datasets/cccae6f029334927856da6e20a50561f_19/explore" TargetMode="External" /><Relationship Type="http://schemas.openxmlformats.org/officeDocument/2006/relationships/hyperlink" Id="rId129" Target="https://open.hamilton.ca/datasets/dd522e1245b1461887d998c6c17edff7_13/explore?location=43.099541%2C-79.560176%2C9.73" TargetMode="External" /><Relationship Type="http://schemas.openxmlformats.org/officeDocument/2006/relationships/hyperlink" Id="rId83" Target="https://participons.ottawa.ca/nouveau-plan-officiel/news_feed/quartier-du-quart-d-heure" TargetMode="External" /><Relationship Type="http://schemas.openxmlformats.org/officeDocument/2006/relationships/hyperlink" Id="rId204" Target="https://payequity.gov.on.ca/the-gender-wage-gap-its-more-than-you-think/" TargetMode="External" /><Relationship Type="http://schemas.openxmlformats.org/officeDocument/2006/relationships/hyperlink" Id="rId81"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222" Target="https://trid.trb.org/view/177893" TargetMode="External" /><Relationship Type="http://schemas.openxmlformats.org/officeDocument/2006/relationships/hyperlink" Id="rId149" Target="https://webapps.ilo.org/wcmsp5/groups/public/---dgreports/---dcomm/---publ/documents/publication/wcms_633135.pdf" TargetMode="External" /><Relationship Type="http://schemas.openxmlformats.org/officeDocument/2006/relationships/hyperlink" Id="rId73" Target="https://www.canadapost-postescanada.ca/information/app/fpo/personal/findpostoffice" TargetMode="External" /><Relationship Type="http://schemas.openxmlformats.org/officeDocument/2006/relationships/hyperlink" Id="rId69" Target="https://www.data-axle.com/our-data/" TargetMode="External" /><Relationship Type="http://schemas.openxmlformats.org/officeDocument/2006/relationships/hyperlink" Id="rId127" Target="https://www.hamilton.ca/people-programs/early-years-child-care/child-care-services/child-care-registry" TargetMode="External" /><Relationship Type="http://schemas.openxmlformats.org/officeDocument/2006/relationships/hyperlink" Id="rId143" Target="https://www.hnhbhealthline.ca/listServices.aspx?id=10072&amp;region=Hamilton" TargetMode="External" /><Relationship Type="http://schemas.openxmlformats.org/officeDocument/2006/relationships/hyperlink" Id="rId147" Target="https://www.hsbc.ca/branch-locator/" TargetMode="External" /><Relationship Type="http://schemas.openxmlformats.org/officeDocument/2006/relationships/hyperlink" Id="rId167" Target="https://www.jstor.org/stable/26622423" TargetMode="External" /><Relationship Type="http://schemas.openxmlformats.org/officeDocument/2006/relationships/hyperlink" Id="rId202" Target="https://www.paris.fr/dossiers/paris-ville-du-quart-d-heure-ou-le-pari-de-la-proximite-37" TargetMode="External" /><Relationship Type="http://schemas.openxmlformats.org/officeDocument/2006/relationships/hyperlink" Id="rId206" Target="https://www.portlandonline.com/portlandplan/index.cfm?c=52256&amp;a=288098" TargetMode="External" /><Relationship Type="http://schemas.openxmlformats.org/officeDocument/2006/relationships/hyperlink" Id="rId235" Target="https://www.sciencebase.gov/catalog/item/530f8a0ee4b0e7e46bd300dd" TargetMode="External" /><Relationship Type="http://schemas.openxmlformats.org/officeDocument/2006/relationships/hyperlink" Id="rId108" Target="https://www.statcan.gc.ca/o1/en/plus/4555-gender-equality-week-examining-intersectional-gender-wage-gap-canada" TargetMode="External" /><Relationship Type="http://schemas.openxmlformats.org/officeDocument/2006/relationships/hyperlink" Id="rId110" Target="https://www.statcan.gc.ca/o1/en/plus/4823-women-labour-market-increased-potential-pay-and-participation" TargetMode="External" /><Relationship Type="http://schemas.openxmlformats.org/officeDocument/2006/relationships/hyperlink" Id="rId231" Target="https://www.td.com/ca/en/personal-banking/branch-locator#/" TargetMode="External" /><Relationship Type="http://schemas.openxmlformats.org/officeDocument/2006/relationships/hyperlink" Id="rId227" Target="https://www12.statcan.gc.ca/census-recensement/index-eng.cfm" TargetMode="External" /><Relationship Type="http://schemas.openxmlformats.org/officeDocument/2006/relationships/hyperlink" Id="rId89" Target="https://www150.statcan.gc.ca/n1/pub/45-20-0002/452000022023002-eng.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caring 15-minute neighbourhoods</dc:title>
  <dc:creator>Anastasia Soukhov; Léa Ravensbergen; Lucía Mejía Dorantes; Antonio Páez</dc:creator>
  <cp:keywords>Accessibility, Mobility of Care, Gender, 15-minute neighbourhood, Care Complete Neighbourhoods</cp:keywords>
  <dcterms:created xsi:type="dcterms:W3CDTF">2024-07-06T15:26:20Z</dcterms:created>
  <dcterms:modified xsi:type="dcterms:W3CDTF">2024-07-06T15:26:20Z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ftExtra-cite-tbl-Tbl1">
    <vt:lpwstr>[Hamilton (2022a); Ontario (2023b); Hamilton (2023a); Hamilton (2022c); Hamilton (2022d)](Hamilton 2022d; Ontario GeoHub 2023)[Axle Data (2023)](Ontario GeoHub 2023; HNHB Healthline 2023)[Hamilton (2022b)](Axle Data 2023; Canada Post 2023)[BMO (2023); HSBC (2023); National Bank (2023); RBC (2023); Scotiabank (2023); TD Bank (2023)](Ontario 2023a)</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