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7D1041" w14:textId="77777777" w:rsidR="00F017A9" w:rsidRDefault="00000000">
      <w:pPr>
        <w:tabs>
          <w:tab w:val="right" w:pos="9900"/>
        </w:tabs>
        <w:spacing w:after="120"/>
      </w:pPr>
      <w:r>
        <w:tab/>
      </w:r>
    </w:p>
    <w:p w14:paraId="72E57277" w14:textId="77777777" w:rsidR="00F017A9" w:rsidRDefault="00000000">
      <w:pPr>
        <w:tabs>
          <w:tab w:val="right" w:pos="9900"/>
        </w:tabs>
        <w:spacing w:after="63"/>
      </w:pPr>
      <w:r>
        <w:tab/>
        <w:t>Hamilton, Ontario</w:t>
      </w:r>
    </w:p>
    <w:p w14:paraId="67652BCD" w14:textId="77777777" w:rsidR="00F017A9" w:rsidRDefault="00000000">
      <w:pPr>
        <w:tabs>
          <w:tab w:val="right" w:pos="9900"/>
        </w:tabs>
        <w:spacing w:after="63"/>
      </w:pPr>
      <w:r>
        <w:tab/>
        <w:t>September 10, 2024</w:t>
      </w:r>
    </w:p>
    <w:p w14:paraId="2F4E38F5" w14:textId="77777777" w:rsidR="00F017A9" w:rsidRDefault="00F017A9">
      <w:pPr>
        <w:tabs>
          <w:tab w:val="left" w:pos="2010"/>
        </w:tabs>
        <w:spacing w:after="120"/>
        <w:rPr>
          <w:b/>
          <w:bCs/>
        </w:rPr>
      </w:pPr>
    </w:p>
    <w:p w14:paraId="66EBCE8B" w14:textId="4F108389" w:rsidR="00F017A9" w:rsidRDefault="00000000">
      <w:pPr>
        <w:tabs>
          <w:tab w:val="left" w:pos="2010"/>
        </w:tabs>
        <w:spacing w:after="120"/>
        <w:rPr>
          <w:b/>
          <w:bCs/>
        </w:rPr>
      </w:pPr>
      <w:r>
        <w:rPr>
          <w:b/>
          <w:bCs/>
        </w:rPr>
        <w:t xml:space="preserve">REF: </w:t>
      </w:r>
      <w:r w:rsidR="000D1878">
        <w:rPr>
          <w:b/>
          <w:bCs/>
        </w:rPr>
        <w:t xml:space="preserve">A proposal for the </w:t>
      </w:r>
      <w:r>
        <w:rPr>
          <w:b/>
          <w:bCs/>
        </w:rPr>
        <w:t xml:space="preserve">Doctoral Research Workshop </w:t>
      </w:r>
      <w:r w:rsidR="000D1878">
        <w:rPr>
          <w:b/>
          <w:bCs/>
        </w:rPr>
        <w:t>(</w:t>
      </w:r>
      <w:r w:rsidR="000D1878" w:rsidRPr="000D1878">
        <w:rPr>
          <w:b/>
          <w:bCs/>
        </w:rPr>
        <w:t>Transportation Modeling and Travel Behavior Analysi</w:t>
      </w:r>
      <w:r w:rsidR="000D1878">
        <w:rPr>
          <w:b/>
          <w:bCs/>
        </w:rPr>
        <w:t xml:space="preserve">s) </w:t>
      </w:r>
      <w:r>
        <w:rPr>
          <w:b/>
          <w:bCs/>
        </w:rPr>
        <w:t>at 2025 TRB Meeting</w:t>
      </w:r>
    </w:p>
    <w:p w14:paraId="7F5F8588" w14:textId="77777777" w:rsidR="00F017A9" w:rsidRDefault="00F017A9">
      <w:pPr>
        <w:tabs>
          <w:tab w:val="left" w:pos="2010"/>
        </w:tabs>
        <w:spacing w:after="120"/>
      </w:pPr>
    </w:p>
    <w:p w14:paraId="55CF0CEA" w14:textId="25C96589" w:rsidR="000D1878" w:rsidRPr="000D1878" w:rsidRDefault="000D1878" w:rsidP="000D1878">
      <w:pPr>
        <w:tabs>
          <w:tab w:val="left" w:pos="2010"/>
        </w:tabs>
        <w:spacing w:after="120"/>
        <w:jc w:val="center"/>
        <w:rPr>
          <w:b/>
          <w:bCs/>
        </w:rPr>
      </w:pPr>
      <w:r w:rsidRPr="000D1878">
        <w:rPr>
          <w:b/>
          <w:bCs/>
        </w:rPr>
        <w:t xml:space="preserve">A </w:t>
      </w:r>
      <w:r>
        <w:rPr>
          <w:b/>
          <w:bCs/>
        </w:rPr>
        <w:t>FAMILY OF ACCESSIBILITY MEASURES</w:t>
      </w:r>
    </w:p>
    <w:p w14:paraId="7453B518" w14:textId="2A55C420" w:rsidR="000D1878" w:rsidRDefault="000D1878" w:rsidP="000D1878">
      <w:pPr>
        <w:tabs>
          <w:tab w:val="left" w:pos="2010"/>
        </w:tabs>
        <w:spacing w:after="120"/>
        <w:jc w:val="both"/>
      </w:pPr>
      <w:r w:rsidRPr="000D1878">
        <w:rPr>
          <w:b/>
          <w:bCs/>
        </w:rPr>
        <w:t>Applicant</w:t>
      </w:r>
      <w:r>
        <w:t>: Anastasia Soukhov, PhD Candidate (Transport Geography) in the School of Earth, Environment and Society at McMaster University</w:t>
      </w:r>
    </w:p>
    <w:p w14:paraId="11F620D2" w14:textId="3A48EDBF" w:rsidR="000D1878" w:rsidRDefault="000D1878" w:rsidP="000D1878">
      <w:pPr>
        <w:tabs>
          <w:tab w:val="left" w:pos="2010"/>
        </w:tabs>
        <w:spacing w:after="120"/>
        <w:jc w:val="both"/>
      </w:pPr>
      <w:r w:rsidRPr="000D1878">
        <w:rPr>
          <w:b/>
          <w:bCs/>
        </w:rPr>
        <w:t>Doctoral</w:t>
      </w:r>
      <w:r>
        <w:t xml:space="preserve"> </w:t>
      </w:r>
      <w:r w:rsidRPr="000D1878">
        <w:rPr>
          <w:b/>
          <w:bCs/>
        </w:rPr>
        <w:t>supervisor</w:t>
      </w:r>
      <w:r>
        <w:t>: Antonio Paez, full professor in the School of Earth, Environment and Society at McMaster University</w:t>
      </w:r>
    </w:p>
    <w:p w14:paraId="5DB9D287" w14:textId="2F56D82E" w:rsidR="00F017A9" w:rsidRDefault="00F017A9" w:rsidP="000D1878">
      <w:pPr>
        <w:jc w:val="both"/>
      </w:pPr>
    </w:p>
    <w:p w14:paraId="6CF3D91F" w14:textId="213269EB" w:rsidR="000D1878" w:rsidRDefault="000D1878" w:rsidP="000D1878">
      <w:pPr>
        <w:jc w:val="both"/>
      </w:pPr>
      <w:r>
        <w:t xml:space="preserve">Inquiry into people's interaction in space has been a subject of investigation for over a century. From as far back as the sentiments in </w:t>
      </w:r>
      <w:r>
        <w:fldChar w:fldCharType="begin"/>
      </w:r>
      <w:r>
        <w:instrText xml:space="preserve"> ADDIN ZOTERO_ITEM CSL_CITATION {"citationID":"3UZbfiKh","properties":{"formattedCitation":"(Carey, 1858)","plainCitation":"(Carey, 1858)","noteIndex":0},"citationItems":[{"id":28357,"uris":["http://zotero.org/users/7803452/items/5DADP8TZ"],"itemData":{"id":28357,"type":"book","event-place":"University of Michigan Library Digital Collections","publisher":"In the digital collection Making of America Books.","publisher-place":"University of Michigan Library Digital Collections","title":"Principles of social science","URL":"https://name.umdl.umich.edu/AFR1829.0001.001.","author":[{"family":"Carey","given":"Henry Charles"}],"accessed":{"date-parts":[["2024",8,8]]},"issued":{"date-parts":[["1858"]]},"citation-key":"careyPrinciplesSocialScience1858"}}],"schema":"https://github.com/citation-style-language/schema/raw/master/csl-citation.json"} </w:instrText>
      </w:r>
      <w:r>
        <w:fldChar w:fldCharType="separate"/>
      </w:r>
      <w:r w:rsidRPr="000D1878">
        <w:t>(Carey, 1858)</w:t>
      </w:r>
      <w:r>
        <w:fldChar w:fldCharType="end"/>
      </w:r>
      <w:r>
        <w:t xml:space="preserve"> on “</w:t>
      </w:r>
      <w:r w:rsidRPr="000D1878">
        <w:rPr>
          <w:i/>
          <w:iCs/>
        </w:rPr>
        <w:t>man [being] the molecule of society [and their interaction being subject to] the direct ratio of the mass and the inverse one of distance</w:t>
      </w:r>
      <w:r>
        <w:t xml:space="preserve">" [pg. 41,43], the investigation has been </w:t>
      </w:r>
      <w:proofErr w:type="spellStart"/>
      <w:r>
        <w:t>coloured</w:t>
      </w:r>
      <w:proofErr w:type="spellEnd"/>
      <w:r>
        <w:t xml:space="preserve"> by these relationships and some </w:t>
      </w:r>
      <w:r w:rsidRPr="000D1878">
        <w:rPr>
          <w:b/>
          <w:bCs/>
        </w:rPr>
        <w:t>proportionality constant</w:t>
      </w:r>
      <w:r w:rsidR="00693D66">
        <w:rPr>
          <w:b/>
          <w:bCs/>
        </w:rPr>
        <w:t>s</w:t>
      </w:r>
      <w:r>
        <w:t xml:space="preserve"> to yield </w:t>
      </w:r>
      <w:r w:rsidR="00693D66">
        <w:t xml:space="preserve">a type of </w:t>
      </w:r>
      <w:r>
        <w:t>attraction</w:t>
      </w:r>
      <w:r w:rsidR="00693D66">
        <w:t xml:space="preserve"> force</w:t>
      </w:r>
      <w:r>
        <w:t>, the features of Newton's Law of Universal Gravitation (1687).</w:t>
      </w:r>
    </w:p>
    <w:p w14:paraId="61DD7DC2" w14:textId="77777777" w:rsidR="000D1878" w:rsidRDefault="000D1878" w:rsidP="000D1878">
      <w:pPr>
        <w:jc w:val="both"/>
      </w:pPr>
    </w:p>
    <w:p w14:paraId="092E734A" w14:textId="07AFD8B2" w:rsidR="000D1878" w:rsidRDefault="000D1878" w:rsidP="000D1878">
      <w:pPr>
        <w:jc w:val="both"/>
      </w:pPr>
      <w:r>
        <w:t xml:space="preserve">Following this tradition with a focus on </w:t>
      </w:r>
      <w:r w:rsidR="00743A29" w:rsidRPr="00743A29">
        <w:rPr>
          <w:i/>
          <w:iCs/>
        </w:rPr>
        <w:t>potential</w:t>
      </w:r>
      <w:r>
        <w:t xml:space="preserve"> attraction, the concept of accessibility was defined as the </w:t>
      </w:r>
      <w:r w:rsidRPr="000D1878">
        <w:rPr>
          <w:i/>
          <w:iCs/>
        </w:rPr>
        <w:t>"potential of opportunities for interaction"</w:t>
      </w:r>
      <w:r>
        <w:t xml:space="preserve"> in </w:t>
      </w:r>
      <w:r>
        <w:fldChar w:fldCharType="begin"/>
      </w:r>
      <w:r>
        <w:instrText xml:space="preserve"> ADDIN ZOTERO_ITEM CSL_CITATION {"citationID":"dXnHzSLL","properties":{"formattedCitation":"(Hansen, 1959)","plainCitation":"(Hansen, 1959)","noteIndex":0},"citationItems":[{"id":21393,"uris":["http://zotero.org/users/7803452/items/3J3JYQNR"],"itemData":{"id":21393,"type":"article-journal","container-title":"Journal of the American Institute of Planners","DOI":"10.1080/01944365908978307","ISSN":"0002-8991","issue":"2","journalAbbreviation":"Journal of the American Institute of Planners","language":"en","page":"73-76","source":"DOI.org (Crossref)","title":"How Accessibility Shapes Land Use","volume":"25","author":[{"family":"Hansen","given":"Walter G."}],"issued":{"date-parts":[["1959",5]]},"citation-key":"hansenHowAccessibilityShapes1959"}}],"schema":"https://github.com/citation-style-language/schema/raw/master/csl-citation.json"} </w:instrText>
      </w:r>
      <w:r>
        <w:fldChar w:fldCharType="separate"/>
      </w:r>
      <w:r w:rsidRPr="000D1878">
        <w:t>(Hansen, 1959)</w:t>
      </w:r>
      <w:r>
        <w:fldChar w:fldCharType="end"/>
      </w:r>
      <w:r>
        <w:t xml:space="preserve">. The work of </w:t>
      </w:r>
      <w:r>
        <w:fldChar w:fldCharType="begin"/>
      </w:r>
      <w:r>
        <w:instrText xml:space="preserve"> ADDIN ZOTERO_ITEM CSL_CITATION {"citationID":"oV6CHSrE","properties":{"formattedCitation":"(Hansen, 1959)","plainCitation":"(Hansen, 1959)","noteIndex":0},"citationItems":[{"id":21393,"uris":["http://zotero.org/users/7803452/items/3J3JYQNR"],"itemData":{"id":21393,"type":"article-journal","container-title":"Journal of the American Institute of Planners","DOI":"10.1080/01944365908978307","ISSN":"0002-8991","issue":"2","journalAbbreviation":"Journal of the American Institute of Planners","language":"en","page":"73-76","source":"DOI.org (Crossref)","title":"How Accessibility Shapes Land Use","volume":"25","author":[{"family":"Hansen","given":"Walter G."}],"issued":{"date-parts":[["1959",5]]},"citation-key":"hansenHowAccessibilityShapes1959"}}],"schema":"https://github.com/citation-style-language/schema/raw/master/csl-citation.json"} </w:instrText>
      </w:r>
      <w:r>
        <w:fldChar w:fldCharType="separate"/>
      </w:r>
      <w:r w:rsidRPr="000D1878">
        <w:t>(Hansen, 1959)</w:t>
      </w:r>
      <w:r>
        <w:fldChar w:fldCharType="end"/>
      </w:r>
      <w:r>
        <w:t xml:space="preserve"> proved to be highly-influential, with literature demonstrating a link between Hansen-type measures (i.e., a mass term x distance function, also known as gravity-based accessibility measures) and positive population-based-, sustainability- and economic- outcomes</w:t>
      </w:r>
      <w:r w:rsidR="00693D66">
        <w:t xml:space="preserve">. </w:t>
      </w:r>
      <w:r>
        <w:t xml:space="preserve">Moreover, accessibility planning counters mobility-based planning by centering the potential for mobility, arguably the ulterior 'good' provided by transportation systems, not mobility itself. For this theoretical reason, Hansen-type measures are becoming an increasingly popular transportation planning instrument signaling that accessibility-based planning over mobility-based perspectives may be on the horizon. However, an important critique still stands in the way: the </w:t>
      </w:r>
      <w:r w:rsidR="009E0561">
        <w:t>difficulty</w:t>
      </w:r>
      <w:r>
        <w:t xml:space="preserve"> in interpreting the accessibility values themselves.</w:t>
      </w:r>
    </w:p>
    <w:p w14:paraId="5609A25E" w14:textId="77777777" w:rsidR="000D1878" w:rsidRDefault="000D1878" w:rsidP="000D1878">
      <w:pPr>
        <w:jc w:val="both"/>
      </w:pPr>
    </w:p>
    <w:p w14:paraId="4AA6CABD" w14:textId="412F7CEE" w:rsidR="000D1878" w:rsidRDefault="000D1878" w:rsidP="000D1878">
      <w:pPr>
        <w:jc w:val="both"/>
      </w:pPr>
      <w:r>
        <w:t xml:space="preserve">Notably, the Hansen-type model of today is missing a proportionality constant. </w:t>
      </w:r>
      <w:r w:rsidR="00DB67AC">
        <w:t>My</w:t>
      </w:r>
      <w:r>
        <w:t xml:space="preserve"> doctoral research hypothesizes that this omission is the source of interpretation </w:t>
      </w:r>
      <w:r w:rsidR="009E0561">
        <w:t>difficulty and</w:t>
      </w:r>
      <w:r>
        <w:t xml:space="preserve"> can be remedied by drawing from related 'gravity-based' transportation literature. Related literature includes spatial interaction models (the gravity model) </w:t>
      </w:r>
      <w:r>
        <w:fldChar w:fldCharType="begin"/>
      </w:r>
      <w:r>
        <w:instrText xml:space="preserve"> ADDIN ZOTERO_ITEM CSL_CITATION {"citationID":"wThY8cXT","properties":{"formattedCitation":"(Wilson, 1971)","plainCitation":"(Wilson, 1971)","noteIndex":0},"citationItems":[{"id":21355,"uris":["http://zotero.org/users/7803452/items/LIXG29JF"],"itemData":{"id":21355,"type":"article-journal","abstract":"This paper shows that the gravity model is not a single model but that there is a whole family of spatial interaction models. The properties of this family are outlined in some detail. Basic concepts of such models can be developed in a variety of ways, and these are illustrated. The paper then outlines a number of other theoretical developments, and is particularly concerned with the disaggregation of such models, with the incorporation of time variables, and with the relation of spatial interaction, to more general, models. Uses of spatial interaction models are outlined briefly and the final section of the paper draws a number of conclusions and presents a summary.","container-title":"Environment and Planning A: Economy and Space","DOI":"10.1068/a030001","ISSN":"0308-518X","issue":"1","journalAbbreviation":"Environ Plan A","note":"publisher: SAGE Publications Ltd","page":"1-32","source":"SAGE Journals","title":"A Family of Spatial Interaction Models, and Associated Developments","volume":"3","author":[{"family":"Wilson","given":"A G"}],"issued":{"date-parts":[["1971",3,1]]},"citation-key":"wilsonFamilySpatialInteraction1971"}}],"schema":"https://github.com/citation-style-language/schema/raw/master/csl-citation.json"} </w:instrText>
      </w:r>
      <w:r>
        <w:fldChar w:fldCharType="separate"/>
      </w:r>
      <w:r w:rsidRPr="000D1878">
        <w:t>(Wilson, 1971)</w:t>
      </w:r>
      <w:r>
        <w:fldChar w:fldCharType="end"/>
      </w:r>
      <w:r>
        <w:t xml:space="preserve"> as it also traces to the same early 20th century investigations as the accessibility concept </w:t>
      </w:r>
      <w:r>
        <w:fldChar w:fldCharType="begin"/>
      </w:r>
      <w:r>
        <w:instrText xml:space="preserve"> ADDIN ZOTERO_ITEM CSL_CITATION {"citationID":"LsfnGKjb","properties":{"formattedCitation":"(Carrothers, 1956; Grigg, 1977)","plainCitation":"(Carrothers, 1956; Grigg, 1977)","noteIndex":0},"citationItems":[{"id":28352,"uris":["http://zotero.org/users/7803452/items/KIQRZBIZ"],"itemData":{"id":28352,"type":"article-journal","container-title":"Journal of the American Institute of Planners","DOI":"10.1080/01944365608979229","ISSN":"0002-8991","issue":"2","note":"publisher: Routledge\n_eprint: https://doi.org/10.1080/01944365608979229","page":"94-102","source":"Taylor and Francis+NEJM","title":"An Historical Review of the Gravity and Potential Concepts of Human Interaction","volume":"22","author":[{"family":"Carrothers","given":"Gerald A. P."}],"issued":{"date-parts":[["1956",1,1]]},"citation-key":"carrothersHistoricalReviewGravity1956"}},{"id":28347,"uris":["http://zotero.org/users/7803452/items/A2T2XVR6"],"itemData":{"id":28347,"type":"article-journal","container-title":"Journal of Historical Geography","DOI":"10.1016/0305-7488(77)90143-8","ISSN":"03057488","issue":"1","journalAbbreviation":"Journal of Historical Geography","language":"en","license":"https://www.elsevier.com/tdm/userlicense/1.0/","page":"41-54","source":"DOI.org (Crossref)","title":"E. G. Ravenstein and the “laws of migration”","volume":"3","author":[{"family":"Grigg","given":"D.B."}],"issued":{"date-parts":[["1977",1]]},"citation-key":"griggRavensteinLawsMigration1977"}}],"schema":"https://github.com/citation-style-language/schema/raw/master/csl-citation.json"} </w:instrText>
      </w:r>
      <w:r>
        <w:fldChar w:fldCharType="separate"/>
      </w:r>
      <w:r w:rsidRPr="000D1878">
        <w:t>(Carrothers, 1956; Grigg, 1977)</w:t>
      </w:r>
      <w:r>
        <w:fldChar w:fldCharType="end"/>
      </w:r>
      <w:r>
        <w:t>. Unlike the gravity-based accessibility measure, the gravity model still carries all the features of the Newtonian analogy (i.e., proportionality constant</w:t>
      </w:r>
      <w:r w:rsidR="006E4902">
        <w:t>s as balancing factors,</w:t>
      </w:r>
      <w:r>
        <w:t xml:space="preserve"> mass term 1, mass term 2, and distance function</w:t>
      </w:r>
      <w:r w:rsidR="006E4902">
        <w:t xml:space="preserve"> </w:t>
      </w:r>
      <w:r w:rsidR="006E4902">
        <w:fldChar w:fldCharType="begin"/>
      </w:r>
      <w:r w:rsidR="006E4902">
        <w:instrText xml:space="preserve"> ADDIN ZOTERO_ITEM CSL_CITATION {"citationID":"rnAJeaxN","properties":{"formattedCitation":"(Wilson, 1971)","plainCitation":"(Wilson, 1971)","noteIndex":0},"citationItems":[{"id":21355,"uris":["http://zotero.org/users/7803452/items/LIXG29JF"],"itemData":{"id":21355,"type":"article-journal","abstract":"This paper shows that the gravity model is not a single model but that there is a whole family of spatial interaction models. The properties of this family are outlined in some detail. Basic concepts of such models can be developed in a variety of ways, and these are illustrated. The paper then outlines a number of other theoretical developments, and is particularly concerned with the disaggregation of such models, with the incorporation of time variables, and with the relation of spatial interaction, to more general, models. Uses of spatial interaction models are outlined briefly and the final section of the paper draws a number of conclusions and presents a summary.","container-title":"Environment and Planning A: Economy and Space","DOI":"10.1068/a030001","ISSN":"0308-518X","issue":"1","journalAbbreviation":"Environ Plan A","note":"publisher: SAGE Publications Ltd","page":"1-32","source":"SAGE Journals","title":"A Family of Spatial Interaction Models, and Associated Developments","volume":"3","author":[{"family":"Wilson","given":"A G"}],"issued":{"date-parts":[["1971",3,1]]},"citation-key":"wilsonFamilySpatialInteraction1971"}}],"schema":"https://github.com/citation-style-language/schema/raw/master/csl-citation.json"} </w:instrText>
      </w:r>
      <w:r w:rsidR="006E4902">
        <w:fldChar w:fldCharType="separate"/>
      </w:r>
      <w:r w:rsidR="006E4902" w:rsidRPr="006E4902">
        <w:t>(Wilson, 1971)</w:t>
      </w:r>
      <w:r w:rsidR="006E4902">
        <w:fldChar w:fldCharType="end"/>
      </w:r>
      <w:r>
        <w:t xml:space="preserve">): a proportionality constant is crucial for </w:t>
      </w:r>
      <w:r>
        <w:lastRenderedPageBreak/>
        <w:t>retaining the output as a tangible unit. For the gravity model, the output units are often the number of trips generated between an origin and destination</w:t>
      </w:r>
      <w:r w:rsidR="00DB67AC">
        <w:t xml:space="preserve"> representing </w:t>
      </w:r>
      <w:r w:rsidR="00DB67AC">
        <w:rPr>
          <w:i/>
          <w:iCs/>
        </w:rPr>
        <w:t xml:space="preserve">interaction </w:t>
      </w:r>
      <w:r w:rsidR="00DB67AC">
        <w:t>between origins and destinations</w:t>
      </w:r>
      <w:r>
        <w:t xml:space="preserve">. For accessibility, </w:t>
      </w:r>
      <w:r w:rsidR="00DB67AC">
        <w:t>my doctoral</w:t>
      </w:r>
      <w:r>
        <w:t xml:space="preserve"> research reckons the units are </w:t>
      </w:r>
      <w:r w:rsidRPr="00743A29">
        <w:rPr>
          <w:i/>
          <w:iCs/>
        </w:rPr>
        <w:t>potential interaction</w:t>
      </w:r>
      <w:r>
        <w:t xml:space="preserve">, and the output </w:t>
      </w:r>
      <w:r w:rsidR="00DB67AC">
        <w:t>is</w:t>
      </w:r>
      <w:r>
        <w:t xml:space="preserve"> the number of opportunities that can be potentially interacted with from </w:t>
      </w:r>
      <w:r w:rsidR="00DB67AC">
        <w:t>an</w:t>
      </w:r>
      <w:r>
        <w:t xml:space="preserve"> origin to all destinations.</w:t>
      </w:r>
    </w:p>
    <w:p w14:paraId="7BBC7F49" w14:textId="77777777" w:rsidR="000D1878" w:rsidRDefault="000D1878" w:rsidP="000D1878">
      <w:pPr>
        <w:jc w:val="both"/>
      </w:pPr>
    </w:p>
    <w:p w14:paraId="4B5B483F" w14:textId="63FD7F13" w:rsidR="000D1878" w:rsidRPr="00DB67AC" w:rsidRDefault="000D1878" w:rsidP="000D1878">
      <w:pPr>
        <w:jc w:val="both"/>
        <w:rPr>
          <w:lang w:val="en-CA"/>
        </w:rPr>
      </w:pPr>
      <w:r>
        <w:t xml:space="preserve">If selected, the applicant will introduce a family of accessibility measures in a similar vein as the </w:t>
      </w:r>
      <w:r w:rsidRPr="006E4902">
        <w:rPr>
          <w:i/>
          <w:iCs/>
        </w:rPr>
        <w:t>"family of spatial interaction models</w:t>
      </w:r>
      <w:r>
        <w:t xml:space="preserve">" </w:t>
      </w:r>
      <w:r w:rsidR="006E4902">
        <w:fldChar w:fldCharType="begin"/>
      </w:r>
      <w:r w:rsidR="006E4902">
        <w:instrText xml:space="preserve"> ADDIN ZOTERO_ITEM CSL_CITATION {"citationID":"1FELdkEW","properties":{"formattedCitation":"(Wilson, 1971)","plainCitation":"(Wilson, 1971)","noteIndex":0},"citationItems":[{"id":21355,"uris":["http://zotero.org/users/7803452/items/LIXG29JF"],"itemData":{"id":21355,"type":"article-journal","abstract":"This paper shows that the gravity model is not a single model but that there is a whole family of spatial interaction models. The properties of this family are outlined in some detail. Basic concepts of such models can be developed in a variety of ways, and these are illustrated. The paper then outlines a number of other theoretical developments, and is particularly concerned with the disaggregation of such models, with the incorporation of time variables, and with the relation of spatial interaction, to more general, models. Uses of spatial interaction models are outlined briefly and the final section of the paper draws a number of conclusions and presents a summary.","container-title":"Environment and Planning A: Economy and Space","DOI":"10.1068/a030001","ISSN":"0308-518X","issue":"1","journalAbbreviation":"Environ Plan A","note":"publisher: SAGE Publications Ltd","page":"1-32","source":"SAGE Journals","title":"A Family of Spatial Interaction Models, and Associated Developments","volume":"3","author":[{"family":"Wilson","given":"A G"}],"issued":{"date-parts":[["1971",3,1]]},"citation-key":"wilsonFamilySpatialInteraction1971"}}],"schema":"https://github.com/citation-style-language/schema/raw/master/csl-citation.json"} </w:instrText>
      </w:r>
      <w:r w:rsidR="006E4902">
        <w:fldChar w:fldCharType="separate"/>
      </w:r>
      <w:r w:rsidR="006E4902" w:rsidRPr="006E4902">
        <w:t>(Wilson, 1971)</w:t>
      </w:r>
      <w:r w:rsidR="006E4902">
        <w:fldChar w:fldCharType="end"/>
      </w:r>
      <w:r w:rsidR="006E4902">
        <w:t xml:space="preserve"> </w:t>
      </w:r>
      <w:r>
        <w:t>by specifying types of balancing factors, demonstrating simple synthetic examples and visualizations using data using origin-destination employment flows for Toronto, Canada. Though the research is ongoing, the applicant intends to defend this academic year</w:t>
      </w:r>
      <w:r w:rsidR="00B65BEB">
        <w:t xml:space="preserve">. Additionally, </w:t>
      </w:r>
      <w:r>
        <w:t>the empirical data for use in this work is already published as an open R data package paper</w:t>
      </w:r>
      <w:r w:rsidR="006E4902">
        <w:t xml:space="preserve"> </w:t>
      </w:r>
      <w:r w:rsidR="006E4902">
        <w:fldChar w:fldCharType="begin"/>
      </w:r>
      <w:r w:rsidR="006E4902">
        <w:instrText xml:space="preserve"> ADDIN ZOTERO_ITEM CSL_CITATION {"citationID":"ErO65DZF","properties":{"formattedCitation":"(Soukhov &amp; P\\uc0\\u225{}ez, 2023)","plainCitation":"(Soukhov &amp; Páez, 2023)","noteIndex":0},"citationItems":[{"id":27609,"uris":["http://zotero.org/users/7803452/items/ZM7DA5LU"],"itemData":{"id":27609,"type":"article-journal","abstract":"This paper describes and visualises the data contained within the {TTS2016R} data package created in R, the statistical computing and graphics language. {TTS2016R} contains home-to-work commute information for the Greater Golden Horseshoe area in Canada retrieved from the 2016 Transportation Tomorrow Survey (TTS). Included are all Traffic Analysis Zones (TAZ), the number of people who are employed full-time per TAZ, the number of jobs per TAZ, the count of origin destination (OD) pairs and trips by mode per origin TAZ, calculated car travel time from TAZ OD centroid pairs and associated spatial boundaries to link TAZ to the Canadian Census. To illustrate how this information can be analysed to understand patterns in commuting, we estimate a distance-decay curve (i.e. impedance function) for the region. {TTS2016R} is a growing open data product built on R infrastructure that allows for the immediate access of home-to-work commuting data alongside complimentary objects from different sources. The package will continue expanding with additions by the authors and the community at-large by requests in the future. {TTS2016R} can be freely explored and downloaded in the associated Github repository where the documentation and code involved in data creation, manipulation and all open data products are detailed.","container-title":"Environment and Planning B: Urban Analytics and City Science","DOI":"10.1177/23998083221146781","ISSN":"2399-8083","license":"All rights reserved","note":"publisher: SAGE Publications Ltd STM","page":"23998083221146781","source":"SAGE Journals","title":"TTS2016R: A data set to study population and employment patterns from the 2016 Transportation Tomorrow Survey in the Greater Golden Horseshoe area, Ontario, Canada","title-short":"TTS2016R","author":[{"family":"Soukhov","given":"Anastasia"},{"family":"Páez","given":"Antonio"}],"issued":{"date-parts":[["2023",1,9]]},"citation-key":"soukhovTTS2016RDataSet2023"}}],"schema":"https://github.com/citation-style-language/schema/raw/master/csl-citation.json"} </w:instrText>
      </w:r>
      <w:r w:rsidR="006E4902">
        <w:fldChar w:fldCharType="separate"/>
      </w:r>
      <w:r w:rsidR="006E4902" w:rsidRPr="006E4902">
        <w:t>(Soukhov &amp; Páez, 2023)</w:t>
      </w:r>
      <w:r w:rsidR="006E4902">
        <w:fldChar w:fldCharType="end"/>
      </w:r>
      <w:r w:rsidR="006E4902">
        <w:t xml:space="preserve">, </w:t>
      </w:r>
      <w:r>
        <w:t>and the singly-constrained and composite singly-constrained examples are fully developed with associated peer-reviewed publications</w:t>
      </w:r>
      <w:r w:rsidR="006E4902">
        <w:t xml:space="preserve"> </w:t>
      </w:r>
      <w:r w:rsidR="006E4902">
        <w:fldChar w:fldCharType="begin"/>
      </w:r>
      <w:r w:rsidR="006E4902">
        <w:instrText xml:space="preserve"> ADDIN ZOTERO_ITEM CSL_CITATION {"citationID":"JhcbaFeF","properties":{"formattedCitation":"(Paez et al., 2019; Soukhov et al., 2023, 2024)","plainCitation":"(Paez et al., 2019; Soukhov et al., 2023, 2024)","noteIndex":0},"citationItems":[{"id":281,"uris":["http://zotero.org/users/7803452/items/9J4Q6W7A"],"itemData":{"id":281,"type":"article-journal","abstract":"Floating Catchment Area (FCA) methods are a popular tool to investigate accessibility to public facilities, in particular health care services. FCA approaches are attractive because, unlike other accessibility measures, they take into account the potential for congestion of facilities. This is done by 1) considering the population within the catchment area of a facility to calculate a variable that measures level of service, and then 2) aggregating the level of service by population centers subject to catchment area constraints. In this paper we discuss an effect of FCA approaches, an artifact that we term demand and level of service inflation. These artifacts are present in previous implementations of FCA methods. We argue that inflation makes interpretation of estimates of accessibility difficult, which has possible deleterious consequences for decision making. Next, we propose a simple and intuitive approach to proportionally allocate demandand and level of service in FCA calculations. The approach is based on a standardization of the impedance matrix, similar to approaches popular in the spatial statistics and econometrics literature. The result is a more intiuitive measure of accessibility that 1) provides a local version of the provider-to-population ratio; and 2) preserves the level of demand and the level of supply in a system. We illustrate the relevant issues with some examples, and then empirically by means of a case study of accessibility to family physicians in the Hamilton Census Metropolitan Area (CMA), in Ontario, Canada. Results indicate that demand and supply inflation/deflation affect the interpretation of accessibility analysis using existing FCA methods, and that the proposed adjustment can lead to more intuitive results.","container-title":"PLOS ONE","DOI":"10.1371/journal.pone.0218773","ISSN":"1932-6203","issue":"6","journalAbbreviation":"PLoS ONE","language":"en","page":"e0218773","source":"DOI.org (Crossref)","title":"Demand and level of service inflation in Floating Catchment Area (FCA) methods","volume":"14","author":[{"family":"Paez","given":"Antonio"},{"family":"Higgins","given":"Christopher D."},{"family":"Vivona","given":"Salvatore F."}],"editor":[{"family":"Shah","given":"Tayyab Ikram"}],"issued":{"date-parts":[["2019",6,27]]},"citation-key":"paezDemandLevelService2019"}},{"id":27638,"uris":["http://zotero.org/users/7803452/items/E3Z6TWY9"],"itemData":{"id":27638,"type":"article-journal","container-title":"PLOS ONE","DOI":"https:// doi.org/10.1371/journal.pone.0278468","license":"All rights reserved","page":"1-30","title":"Introducing spatial availability, a singly-constrained measure of competitive accessibility | PLOS ONE","author":[{"family":"Soukhov","given":"Anastasia"},{"family":"Paez","given":"Antonio"},{"family":"Higgins","given":"Christopher D."},{"family":"Mohamed","given":"Moataz"}],"issued":{"date-parts":[["2023"]]},"citation-key":"soukhovIntroducingSpatialAvailability2023"}},{"id":28118,"uris":["http://zotero.org/users/7803452/items/T76A682Z"],"itemData":{"id":28118,"type":"article-journal","abstract":"Place-based accessibility measures communicate the potential interaction with opportunities at a zone that populations can access. Recent research has explored the implications of how opportunities are counted by different accessibility methods. In conventional measures, opportunities are multiply counted if more than one zone offers access to the same opportunity. This multi-count of opportunities leads to values of accessibility that are difficult to interpret. A possible solution to enhance the meaning-making of accessibility results is by constraining the calculations to match a known quantity. This ensures all zonal values sum up to a predetermined quantity (i.e., the t</w:instrText>
      </w:r>
      <w:r w:rsidR="006E4902" w:rsidRPr="00DB67AC">
        <w:rPr>
          <w:lang w:val="en-CA"/>
        </w:rPr>
        <w:instrText xml:space="preserve">otal number of opportunities). In this way, each value can be meaningfully related to this total. A recent effort that implements this solution is spatial availability, a singly-constrained accessibility measure. In this paper, we extend spatial availability for use in the case of multiple modes or more generally, heterogeneous population segments with distinct travel behaviors. After deriving a multimodal version of spatial availability, we proceed to illustrate its features using a synthetic example. We then apply it to an empirical example of low emission zones in Madrid, Spain. We conclude with suggestions for future research and its use in evaluating policy interventions.","container-title":"PLOS ONE","DOI":"10.1371/journal.pone.0299077","ISSN":"1932-6203","issue":"2","journalAbbreviation":"PLOS ONE","language":"en","license":"All rights reserved","note":"publisher: Public Library of Science","page":"e0299077","source":"PLoS Journals","title":"Multimodal spatial availability: A singly-constrained measure of accessibility considering multiple modes","title-short":"Multimodal spatial availability","volume":"19","author":[{"family":"Soukhov","given":"Anastasia"},{"family":"Tarriño-Ortiz","given":"Javier"},{"family":"Soria-Lara","given":"Julio A."},{"family":"Páez","given":"Antonio"}],"issued":{"date-parts":[["2024",2,23]]},"citation-key":"soukhovMultimodalSpatialAvailability2024"}}],"schema":"https://github.com/citation-style-language/schema/raw/master/csl-citation.json"} </w:instrText>
      </w:r>
      <w:r w:rsidR="006E4902">
        <w:fldChar w:fldCharType="separate"/>
      </w:r>
      <w:r w:rsidR="006E4902" w:rsidRPr="00DB67AC">
        <w:rPr>
          <w:lang w:val="en-CA"/>
        </w:rPr>
        <w:t>(Paez et al., 2019; Soukhov et al., 2023, 2024)</w:t>
      </w:r>
      <w:r w:rsidR="006E4902">
        <w:fldChar w:fldCharType="end"/>
      </w:r>
      <w:r w:rsidR="006E4902" w:rsidRPr="00DB67AC">
        <w:rPr>
          <w:lang w:val="en-CA"/>
        </w:rPr>
        <w:t>.</w:t>
      </w:r>
    </w:p>
    <w:p w14:paraId="662F4ACF" w14:textId="77777777" w:rsidR="000D1878" w:rsidRPr="00DB67AC" w:rsidRDefault="000D1878" w:rsidP="000D1878">
      <w:pPr>
        <w:jc w:val="both"/>
        <w:rPr>
          <w:lang w:val="en-CA"/>
        </w:rPr>
      </w:pPr>
    </w:p>
    <w:p w14:paraId="58C723B3" w14:textId="0470D1E7" w:rsidR="000D1878" w:rsidRPr="00DB67AC" w:rsidRDefault="000D1878" w:rsidP="000D1878">
      <w:pPr>
        <w:jc w:val="both"/>
        <w:rPr>
          <w:lang w:val="en-CA"/>
        </w:rPr>
      </w:pPr>
      <w:r w:rsidRPr="00DB67AC">
        <w:rPr>
          <w:lang w:val="en-CA"/>
        </w:rPr>
        <w:t>Word count: (</w:t>
      </w:r>
      <w:r w:rsidR="00743A29" w:rsidRPr="00DB67AC">
        <w:rPr>
          <w:lang w:val="en-CA"/>
        </w:rPr>
        <w:t>4</w:t>
      </w:r>
      <w:r w:rsidR="00B65BEB">
        <w:rPr>
          <w:lang w:val="en-CA"/>
        </w:rPr>
        <w:t>81</w:t>
      </w:r>
      <w:r w:rsidRPr="00DB67AC">
        <w:rPr>
          <w:lang w:val="en-CA"/>
        </w:rPr>
        <w:t>)</w:t>
      </w:r>
    </w:p>
    <w:p w14:paraId="4058CA82" w14:textId="77777777" w:rsidR="00743A29" w:rsidRPr="00DB67AC" w:rsidRDefault="00743A29" w:rsidP="000D1878">
      <w:pPr>
        <w:jc w:val="both"/>
        <w:rPr>
          <w:lang w:val="en-CA"/>
        </w:rPr>
      </w:pPr>
    </w:p>
    <w:p w14:paraId="41523B1E" w14:textId="34D6BCA2" w:rsidR="00743A29" w:rsidRPr="00DB67AC" w:rsidRDefault="00743A29" w:rsidP="00743A29">
      <w:pPr>
        <w:pStyle w:val="Bibliography"/>
        <w:rPr>
          <w:b/>
          <w:bCs/>
          <w:lang w:val="en-CA"/>
        </w:rPr>
      </w:pPr>
      <w:r w:rsidRPr="00743A29">
        <w:rPr>
          <w:b/>
          <w:bCs/>
          <w:lang w:val="en-CA"/>
        </w:rPr>
        <w:t>References</w:t>
      </w:r>
    </w:p>
    <w:p w14:paraId="3DB5006E" w14:textId="1D64DBD5" w:rsidR="00743A29" w:rsidRPr="00743A29" w:rsidRDefault="00743A29" w:rsidP="00743A29">
      <w:pPr>
        <w:pStyle w:val="Bibliography"/>
      </w:pPr>
      <w:r>
        <w:rPr>
          <w:lang w:val="fr-CA"/>
        </w:rPr>
        <w:fldChar w:fldCharType="begin"/>
      </w:r>
      <w:r w:rsidRPr="00743A29">
        <w:rPr>
          <w:lang w:val="en-CA"/>
        </w:rPr>
        <w:instrText xml:space="preserve"> ADDIN ZOTERO_BIBL {"uncited":[],"omitted":[],"custom":[]} CSL_BIBLIOGRAPHY </w:instrText>
      </w:r>
      <w:r>
        <w:rPr>
          <w:lang w:val="fr-CA"/>
        </w:rPr>
        <w:fldChar w:fldCharType="separate"/>
      </w:r>
      <w:r w:rsidRPr="00743A29">
        <w:t xml:space="preserve">Carey, H. C. (1858). </w:t>
      </w:r>
      <w:r w:rsidRPr="00743A29">
        <w:rPr>
          <w:i/>
          <w:iCs/>
        </w:rPr>
        <w:t>Principles of social science</w:t>
      </w:r>
      <w:r w:rsidRPr="00743A29">
        <w:t>. In the digital collection Making of America Books. https://name.umdl.umich.edu/AFR1829.0001.001.</w:t>
      </w:r>
    </w:p>
    <w:p w14:paraId="63DE60F6" w14:textId="77777777" w:rsidR="00743A29" w:rsidRPr="00743A29" w:rsidRDefault="00743A29" w:rsidP="00743A29">
      <w:pPr>
        <w:pStyle w:val="Bibliography"/>
      </w:pPr>
      <w:r w:rsidRPr="00743A29">
        <w:t xml:space="preserve">Carrothers, G. A. P. (1956). An Historical Review of the Gravity and Potential Concepts of Human Interaction. </w:t>
      </w:r>
      <w:r w:rsidRPr="00743A29">
        <w:rPr>
          <w:i/>
          <w:iCs/>
        </w:rPr>
        <w:t>Journal of the American Institute of Planners</w:t>
      </w:r>
      <w:r w:rsidRPr="00743A29">
        <w:t xml:space="preserve">, </w:t>
      </w:r>
      <w:r w:rsidRPr="00743A29">
        <w:rPr>
          <w:i/>
          <w:iCs/>
        </w:rPr>
        <w:t>22</w:t>
      </w:r>
      <w:r w:rsidRPr="00743A29">
        <w:t>(2), 94–102. https://doi.org/10.1080/01944365608979229</w:t>
      </w:r>
    </w:p>
    <w:p w14:paraId="653AB7DF" w14:textId="77777777" w:rsidR="00743A29" w:rsidRPr="00743A29" w:rsidRDefault="00743A29" w:rsidP="00743A29">
      <w:pPr>
        <w:pStyle w:val="Bibliography"/>
      </w:pPr>
      <w:r w:rsidRPr="00743A29">
        <w:t xml:space="preserve">Grigg, D. B. (1977). E. G. Ravenstein and the “laws of migration.” </w:t>
      </w:r>
      <w:r w:rsidRPr="00743A29">
        <w:rPr>
          <w:i/>
          <w:iCs/>
        </w:rPr>
        <w:t>Journal of Historical Geography</w:t>
      </w:r>
      <w:r w:rsidRPr="00743A29">
        <w:t xml:space="preserve">, </w:t>
      </w:r>
      <w:r w:rsidRPr="00743A29">
        <w:rPr>
          <w:i/>
          <w:iCs/>
        </w:rPr>
        <w:t>3</w:t>
      </w:r>
      <w:r w:rsidRPr="00743A29">
        <w:t>(1), 41–54. https://doi.org/10.1016/0305-7488(77)90143-8</w:t>
      </w:r>
    </w:p>
    <w:p w14:paraId="18ACE58B" w14:textId="77777777" w:rsidR="00743A29" w:rsidRPr="00743A29" w:rsidRDefault="00743A29" w:rsidP="00743A29">
      <w:pPr>
        <w:pStyle w:val="Bibliography"/>
      </w:pPr>
      <w:r w:rsidRPr="00743A29">
        <w:t xml:space="preserve">Hansen, W. G. (1959). How Accessibility Shapes Land Use. </w:t>
      </w:r>
      <w:r w:rsidRPr="00743A29">
        <w:rPr>
          <w:i/>
          <w:iCs/>
        </w:rPr>
        <w:t>Journal of the American Institute of Planners</w:t>
      </w:r>
      <w:r w:rsidRPr="00743A29">
        <w:t xml:space="preserve">, </w:t>
      </w:r>
      <w:r w:rsidRPr="00743A29">
        <w:rPr>
          <w:i/>
          <w:iCs/>
        </w:rPr>
        <w:t>25</w:t>
      </w:r>
      <w:r w:rsidRPr="00743A29">
        <w:t>(2), 73–76. https://doi.org/10.1080/01944365908978307</w:t>
      </w:r>
    </w:p>
    <w:p w14:paraId="3BEEBED1" w14:textId="77777777" w:rsidR="00743A29" w:rsidRPr="00743A29" w:rsidRDefault="00743A29" w:rsidP="00743A29">
      <w:pPr>
        <w:pStyle w:val="Bibliography"/>
      </w:pPr>
      <w:r w:rsidRPr="00743A29">
        <w:rPr>
          <w:lang w:val="fr-CA"/>
        </w:rPr>
        <w:t xml:space="preserve">Paez, A., Higgins, C. D., &amp; Vivona, S. F. (2019). </w:t>
      </w:r>
      <w:r w:rsidRPr="00743A29">
        <w:t xml:space="preserve">Demand and level of service inflation in Floating Catchment Area (FCA) methods. </w:t>
      </w:r>
      <w:r w:rsidRPr="00743A29">
        <w:rPr>
          <w:i/>
          <w:iCs/>
        </w:rPr>
        <w:t>PLOS ONE</w:t>
      </w:r>
      <w:r w:rsidRPr="00743A29">
        <w:t xml:space="preserve">, </w:t>
      </w:r>
      <w:r w:rsidRPr="00743A29">
        <w:rPr>
          <w:i/>
          <w:iCs/>
        </w:rPr>
        <w:t>14</w:t>
      </w:r>
      <w:r w:rsidRPr="00743A29">
        <w:t>(6), e0218773. https://doi.org/10.1371/journal.pone.0218773</w:t>
      </w:r>
    </w:p>
    <w:p w14:paraId="511B300A" w14:textId="77777777" w:rsidR="00743A29" w:rsidRPr="00743A29" w:rsidRDefault="00743A29" w:rsidP="00743A29">
      <w:pPr>
        <w:pStyle w:val="Bibliography"/>
      </w:pPr>
      <w:r w:rsidRPr="00743A29">
        <w:lastRenderedPageBreak/>
        <w:t xml:space="preserve">Soukhov, A., &amp; Páez, A. (2023). TTS2016R: A data set to study population and employment patterns from the 2016 Transportation Tomorrow Survey in the Greater Golden Horseshoe area, Ontario, Canada. </w:t>
      </w:r>
      <w:r w:rsidRPr="00743A29">
        <w:rPr>
          <w:i/>
          <w:iCs/>
        </w:rPr>
        <w:t>Environment and Planning B: Urban Analytics and City Science</w:t>
      </w:r>
      <w:r w:rsidRPr="00743A29">
        <w:t>, 23998083221146781. https://doi.org/10.1177/23998083221146781</w:t>
      </w:r>
    </w:p>
    <w:p w14:paraId="1B0EE0DA" w14:textId="77777777" w:rsidR="00743A29" w:rsidRPr="00743A29" w:rsidRDefault="00743A29" w:rsidP="00743A29">
      <w:pPr>
        <w:pStyle w:val="Bibliography"/>
      </w:pPr>
      <w:r w:rsidRPr="00743A29">
        <w:t xml:space="preserve">Soukhov, A., Paez, A., Higgins, C. D., &amp; Mohamed, M. (2023). Introducing spatial availability, a singly-constrained measure of competitive accessibility | PLOS ONE. </w:t>
      </w:r>
      <w:r w:rsidRPr="00743A29">
        <w:rPr>
          <w:i/>
          <w:iCs/>
        </w:rPr>
        <w:t>PLOS ONE</w:t>
      </w:r>
      <w:r w:rsidRPr="00743A29">
        <w:t>, 1–30. https:// doi.org/10.1371/journal.pone.0278468</w:t>
      </w:r>
    </w:p>
    <w:p w14:paraId="24D4D048" w14:textId="77777777" w:rsidR="00743A29" w:rsidRPr="00743A29" w:rsidRDefault="00743A29" w:rsidP="00743A29">
      <w:pPr>
        <w:pStyle w:val="Bibliography"/>
      </w:pPr>
      <w:r w:rsidRPr="00743A29">
        <w:t xml:space="preserve">Soukhov, A., Tarriño-Ortiz, J., Soria-Lara, J. A., &amp; Páez, A. (2024). Multimodal spatial availability: A singly-constrained measure of accessibility considering multiple modes. </w:t>
      </w:r>
      <w:r w:rsidRPr="00743A29">
        <w:rPr>
          <w:i/>
          <w:iCs/>
        </w:rPr>
        <w:t>PLOS ONE</w:t>
      </w:r>
      <w:r w:rsidRPr="00743A29">
        <w:t xml:space="preserve">, </w:t>
      </w:r>
      <w:r w:rsidRPr="00743A29">
        <w:rPr>
          <w:i/>
          <w:iCs/>
        </w:rPr>
        <w:t>19</w:t>
      </w:r>
      <w:r w:rsidRPr="00743A29">
        <w:t>(2), e0299077. https://doi.org/10.1371/journal.pone.0299077</w:t>
      </w:r>
    </w:p>
    <w:p w14:paraId="13471FC5" w14:textId="77777777" w:rsidR="00743A29" w:rsidRPr="00743A29" w:rsidRDefault="00743A29" w:rsidP="00743A29">
      <w:pPr>
        <w:pStyle w:val="Bibliography"/>
      </w:pPr>
      <w:r w:rsidRPr="00743A29">
        <w:t xml:space="preserve">Wilson, A. G. (1971). A Family of Spatial Interaction Models, and Associated Developments. </w:t>
      </w:r>
      <w:r w:rsidRPr="00743A29">
        <w:rPr>
          <w:i/>
          <w:iCs/>
        </w:rPr>
        <w:t>Environment and Planning A: Economy and Space</w:t>
      </w:r>
      <w:r w:rsidRPr="00743A29">
        <w:t xml:space="preserve">, </w:t>
      </w:r>
      <w:r w:rsidRPr="00743A29">
        <w:rPr>
          <w:i/>
          <w:iCs/>
        </w:rPr>
        <w:t>3</w:t>
      </w:r>
      <w:r w:rsidRPr="00743A29">
        <w:t>(1), 1–32. https://doi.org/10.1068/a030001</w:t>
      </w:r>
    </w:p>
    <w:p w14:paraId="0C644BEB" w14:textId="2BE0E0D6" w:rsidR="00743A29" w:rsidRPr="006E4902" w:rsidRDefault="00743A29" w:rsidP="000D1878">
      <w:pPr>
        <w:jc w:val="both"/>
        <w:rPr>
          <w:lang w:val="fr-CA"/>
        </w:rPr>
      </w:pPr>
      <w:r>
        <w:rPr>
          <w:lang w:val="fr-CA"/>
        </w:rPr>
        <w:fldChar w:fldCharType="end"/>
      </w:r>
    </w:p>
    <w:sectPr w:rsidR="00743A29" w:rsidRPr="006E4902">
      <w:headerReference w:type="default" r:id="rId7"/>
      <w:headerReference w:type="first" r:id="rId8"/>
      <w:pgSz w:w="12240" w:h="15840"/>
      <w:pgMar w:top="2381" w:right="1417" w:bottom="1417" w:left="1417" w:header="822"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D3AB7C" w14:textId="77777777" w:rsidR="00921A88" w:rsidRDefault="00921A88">
      <w:r>
        <w:separator/>
      </w:r>
    </w:p>
  </w:endnote>
  <w:endnote w:type="continuationSeparator" w:id="0">
    <w:p w14:paraId="3EEE1FB1" w14:textId="77777777" w:rsidR="00921A88" w:rsidRDefault="00921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swiss"/>
    <w:pitch w:val="variable"/>
  </w:font>
  <w:font w:name="DejaVu Sans">
    <w:panose1 w:val="00000000000000000000"/>
    <w:charset w:val="00"/>
    <w:family w:val="roman"/>
    <w:notTrueType/>
    <w:pitch w:val="default"/>
  </w:font>
  <w:font w:name="Noto Sans Arabic">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Noto Sans Devanagari">
    <w:altName w:val="Nirmala UI"/>
    <w:charset w:val="00"/>
    <w:family w:val="swiss"/>
    <w:pitch w:val="variable"/>
    <w:sig w:usb0="80008023" w:usb1="00002046"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Yu Gothic"/>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E6BC40" w14:textId="77777777" w:rsidR="00921A88" w:rsidRDefault="00921A88">
      <w:pPr>
        <w:rPr>
          <w:sz w:val="12"/>
        </w:rPr>
      </w:pPr>
      <w:r>
        <w:separator/>
      </w:r>
    </w:p>
  </w:footnote>
  <w:footnote w:type="continuationSeparator" w:id="0">
    <w:p w14:paraId="01A5A78B" w14:textId="77777777" w:rsidR="00921A88" w:rsidRDefault="00921A88">
      <w:pPr>
        <w:rPr>
          <w:sz w:val="12"/>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09909D" w14:textId="77777777" w:rsidR="00F017A9" w:rsidRDefault="00000000">
    <w:pPr>
      <w:pStyle w:val="Header"/>
      <w:tabs>
        <w:tab w:val="clear" w:pos="8640"/>
        <w:tab w:val="left" w:pos="3960"/>
        <w:tab w:val="left" w:pos="5757"/>
        <w:tab w:val="left" w:pos="9006"/>
      </w:tabs>
      <w:rPr>
        <w:rFonts w:ascii="Arial Narrow" w:hAnsi="Arial Narrow"/>
        <w:sz w:val="16"/>
        <w:szCs w:val="16"/>
      </w:rPr>
    </w:pPr>
    <w:r>
      <w:rPr>
        <w:noProof/>
      </w:rPr>
      <w:drawing>
        <wp:anchor distT="0" distB="0" distL="0" distR="0" simplePos="0" relativeHeight="251657216" behindDoc="1" locked="0" layoutInCell="1" allowOverlap="1" wp14:anchorId="6F61BB10" wp14:editId="13524D13">
          <wp:simplePos x="0" y="0"/>
          <wp:positionH relativeFrom="column">
            <wp:posOffset>0</wp:posOffset>
          </wp:positionH>
          <wp:positionV relativeFrom="paragraph">
            <wp:posOffset>635</wp:posOffset>
          </wp:positionV>
          <wp:extent cx="1511300" cy="838200"/>
          <wp:effectExtent l="0" t="0" r="0" b="0"/>
          <wp:wrapNone/>
          <wp:docPr id="4" name="Picture 1" descr="McMaster Logo - Small Col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McMaster Logo - Small Colour"/>
                  <pic:cNvPicPr>
                    <a:picLocks noChangeAspect="1" noChangeArrowheads="1"/>
                  </pic:cNvPicPr>
                </pic:nvPicPr>
                <pic:blipFill>
                  <a:blip r:embed="rId1"/>
                  <a:stretch>
                    <a:fillRect/>
                  </a:stretch>
                </pic:blipFill>
                <pic:spPr bwMode="auto">
                  <a:xfrm>
                    <a:off x="0" y="0"/>
                    <a:ext cx="1511300" cy="838200"/>
                  </a:xfrm>
                  <a:prstGeom prst="rect">
                    <a:avLst/>
                  </a:prstGeom>
                </pic:spPr>
              </pic:pic>
            </a:graphicData>
          </a:graphic>
        </wp:anchor>
      </w:drawing>
    </w:r>
    <w:r>
      <w:rPr>
        <w:rFonts w:ascii="Arial Narrow" w:hAnsi="Arial Narrow"/>
        <w:sz w:val="16"/>
        <w:szCs w:val="16"/>
      </w:rPr>
      <w:tab/>
    </w:r>
  </w:p>
  <w:p w14:paraId="1CFD9B39" w14:textId="77777777" w:rsidR="00F017A9" w:rsidRDefault="00F017A9">
    <w:pPr>
      <w:pStyle w:val="Header"/>
      <w:tabs>
        <w:tab w:val="clear" w:pos="8640"/>
        <w:tab w:val="left" w:pos="3960"/>
        <w:tab w:val="left" w:pos="5757"/>
        <w:tab w:val="left" w:pos="9006"/>
      </w:tabs>
      <w:rPr>
        <w:rFonts w:ascii="Arial Narrow" w:hAnsi="Arial Narrow"/>
        <w:sz w:val="16"/>
        <w:szCs w:val="16"/>
      </w:rPr>
    </w:pPr>
  </w:p>
  <w:p w14:paraId="4838986C" w14:textId="77777777" w:rsidR="00F017A9" w:rsidRDefault="00F017A9">
    <w:pPr>
      <w:pStyle w:val="Header"/>
      <w:tabs>
        <w:tab w:val="clear" w:pos="8640"/>
        <w:tab w:val="left" w:pos="3960"/>
        <w:tab w:val="left" w:pos="5757"/>
        <w:tab w:val="left" w:pos="9006"/>
      </w:tabs>
      <w:rPr>
        <w:rFonts w:ascii="Arial Narrow" w:hAnsi="Arial Narrow"/>
        <w:sz w:val="16"/>
        <w:szCs w:val="16"/>
      </w:rPr>
    </w:pPr>
  </w:p>
  <w:p w14:paraId="3E3C4259" w14:textId="594960C7" w:rsidR="00F017A9" w:rsidRDefault="00000000">
    <w:pPr>
      <w:pStyle w:val="Header"/>
      <w:tabs>
        <w:tab w:val="clear" w:pos="4320"/>
        <w:tab w:val="clear" w:pos="8640"/>
        <w:tab w:val="left" w:pos="3591"/>
        <w:tab w:val="left" w:pos="5757"/>
        <w:tab w:val="left" w:pos="7581"/>
        <w:tab w:val="left" w:pos="8094"/>
      </w:tabs>
      <w:rPr>
        <w:rFonts w:ascii="Arial Narrow" w:hAnsi="Arial Narrow"/>
        <w:color w:val="808080"/>
        <w:sz w:val="14"/>
        <w:szCs w:val="14"/>
      </w:rPr>
    </w:pPr>
    <w:r>
      <w:rPr>
        <w:rFonts w:ascii="Arial Narrow" w:hAnsi="Arial Narrow"/>
        <w:sz w:val="16"/>
        <w:szCs w:val="16"/>
      </w:rPr>
      <w:tab/>
    </w:r>
    <w:r>
      <w:rPr>
        <w:rFonts w:ascii="Arial Narrow" w:hAnsi="Arial Narrow"/>
        <w:b/>
        <w:color w:val="808080"/>
        <w:sz w:val="14"/>
        <w:szCs w:val="14"/>
      </w:rPr>
      <w:t>School of Earth,</w:t>
    </w:r>
    <w:r>
      <w:rPr>
        <w:rFonts w:ascii="Arial Narrow" w:hAnsi="Arial Narrow"/>
        <w:color w:val="808080"/>
        <w:sz w:val="14"/>
        <w:szCs w:val="14"/>
      </w:rPr>
      <w:tab/>
      <w:t>1280 Main Street West</w:t>
    </w:r>
    <w:r>
      <w:rPr>
        <w:rFonts w:ascii="Arial Narrow" w:hAnsi="Arial Narrow"/>
        <w:color w:val="808080"/>
        <w:sz w:val="14"/>
        <w:szCs w:val="14"/>
      </w:rPr>
      <w:tab/>
      <w:t xml:space="preserve"> </w:t>
    </w:r>
  </w:p>
  <w:p w14:paraId="28CA2561" w14:textId="0B86D2EB" w:rsidR="00F017A9" w:rsidRDefault="00000000">
    <w:pPr>
      <w:pStyle w:val="Header"/>
      <w:tabs>
        <w:tab w:val="clear" w:pos="8640"/>
        <w:tab w:val="left" w:pos="3591"/>
        <w:tab w:val="left" w:pos="5757"/>
        <w:tab w:val="left" w:pos="7581"/>
        <w:tab w:val="left" w:pos="8094"/>
      </w:tabs>
      <w:jc w:val="both"/>
      <w:rPr>
        <w:rFonts w:ascii="Arial Narrow" w:hAnsi="Arial Narrow"/>
        <w:color w:val="808080"/>
        <w:sz w:val="14"/>
        <w:szCs w:val="14"/>
      </w:rPr>
    </w:pPr>
    <w:r>
      <w:rPr>
        <w:rFonts w:ascii="Arial Narrow" w:hAnsi="Arial Narrow"/>
        <w:b/>
        <w:color w:val="808080"/>
        <w:sz w:val="14"/>
        <w:szCs w:val="14"/>
      </w:rPr>
      <w:tab/>
      <w:t>Environment and Society</w:t>
    </w:r>
    <w:r>
      <w:rPr>
        <w:rFonts w:ascii="Arial Narrow" w:hAnsi="Arial Narrow"/>
        <w:color w:val="808080"/>
        <w:sz w:val="14"/>
        <w:szCs w:val="14"/>
      </w:rPr>
      <w:tab/>
      <w:t>Hamilton, Ontario, Canada</w:t>
    </w:r>
    <w:r>
      <w:rPr>
        <w:rFonts w:ascii="Arial Narrow" w:hAnsi="Arial Narrow"/>
        <w:color w:val="808080"/>
        <w:sz w:val="14"/>
        <w:szCs w:val="14"/>
      </w:rPr>
      <w:tab/>
    </w:r>
  </w:p>
  <w:p w14:paraId="6E08B3EE" w14:textId="4E562AE1" w:rsidR="00F017A9" w:rsidRDefault="00000000">
    <w:pPr>
      <w:pStyle w:val="Header"/>
      <w:tabs>
        <w:tab w:val="clear" w:pos="8640"/>
        <w:tab w:val="left" w:pos="3591"/>
        <w:tab w:val="left" w:pos="5757"/>
        <w:tab w:val="left" w:pos="7581"/>
        <w:tab w:val="left" w:pos="8094"/>
      </w:tabs>
      <w:jc w:val="both"/>
      <w:rPr>
        <w:rFonts w:ascii="Arial Narrow" w:hAnsi="Arial Narrow"/>
        <w:color w:val="808080"/>
        <w:sz w:val="14"/>
        <w:szCs w:val="14"/>
      </w:rPr>
    </w:pPr>
    <w:r>
      <w:rPr>
        <w:rFonts w:ascii="Arial Narrow" w:hAnsi="Arial Narrow"/>
        <w:b/>
        <w:color w:val="808080"/>
        <w:sz w:val="14"/>
        <w:szCs w:val="14"/>
      </w:rPr>
      <w:tab/>
    </w:r>
    <w:r>
      <w:rPr>
        <w:rFonts w:ascii="Arial Narrow" w:hAnsi="Arial Narrow"/>
        <w:b/>
        <w:color w:val="808080"/>
        <w:sz w:val="14"/>
        <w:szCs w:val="14"/>
      </w:rPr>
      <w:tab/>
    </w:r>
    <w:r>
      <w:rPr>
        <w:rFonts w:ascii="Arial Narrow" w:hAnsi="Arial Narrow"/>
        <w:color w:val="808080"/>
        <w:sz w:val="14"/>
        <w:szCs w:val="14"/>
      </w:rPr>
      <w:tab/>
      <w:t>L8S 4L8</w:t>
    </w:r>
    <w:r>
      <w:rPr>
        <w:rFonts w:ascii="Arial Narrow" w:hAnsi="Arial Narrow"/>
        <w:color w:val="808080"/>
        <w:sz w:val="14"/>
        <w:szCs w:val="14"/>
      </w:rPr>
      <w:tab/>
    </w:r>
  </w:p>
  <w:p w14:paraId="5EEBAC6B" w14:textId="37852FC8" w:rsidR="00F017A9" w:rsidRDefault="00000000">
    <w:pPr>
      <w:pStyle w:val="Header"/>
      <w:tabs>
        <w:tab w:val="clear" w:pos="8640"/>
        <w:tab w:val="left" w:pos="3960"/>
        <w:tab w:val="left" w:pos="5757"/>
        <w:tab w:val="left" w:pos="7581"/>
        <w:tab w:val="left" w:pos="8094"/>
      </w:tabs>
      <w:ind w:left="3933"/>
      <w:rPr>
        <w:rFonts w:ascii="Arial Narrow" w:hAnsi="Arial Narrow"/>
        <w:color w:val="808080"/>
        <w:sz w:val="14"/>
        <w:szCs w:val="14"/>
      </w:rPr>
    </w:pPr>
    <w:r>
      <w:rPr>
        <w:rFonts w:ascii="Arial Narrow" w:hAnsi="Arial Narrow"/>
        <w:color w:val="808080"/>
        <w:sz w:val="14"/>
        <w:szCs w:val="14"/>
      </w:rPr>
      <w:tab/>
    </w:r>
    <w:r>
      <w:rPr>
        <w:rFonts w:ascii="Arial Narrow" w:hAnsi="Arial Narrow"/>
        <w:color w:val="808080"/>
        <w:sz w:val="14"/>
        <w:szCs w:val="14"/>
      </w:rPr>
      <w:tab/>
    </w:r>
    <w:r>
      <w:rPr>
        <w:rFonts w:ascii="Arial Narrow" w:hAnsi="Arial Narrow"/>
        <w:color w:val="808080"/>
        <w:sz w:val="14"/>
        <w:szCs w:val="14"/>
      </w:rPr>
      <w:tab/>
    </w:r>
    <w:r>
      <w:rPr>
        <w:rFonts w:ascii="Arial Narrow" w:hAnsi="Arial Narrow"/>
        <w:color w:val="808080"/>
        <w:sz w:val="14"/>
        <w:szCs w:val="14"/>
      </w:rPr>
      <w:tab/>
    </w:r>
  </w:p>
  <w:p w14:paraId="1242618F" w14:textId="77777777" w:rsidR="00F017A9" w:rsidRDefault="00F017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1AFF9E" w14:textId="77777777" w:rsidR="00F017A9" w:rsidRDefault="00000000">
    <w:pPr>
      <w:pStyle w:val="Header"/>
      <w:tabs>
        <w:tab w:val="clear" w:pos="8640"/>
        <w:tab w:val="left" w:pos="3960"/>
        <w:tab w:val="left" w:pos="5757"/>
        <w:tab w:val="left" w:pos="9006"/>
      </w:tabs>
      <w:rPr>
        <w:rFonts w:ascii="Arial Narrow" w:hAnsi="Arial Narrow"/>
        <w:sz w:val="16"/>
        <w:szCs w:val="16"/>
      </w:rPr>
    </w:pPr>
    <w:r>
      <w:rPr>
        <w:noProof/>
      </w:rPr>
      <w:drawing>
        <wp:anchor distT="0" distB="0" distL="0" distR="0" simplePos="0" relativeHeight="251658240" behindDoc="1" locked="0" layoutInCell="1" allowOverlap="1" wp14:anchorId="576399E8" wp14:editId="2314487A">
          <wp:simplePos x="0" y="0"/>
          <wp:positionH relativeFrom="column">
            <wp:posOffset>0</wp:posOffset>
          </wp:positionH>
          <wp:positionV relativeFrom="paragraph">
            <wp:posOffset>635</wp:posOffset>
          </wp:positionV>
          <wp:extent cx="1511300" cy="838200"/>
          <wp:effectExtent l="0" t="0" r="0" b="0"/>
          <wp:wrapNone/>
          <wp:docPr id="5" name="Picture 1" descr="McMaster Logo - Small Col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McMaster Logo - Small Colour"/>
                  <pic:cNvPicPr>
                    <a:picLocks noChangeAspect="1" noChangeArrowheads="1"/>
                  </pic:cNvPicPr>
                </pic:nvPicPr>
                <pic:blipFill>
                  <a:blip r:embed="rId1"/>
                  <a:stretch>
                    <a:fillRect/>
                  </a:stretch>
                </pic:blipFill>
                <pic:spPr bwMode="auto">
                  <a:xfrm>
                    <a:off x="0" y="0"/>
                    <a:ext cx="1511300" cy="838200"/>
                  </a:xfrm>
                  <a:prstGeom prst="rect">
                    <a:avLst/>
                  </a:prstGeom>
                </pic:spPr>
              </pic:pic>
            </a:graphicData>
          </a:graphic>
        </wp:anchor>
      </w:drawing>
    </w:r>
    <w:r>
      <w:rPr>
        <w:rFonts w:ascii="Arial Narrow" w:hAnsi="Arial Narrow"/>
        <w:sz w:val="16"/>
        <w:szCs w:val="16"/>
      </w:rPr>
      <w:tab/>
    </w:r>
  </w:p>
  <w:p w14:paraId="20CD2CDD" w14:textId="77777777" w:rsidR="00F017A9" w:rsidRDefault="00F017A9">
    <w:pPr>
      <w:pStyle w:val="Header"/>
      <w:tabs>
        <w:tab w:val="clear" w:pos="8640"/>
        <w:tab w:val="left" w:pos="3960"/>
        <w:tab w:val="left" w:pos="5757"/>
        <w:tab w:val="left" w:pos="9006"/>
      </w:tabs>
      <w:rPr>
        <w:rFonts w:ascii="Arial Narrow" w:hAnsi="Arial Narrow"/>
        <w:sz w:val="16"/>
        <w:szCs w:val="16"/>
      </w:rPr>
    </w:pPr>
  </w:p>
  <w:p w14:paraId="7A3ED34D" w14:textId="77777777" w:rsidR="00F017A9" w:rsidRDefault="00F017A9">
    <w:pPr>
      <w:pStyle w:val="Header"/>
      <w:tabs>
        <w:tab w:val="clear" w:pos="8640"/>
        <w:tab w:val="left" w:pos="3960"/>
        <w:tab w:val="left" w:pos="5757"/>
        <w:tab w:val="left" w:pos="9006"/>
      </w:tabs>
      <w:rPr>
        <w:rFonts w:ascii="Arial Narrow" w:hAnsi="Arial Narrow"/>
        <w:sz w:val="16"/>
        <w:szCs w:val="16"/>
      </w:rPr>
    </w:pPr>
  </w:p>
  <w:p w14:paraId="573D39F1" w14:textId="77777777" w:rsidR="00F017A9" w:rsidRDefault="00000000">
    <w:pPr>
      <w:pStyle w:val="Header"/>
      <w:tabs>
        <w:tab w:val="clear" w:pos="4320"/>
        <w:tab w:val="clear" w:pos="8640"/>
        <w:tab w:val="left" w:pos="3591"/>
        <w:tab w:val="left" w:pos="5757"/>
        <w:tab w:val="left" w:pos="7581"/>
        <w:tab w:val="left" w:pos="8094"/>
      </w:tabs>
      <w:rPr>
        <w:rFonts w:ascii="Arial Narrow" w:hAnsi="Arial Narrow"/>
        <w:color w:val="808080"/>
        <w:sz w:val="14"/>
        <w:szCs w:val="14"/>
      </w:rPr>
    </w:pPr>
    <w:r>
      <w:rPr>
        <w:rFonts w:ascii="Arial Narrow" w:hAnsi="Arial Narrow"/>
        <w:sz w:val="16"/>
        <w:szCs w:val="16"/>
      </w:rPr>
      <w:tab/>
    </w:r>
    <w:r>
      <w:rPr>
        <w:rFonts w:ascii="Arial Narrow" w:hAnsi="Arial Narrow"/>
        <w:b/>
        <w:color w:val="808080"/>
        <w:sz w:val="14"/>
        <w:szCs w:val="14"/>
      </w:rPr>
      <w:t>School of Earth,</w:t>
    </w:r>
    <w:r>
      <w:rPr>
        <w:rFonts w:ascii="Arial Narrow" w:hAnsi="Arial Narrow"/>
        <w:color w:val="808080"/>
        <w:sz w:val="14"/>
        <w:szCs w:val="14"/>
      </w:rPr>
      <w:tab/>
      <w:t>1280 Main Street West</w:t>
    </w:r>
    <w:r>
      <w:rPr>
        <w:rFonts w:ascii="Arial Narrow" w:hAnsi="Arial Narrow"/>
        <w:color w:val="808080"/>
        <w:sz w:val="14"/>
        <w:szCs w:val="14"/>
      </w:rPr>
      <w:tab/>
      <w:t xml:space="preserve">Antonio Páez </w:t>
    </w:r>
  </w:p>
  <w:p w14:paraId="62E4ADE3" w14:textId="77777777" w:rsidR="00F017A9" w:rsidRDefault="00000000">
    <w:pPr>
      <w:pStyle w:val="Header"/>
      <w:tabs>
        <w:tab w:val="clear" w:pos="8640"/>
        <w:tab w:val="left" w:pos="3591"/>
        <w:tab w:val="left" w:pos="5757"/>
        <w:tab w:val="left" w:pos="7581"/>
        <w:tab w:val="left" w:pos="8094"/>
      </w:tabs>
      <w:jc w:val="both"/>
      <w:rPr>
        <w:rFonts w:ascii="Arial Narrow" w:hAnsi="Arial Narrow"/>
        <w:color w:val="808080"/>
        <w:sz w:val="14"/>
        <w:szCs w:val="14"/>
      </w:rPr>
    </w:pPr>
    <w:r>
      <w:rPr>
        <w:rFonts w:ascii="Arial Narrow" w:hAnsi="Arial Narrow"/>
        <w:b/>
        <w:color w:val="808080"/>
        <w:sz w:val="14"/>
        <w:szCs w:val="14"/>
      </w:rPr>
      <w:tab/>
      <w:t>Environment and Society</w:t>
    </w:r>
    <w:r>
      <w:rPr>
        <w:rFonts w:ascii="Arial Narrow" w:hAnsi="Arial Narrow"/>
        <w:color w:val="808080"/>
        <w:sz w:val="14"/>
        <w:szCs w:val="14"/>
      </w:rPr>
      <w:tab/>
      <w:t>Hamilton, Ontario, Canada</w:t>
    </w:r>
    <w:r>
      <w:rPr>
        <w:rFonts w:ascii="Arial Narrow" w:hAnsi="Arial Narrow"/>
        <w:color w:val="808080"/>
        <w:sz w:val="14"/>
        <w:szCs w:val="14"/>
      </w:rPr>
      <w:tab/>
      <w:t>Professor of Geography</w:t>
    </w:r>
  </w:p>
  <w:p w14:paraId="79EFC769" w14:textId="77777777" w:rsidR="00F017A9" w:rsidRDefault="00000000">
    <w:pPr>
      <w:pStyle w:val="Header"/>
      <w:tabs>
        <w:tab w:val="clear" w:pos="8640"/>
        <w:tab w:val="left" w:pos="3591"/>
        <w:tab w:val="left" w:pos="5757"/>
        <w:tab w:val="left" w:pos="7581"/>
        <w:tab w:val="left" w:pos="8094"/>
      </w:tabs>
      <w:jc w:val="both"/>
      <w:rPr>
        <w:rFonts w:ascii="Arial Narrow" w:hAnsi="Arial Narrow"/>
        <w:color w:val="808080"/>
        <w:sz w:val="14"/>
        <w:szCs w:val="14"/>
      </w:rPr>
    </w:pPr>
    <w:r>
      <w:rPr>
        <w:rFonts w:ascii="Arial Narrow" w:hAnsi="Arial Narrow"/>
        <w:b/>
        <w:color w:val="808080"/>
        <w:sz w:val="14"/>
        <w:szCs w:val="14"/>
      </w:rPr>
      <w:tab/>
    </w:r>
    <w:r>
      <w:rPr>
        <w:rFonts w:ascii="Arial Narrow" w:hAnsi="Arial Narrow"/>
        <w:b/>
        <w:color w:val="808080"/>
        <w:sz w:val="14"/>
        <w:szCs w:val="14"/>
      </w:rPr>
      <w:tab/>
    </w:r>
    <w:r>
      <w:rPr>
        <w:rFonts w:ascii="Arial Narrow" w:hAnsi="Arial Narrow"/>
        <w:color w:val="808080"/>
        <w:sz w:val="14"/>
        <w:szCs w:val="14"/>
      </w:rPr>
      <w:tab/>
      <w:t>L8S 4L8</w:t>
    </w:r>
    <w:r>
      <w:rPr>
        <w:rFonts w:ascii="Arial Narrow" w:hAnsi="Arial Narrow"/>
        <w:color w:val="808080"/>
        <w:sz w:val="14"/>
        <w:szCs w:val="14"/>
      </w:rPr>
      <w:tab/>
      <w:t>Tel. 905-525-9140 x 26099</w:t>
    </w:r>
  </w:p>
  <w:p w14:paraId="7EC20133" w14:textId="77777777" w:rsidR="00F017A9" w:rsidRDefault="00000000">
    <w:pPr>
      <w:pStyle w:val="Header"/>
      <w:tabs>
        <w:tab w:val="clear" w:pos="8640"/>
        <w:tab w:val="left" w:pos="3960"/>
        <w:tab w:val="left" w:pos="5757"/>
        <w:tab w:val="left" w:pos="7581"/>
        <w:tab w:val="left" w:pos="8094"/>
      </w:tabs>
      <w:ind w:left="3933"/>
      <w:rPr>
        <w:rFonts w:ascii="Arial Narrow" w:hAnsi="Arial Narrow"/>
        <w:color w:val="808080"/>
        <w:sz w:val="14"/>
        <w:szCs w:val="14"/>
      </w:rPr>
    </w:pPr>
    <w:r>
      <w:rPr>
        <w:rFonts w:ascii="Arial Narrow" w:hAnsi="Arial Narrow"/>
        <w:color w:val="808080"/>
        <w:sz w:val="14"/>
        <w:szCs w:val="14"/>
      </w:rPr>
      <w:tab/>
    </w:r>
    <w:r>
      <w:rPr>
        <w:rFonts w:ascii="Arial Narrow" w:hAnsi="Arial Narrow"/>
        <w:color w:val="808080"/>
        <w:sz w:val="14"/>
        <w:szCs w:val="14"/>
      </w:rPr>
      <w:tab/>
    </w:r>
    <w:r>
      <w:rPr>
        <w:rFonts w:ascii="Arial Narrow" w:hAnsi="Arial Narrow"/>
        <w:color w:val="808080"/>
        <w:sz w:val="14"/>
        <w:szCs w:val="14"/>
      </w:rPr>
      <w:tab/>
    </w:r>
    <w:r>
      <w:rPr>
        <w:rFonts w:ascii="Arial Narrow" w:hAnsi="Arial Narrow"/>
        <w:color w:val="808080"/>
        <w:sz w:val="14"/>
        <w:szCs w:val="14"/>
      </w:rPr>
      <w:tab/>
      <w:t>Email: paezha@mcmaster.ca</w:t>
    </w:r>
  </w:p>
  <w:p w14:paraId="73B4FDAE" w14:textId="77777777" w:rsidR="00F017A9" w:rsidRDefault="00F017A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7A9"/>
    <w:rsid w:val="000D1878"/>
    <w:rsid w:val="00693D66"/>
    <w:rsid w:val="006D21CF"/>
    <w:rsid w:val="006E4902"/>
    <w:rsid w:val="00743A29"/>
    <w:rsid w:val="00921A88"/>
    <w:rsid w:val="009E0561"/>
    <w:rsid w:val="00B07C67"/>
    <w:rsid w:val="00B65BEB"/>
    <w:rsid w:val="00BE7E57"/>
    <w:rsid w:val="00DB67AC"/>
    <w:rsid w:val="00F017A9"/>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84890A"/>
  <w15:docId w15:val="{F8207A57-EF7E-4291-BAA6-AA9722CF5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0367C"/>
    <w:rPr>
      <w:sz w:val="24"/>
      <w:szCs w:val="24"/>
    </w:rPr>
  </w:style>
  <w:style w:type="paragraph" w:styleId="Heading1">
    <w:name w:val="heading 1"/>
    <w:basedOn w:val="Heading"/>
    <w:next w:val="BodyText"/>
    <w:qFormat/>
    <w:pPr>
      <w:outlineLvl w:val="0"/>
    </w:pPr>
    <w:rPr>
      <w:rFonts w:ascii="Liberation Serif" w:eastAsia="DejaVu Sans" w:hAnsi="Liberation Serif" w:cs="Noto Sans Arabic"/>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2CCB"/>
    <w:rPr>
      <w:color w:val="0000FF"/>
      <w:u w:val="single"/>
    </w:rPr>
  </w:style>
  <w:style w:type="character" w:customStyle="1" w:styleId="apple-style-span">
    <w:name w:val="apple-style-span"/>
    <w:basedOn w:val="DefaultParagraphFont"/>
    <w:qFormat/>
    <w:rsid w:val="002C566E"/>
  </w:style>
  <w:style w:type="character" w:customStyle="1" w:styleId="FootnoteTextChar">
    <w:name w:val="Footnote Text Char"/>
    <w:basedOn w:val="DefaultParagraphFont"/>
    <w:link w:val="FootnoteText"/>
    <w:semiHidden/>
    <w:qFormat/>
    <w:rsid w:val="00BD39AB"/>
  </w:style>
  <w:style w:type="character" w:customStyle="1" w:styleId="FootnoteCharacters">
    <w:name w:val="Footnote Characters"/>
    <w:basedOn w:val="DefaultParagraphFont"/>
    <w:semiHidden/>
    <w:unhideWhenUsed/>
    <w:qFormat/>
    <w:rsid w:val="00BD39AB"/>
    <w:rPr>
      <w:vertAlign w:val="superscript"/>
    </w:rPr>
  </w:style>
  <w:style w:type="character" w:customStyle="1" w:styleId="FootnoteCharacters1">
    <w:name w:val="Footnote Characters1"/>
    <w:qFormat/>
    <w:rPr>
      <w:vertAlign w:val="superscript"/>
    </w:rPr>
  </w:style>
  <w:style w:type="character" w:styleId="FootnoteReference">
    <w:name w:val="footnote reference"/>
    <w:rPr>
      <w:vertAlign w:val="superscript"/>
    </w:rPr>
  </w:style>
  <w:style w:type="character" w:styleId="UnresolvedMention">
    <w:name w:val="Unresolved Mention"/>
    <w:basedOn w:val="DefaultParagraphFont"/>
    <w:uiPriority w:val="99"/>
    <w:semiHidden/>
    <w:unhideWhenUsed/>
    <w:qFormat/>
    <w:rsid w:val="00BD39AB"/>
    <w:rPr>
      <w:color w:val="605E5C"/>
      <w:shd w:val="clear" w:color="auto" w:fill="E1DFDD"/>
    </w:rPr>
  </w:style>
  <w:style w:type="character" w:customStyle="1" w:styleId="BalloonTextChar">
    <w:name w:val="Balloon Text Char"/>
    <w:basedOn w:val="DefaultParagraphFont"/>
    <w:link w:val="BalloonText"/>
    <w:semiHidden/>
    <w:qFormat/>
    <w:rsid w:val="00F957C2"/>
    <w:rPr>
      <w:rFonts w:ascii="Segoe UI" w:hAnsi="Segoe UI" w:cs="Segoe UI"/>
      <w:sz w:val="18"/>
      <w:szCs w:val="18"/>
    </w:rPr>
  </w:style>
  <w:style w:type="character" w:customStyle="1" w:styleId="EndnoteCharacters">
    <w:name w:val="Endnote Characters"/>
    <w:qFormat/>
    <w:rPr>
      <w:vertAlign w:val="superscript"/>
    </w:rPr>
  </w:style>
  <w:style w:type="character" w:styleId="EndnoteReference">
    <w:name w:val="endnote reference"/>
    <w:rPr>
      <w:vertAlign w:val="superscript"/>
    </w:rPr>
  </w:style>
  <w:style w:type="character" w:customStyle="1" w:styleId="EndnoteCharacters1">
    <w:name w:val="Endnote Characters1"/>
    <w:qFormat/>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rPr>
  </w:style>
  <w:style w:type="paragraph" w:customStyle="1" w:styleId="Index">
    <w:name w:val="Index"/>
    <w:basedOn w:val="Normal"/>
    <w:qFormat/>
    <w:pPr>
      <w:suppressLineNumbers/>
    </w:pPr>
    <w:rPr>
      <w:rFonts w:cs="Noto Sans Devanagari"/>
    </w:rPr>
  </w:style>
  <w:style w:type="paragraph" w:customStyle="1" w:styleId="HeaderandFooter">
    <w:name w:val="Header and Footer"/>
    <w:basedOn w:val="Normal"/>
    <w:qFormat/>
  </w:style>
  <w:style w:type="paragraph" w:styleId="Header">
    <w:name w:val="header"/>
    <w:basedOn w:val="Normal"/>
    <w:rsid w:val="001F4E0C"/>
    <w:pPr>
      <w:tabs>
        <w:tab w:val="center" w:pos="4320"/>
        <w:tab w:val="right" w:pos="8640"/>
      </w:tabs>
    </w:pPr>
  </w:style>
  <w:style w:type="paragraph" w:styleId="Footer">
    <w:name w:val="footer"/>
    <w:basedOn w:val="Normal"/>
    <w:rsid w:val="001F4E0C"/>
    <w:pPr>
      <w:tabs>
        <w:tab w:val="center" w:pos="4320"/>
        <w:tab w:val="right" w:pos="8640"/>
      </w:tabs>
    </w:pPr>
  </w:style>
  <w:style w:type="paragraph" w:styleId="FootnoteText">
    <w:name w:val="footnote text"/>
    <w:basedOn w:val="Normal"/>
    <w:link w:val="FootnoteTextChar"/>
    <w:semiHidden/>
    <w:unhideWhenUsed/>
    <w:rsid w:val="00BD39AB"/>
    <w:rPr>
      <w:sz w:val="20"/>
      <w:szCs w:val="20"/>
    </w:rPr>
  </w:style>
  <w:style w:type="paragraph" w:styleId="BalloonText">
    <w:name w:val="Balloon Text"/>
    <w:basedOn w:val="Normal"/>
    <w:link w:val="BalloonTextChar"/>
    <w:semiHidden/>
    <w:unhideWhenUsed/>
    <w:qFormat/>
    <w:rsid w:val="00F957C2"/>
    <w:rPr>
      <w:rFonts w:ascii="Segoe UI" w:hAnsi="Segoe UI" w:cs="Segoe UI"/>
      <w:sz w:val="18"/>
      <w:szCs w:val="18"/>
    </w:rPr>
  </w:style>
  <w:style w:type="paragraph" w:styleId="Revision">
    <w:name w:val="Revision"/>
    <w:uiPriority w:val="99"/>
    <w:semiHidden/>
    <w:qFormat/>
    <w:rsid w:val="003E3AA2"/>
    <w:rPr>
      <w:sz w:val="24"/>
      <w:szCs w:val="24"/>
    </w:rPr>
  </w:style>
  <w:style w:type="paragraph" w:styleId="Bibliography">
    <w:name w:val="Bibliography"/>
    <w:basedOn w:val="Normal"/>
    <w:next w:val="Normal"/>
    <w:uiPriority w:val="37"/>
    <w:unhideWhenUsed/>
    <w:rsid w:val="00743A29"/>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F24C22-7E2D-44F0-AB32-FB0DD95303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3</Pages>
  <Words>3377</Words>
  <Characters>19252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Hamilton, Ontario</vt:lpstr>
    </vt:vector>
  </TitlesOfParts>
  <Company>McMaster University</Company>
  <LinksUpToDate>false</LinksUpToDate>
  <CharactersWithSpaces>22584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Hamilton, Ontario</dc:title>
  <dc:subject/>
  <dc:creator>Antonio Paez</dc:creator>
  <dc:description/>
  <cp:lastModifiedBy>Anastasia Soukhov</cp:lastModifiedBy>
  <cp:revision>42</cp:revision>
  <cp:lastPrinted>2007-01-12T20:53:00Z</cp:lastPrinted>
  <dcterms:created xsi:type="dcterms:W3CDTF">2016-11-08T17:12:00Z</dcterms:created>
  <dcterms:modified xsi:type="dcterms:W3CDTF">2024-09-11T15:51:00Z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id="O1Of1JPE"/&gt;&lt;style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