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28.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w:t>
      </w:r>
      <w:r>
        <w:t xml:space="preserve"> </w:t>
      </w:r>
      <w:r>
        <w:t xml:space="preserve">with</w:t>
      </w:r>
      <w:r>
        <w:t xml:space="preserve"> </w:t>
      </w:r>
      <w:r>
        <w:t xml:space="preserve">accessibility</w:t>
      </w:r>
      <w:r>
        <w:t xml:space="preserve"> </w:t>
      </w:r>
      <w:r>
        <w:t xml:space="preserve">measures</w:t>
      </w:r>
      <w:r>
        <w:t xml:space="preserve"> </w:t>
      </w:r>
      <w:r>
        <w:t xml:space="preserve">II:</w:t>
      </w:r>
      <w:r>
        <w:t xml:space="preserve"> </w:t>
      </w:r>
      <w:r>
        <w:t xml:space="preserve">unconstrained</w:t>
      </w:r>
      <w:r>
        <w:t xml:space="preserve"> </w:t>
      </w:r>
      <w:r>
        <w:t xml:space="preserve">and</w:t>
      </w:r>
      <w:r>
        <w:t xml:space="preserve"> </w:t>
      </w:r>
      <w:r>
        <w:t xml:space="preserve">constrained</w:t>
      </w:r>
      <w:r>
        <w:t xml:space="preserve"> </w:t>
      </w:r>
      <w:r>
        <w:t xml:space="preserve">accessibility</w:t>
      </w:r>
    </w:p>
    <w:p>
      <w:pPr>
        <w:pStyle w:val="Author"/>
      </w:pPr>
      <w:r>
        <w:t xml:space="preserve">Anastasia</w:t>
      </w:r>
      <w:r>
        <w:t xml:space="preserve"> </w:t>
      </w:r>
      <w:r>
        <w:t xml:space="preserve">Soukhov</w:t>
      </w:r>
    </w:p>
    <w:p>
      <w:pPr>
        <w:pStyle w:val="FirstParagraph"/>
      </w:pPr>
      <w:r>
        <w:rPr>
          <w:iCs/>
          <w:i/>
        </w:rPr>
        <w:t xml:space="preserve">This blog post is the second part of a multi-part series. This series aims to walk readers through the potential uses of accessibility measures in transportation equity planning. This post explores different accessibility measures and how the selection of the measure and the impedance function impacts outputs. See the first</w:t>
      </w:r>
      <w:r>
        <w:rPr>
          <w:iCs/>
          <w:i/>
        </w:rPr>
        <w:t xml:space="preserve"> </w:t>
      </w:r>
      <w:hyperlink r:id="rId20">
        <w:r>
          <w:rPr>
            <w:rStyle w:val="Hyperlink"/>
            <w:iCs/>
            <w:i/>
          </w:rPr>
          <w:t xml:space="preserve">post</w:t>
        </w:r>
      </w:hyperlink>
      <w:r>
        <w:rPr>
          <w:iCs/>
          <w:i/>
        </w:rPr>
        <w:t xml:space="preserve"> </w:t>
      </w:r>
      <w:r>
        <w:rPr>
          <w:iCs/>
          <w:i/>
        </w:rPr>
        <w:t xml:space="preserve">for an introduction to accessibility measures and how assumptions about travel behavior enters accessibility measures through the</w:t>
      </w:r>
      <w:r>
        <w:rPr>
          <w:iCs/>
          <w:i/>
        </w:rPr>
        <w:t xml:space="preserve"> </w:t>
      </w:r>
      <w:r>
        <w:rPr>
          <w:iCs/>
          <w:i/>
          <w:iCs/>
          <w:i/>
        </w:rPr>
        <w:t xml:space="preserve">impedance function</w:t>
      </w:r>
      <w:r>
        <w:rPr>
          <w:iCs/>
          <w:i/>
        </w:rPr>
        <w:t xml:space="preserve">. In subsequent posts, I plan to discuss how accessibility analysis can center equity and justice conceptualizations for the purpose of planning.</w:t>
      </w:r>
    </w:p>
    <w:p>
      <w:pPr>
        <w:pStyle w:val="BodyText"/>
      </w:pPr>
      <w:r>
        <w:rPr>
          <w:iCs/>
          <w:i/>
        </w:rPr>
        <w:t xml:space="preserve">Accessibility</w:t>
      </w:r>
      <w:r>
        <w:t xml:space="preserve"> </w:t>
      </w:r>
      <w:r>
        <w:t xml:space="preserve">(or</w:t>
      </w:r>
      <w:r>
        <w:t xml:space="preserve"> </w:t>
      </w:r>
      <w:r>
        <w:rPr>
          <w:iCs/>
          <w:i/>
        </w:rPr>
        <w:t xml:space="preserve">potential access</w:t>
      </w:r>
      <w:r>
        <w:t xml:space="preserve">) has many definitions. Within the context of transportation planning, accessibility can be defined as a measure of the amount of interaction a</w:t>
      </w:r>
      <w:r>
        <w:t xml:space="preserve"> </w:t>
      </w:r>
      <w:r>
        <w:t xml:space="preserve">“</w:t>
      </w:r>
      <w:r>
        <w:t xml:space="preserve">population</w:t>
      </w:r>
      <w:r>
        <w:t xml:space="preserve">”</w:t>
      </w:r>
      <w:r>
        <w:t xml:space="preserve"> </w:t>
      </w:r>
      <w:r>
        <w:t xml:space="preserve">at an origin potentially has with</w:t>
      </w:r>
      <w:r>
        <w:t xml:space="preserve"> </w:t>
      </w:r>
      <w:r>
        <w:t xml:space="preserve">“</w:t>
      </w:r>
      <w:r>
        <w:t xml:space="preserve">opportunities</w:t>
      </w:r>
      <w:r>
        <w:t xml:space="preserve">”</w:t>
      </w:r>
      <w:r>
        <w:t xml:space="preserve"> </w:t>
      </w:r>
      <w:r>
        <w:t xml:space="preserve">at destinations in a given region. It is a product of the land-use and the population’s means of transportation.</w:t>
      </w:r>
    </w:p>
    <w:p>
      <w:pPr>
        <w:pStyle w:val="BodyText"/>
      </w:pPr>
      <w:r>
        <w:t xml:space="preserve">In this post, we distinguish between two types of accessibility measures:</w:t>
      </w:r>
      <w:r>
        <w:t xml:space="preserve"> </w:t>
      </w:r>
      <w:r>
        <w:rPr>
          <w:iCs/>
          <w:i/>
        </w:rPr>
        <w:t xml:space="preserve">unconstrained</w:t>
      </w:r>
      <w:r>
        <w:t xml:space="preserve"> </w:t>
      </w:r>
      <w:r>
        <w:t xml:space="preserve">and</w:t>
      </w:r>
      <w:r>
        <w:t xml:space="preserve"> </w:t>
      </w:r>
      <w:r>
        <w:rPr>
          <w:iCs/>
          <w:i/>
        </w:rPr>
        <w:t xml:space="preserve">constrained</w:t>
      </w:r>
      <w:r>
        <w:t xml:space="preserve"> </w:t>
      </w:r>
      <w:r>
        <w:t xml:space="preserve">measures. The distinction is important to help accessibility analysts interpret outputs so that they are clear on what they are measuring.</w:t>
      </w:r>
    </w:p>
    <w:p>
      <w:pPr>
        <w:pStyle w:val="BodyText"/>
      </w:pPr>
      <w:r>
        <w:t xml:space="preserve">First, let’s detail</w:t>
      </w:r>
      <w:r>
        <w:t xml:space="preserve"> </w:t>
      </w:r>
      <w:r>
        <w:rPr>
          <w:bCs/>
          <w:b/>
        </w:rPr>
        <w:t xml:space="preserve">unconstrained</w:t>
      </w:r>
      <w:r>
        <w:t xml:space="preserve"> </w:t>
      </w:r>
      <w:r>
        <w:t xml:space="preserve">accessibility. The general form of the unconstrained measure, which we will from now on call</w:t>
      </w:r>
      <w:r>
        <w:t xml:space="preserve"> </w:t>
      </w:r>
      <m:oMath>
        <m:sSub>
          <m:e>
            <m:r>
              <m:t>S</m:t>
            </m:r>
          </m:e>
          <m:sub>
            <m:r>
              <m:t>i</m:t>
            </m:r>
          </m:sub>
        </m:sSub>
      </m:oMath>
      <w:r>
        <w:t xml:space="preserve">, is the measure proposed by</w:t>
      </w:r>
      <w:r>
        <w:t xml:space="preserve"> </w:t>
      </w:r>
      <w:r>
        <w:t xml:space="preserve">(Hansen 1959)</w:t>
      </w:r>
      <w:r>
        <w:t xml:space="preserve">. Many accessibility measures are derived and continue to be derived from</w:t>
      </w:r>
      <w:r>
        <w:t xml:space="preserve"> </w:t>
      </w:r>
      <m:oMath>
        <m:sSub>
          <m:e>
            <m:r>
              <m:t>S</m:t>
            </m:r>
          </m:e>
          <m:sub>
            <m:r>
              <m:t>i</m:t>
            </m:r>
          </m:sub>
        </m:sSub>
      </m:oMath>
      <w:r>
        <w:t xml:space="preserve">.</w:t>
      </w:r>
      <w:r>
        <w:t xml:space="preserve"> </w:t>
      </w:r>
      <m:oMath>
        <m:sSub>
          <m:e>
            <m:r>
              <m:t>S</m:t>
            </m:r>
          </m:e>
          <m:sub>
            <m:r>
              <m:t>i</m:t>
            </m:r>
          </m:sub>
        </m:sSub>
      </m:oMath>
      <w:r>
        <w:t xml:space="preserve"> </w:t>
      </w:r>
      <w:r>
        <w:t xml:space="preserve">is an accessibility value that is calculated for each spatial unit, and is appropriately termed</w:t>
      </w:r>
      <w:r>
        <w:t xml:space="preserve"> </w:t>
      </w:r>
      <w:r>
        <w:rPr>
          <w:iCs/>
          <w:i/>
        </w:rPr>
        <w:t xml:space="preserve">place-based accessibility</w:t>
      </w:r>
      <w:r>
        <w:t xml:space="preserve">. This value is the summation of all the</w:t>
      </w:r>
      <w:r>
        <w:t xml:space="preserve"> </w:t>
      </w:r>
      <m:oMath>
        <m:sSub>
          <m:e>
            <m:r>
              <m:t>O</m:t>
            </m:r>
          </m:e>
          <m:sub>
            <m:r>
              <m:t>j</m:t>
            </m:r>
          </m:sub>
        </m:sSub>
      </m:oMath>
      <w:r>
        <w:t xml:space="preserve"> </w:t>
      </w:r>
      <w:r>
        <w:t xml:space="preserve">available (i.e., reachable) at each spatial unit according to some impedance function</w:t>
      </w:r>
      <w:r>
        <w:t xml:space="preserve"> </w:t>
      </w:r>
      <m:oMath>
        <m:r>
          <m:t>f</m:t>
        </m:r>
        <m:d>
          <m:dPr>
            <m:begChr m:val="("/>
            <m:endChr m:val=")"/>
            <m:sepChr m:val=""/>
            <m:grow/>
          </m:dPr>
          <m:e>
            <m:sSub>
              <m:e>
                <m:r>
                  <m:t>c</m:t>
                </m:r>
              </m:e>
              <m:sub>
                <m:r>
                  <m:t>i</m:t>
                </m:r>
                <m:r>
                  <m:t>j</m:t>
                </m:r>
              </m:sub>
            </m:sSub>
          </m:e>
        </m:d>
      </m:oMath>
      <w:r>
        <w:t xml:space="preserve">.</w:t>
      </w:r>
      <w:r>
        <w:t xml:space="preserve"> </w:t>
      </w:r>
      <m:oMath>
        <m:sSub>
          <m:e>
            <m:r>
              <m:t>S</m:t>
            </m:r>
          </m:e>
          <m:sub>
            <m:r>
              <m:t>i</m:t>
            </m:r>
          </m:sub>
        </m:sSub>
      </m:oMath>
      <w:r>
        <w:t xml:space="preserve"> </w:t>
      </w:r>
      <w:r>
        <w:t xml:space="preserve">is defined in</w:t>
      </w:r>
      <w:r>
        <w:t xml:space="preserve"> </w:t>
      </w:r>
      <w:hyperlink w:anchor="eq-hansen-access">
        <w:r>
          <w:rPr>
            <w:rStyle w:val="Hyperlink"/>
          </w:rPr>
          <w:t xml:space="preserve">Equation 1</w:t>
        </w:r>
      </w:hyperlink>
      <w:r>
        <w:t xml:space="preserve">.</w:t>
      </w:r>
    </w:p>
    <w:p>
      <w:pPr>
        <w:pStyle w:val="BodyText"/>
      </w:pPr>
      <w:bookmarkStart w:id="21" w:name="eq-hansen-access"/>
      <m:oMathPara>
        <m:oMathParaPr>
          <m:jc m:val="center"/>
        </m:oMathParaPr>
        <m:oMath>
          <m:sSub>
            <m:e>
              <m:r>
                <m:t>S</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rPr>
              <m:sty m:val="p"/>
            </m:rPr>
            <m:t>⋅</m:t>
          </m:r>
          <m:r>
            <m:t>f</m:t>
          </m:r>
          <m:d>
            <m:dPr>
              <m:begChr m:val="("/>
              <m:endChr m:val=")"/>
              <m:sepChr m:val=""/>
              <m:grow/>
            </m:dPr>
            <m:e>
              <m:sSub>
                <m:e>
                  <m:r>
                    <m:t>c</m:t>
                  </m:r>
                </m:e>
                <m:sub>
                  <m:r>
                    <m:t>i</m:t>
                  </m:r>
                  <m:r>
                    <m:t>j</m:t>
                  </m:r>
                </m:sub>
              </m:sSub>
            </m:e>
          </m:d>
          <m:r>
            <m:t>  </m:t>
          </m:r>
          <m:d>
            <m:dPr>
              <m:begChr m:val="("/>
              <m:endChr m:val=")"/>
              <m:sepChr m:val=""/>
              <m:grow/>
            </m:dPr>
            <m:e>
              <m:r>
                <m:t>1</m:t>
              </m:r>
            </m:e>
          </m:d>
        </m:oMath>
      </m:oMathPara>
      <w:bookmarkEnd w:id="21"/>
    </w:p>
    <w:p>
      <w:pPr>
        <w:pStyle w:val="FirstParagraph"/>
      </w:pPr>
      <w:r>
        <w:t xml:space="preserve">Where:</w:t>
      </w:r>
    </w:p>
    <w:p>
      <w:pPr>
        <w:numPr>
          <w:ilvl w:val="0"/>
          <w:numId w:val="1001"/>
        </w:numPr>
        <w:pStyle w:val="Compact"/>
      </w:pPr>
      <m:oMath>
        <m:sSub>
          <m:e>
            <m:r>
              <m:t>c</m:t>
            </m:r>
          </m:e>
          <m:sub>
            <m:r>
              <m:t>i</m:t>
            </m:r>
            <m:r>
              <m:t>j</m:t>
            </m:r>
          </m:sub>
        </m:sSub>
      </m:oMath>
      <w:r>
        <w:t xml:space="preserve"> </w:t>
      </w:r>
      <w:r>
        <w:t xml:space="preserve">is a measure of the cost of moving between</w:t>
      </w:r>
      <w:r>
        <w:t xml:space="preserve"> </w:t>
      </w:r>
      <m:oMath>
        <m:r>
          <m:t>i</m:t>
        </m:r>
      </m:oMath>
      <w:r>
        <w:t xml:space="preserve"> </w:t>
      </w:r>
      <w:r>
        <w:t xml:space="preserve">and</w:t>
      </w:r>
      <w:r>
        <w:t xml:space="preserve"> </w:t>
      </w:r>
      <m:oMath>
        <m:r>
          <m:t>j</m:t>
        </m:r>
      </m:oMath>
      <w:r>
        <w:t xml:space="preserve">.</w:t>
      </w:r>
    </w:p>
    <w:p>
      <w:pPr>
        <w:numPr>
          <w:ilvl w:val="0"/>
          <w:numId w:val="1001"/>
        </w:numPr>
        <w:pStyle w:val="Compact"/>
      </w:pPr>
      <m:oMath>
        <m:r>
          <m:t>f</m:t>
        </m:r>
        <m:d>
          <m:dPr>
            <m:begChr m:val="("/>
            <m:endChr m:val=")"/>
            <m:sepChr m:val=""/>
            <m:grow/>
          </m:dPr>
          <m:e>
            <m:r>
              <m:rPr>
                <m:sty m:val="p"/>
              </m:rPr>
              <m:t>⋅</m:t>
            </m:r>
          </m:e>
        </m:d>
      </m:oMath>
      <w:r>
        <w:t xml:space="preserve"> </w:t>
      </w:r>
      <w:r>
        <w:t xml:space="preserve">is an impedance function of</w:t>
      </w:r>
      <w:r>
        <w:t xml:space="preserve"> </w:t>
      </w:r>
      <m:oMath>
        <m:sSub>
          <m:e>
            <m:r>
              <m:t>c</m:t>
            </m:r>
          </m:e>
          <m:sub>
            <m:r>
              <m:t>i</m:t>
            </m:r>
            <m:r>
              <m:t>j</m:t>
            </m:r>
          </m:sub>
        </m:sSub>
      </m:oMath>
      <w:r>
        <w:t xml:space="preserve">; it can take the form of any monotonically decreasing function chosen based on positive or normative criteria</w:t>
      </w:r>
      <w:r>
        <w:t xml:space="preserve"> </w:t>
      </w:r>
      <w:r>
        <w:t xml:space="preserve">(Paez, Scott, and Morency 2012)</w:t>
      </w:r>
      <w:r>
        <w:t xml:space="preserve">.</w:t>
      </w:r>
    </w:p>
    <w:p>
      <w:pPr>
        <w:numPr>
          <w:ilvl w:val="0"/>
          <w:numId w:val="1001"/>
        </w:numPr>
        <w:pStyle w:val="Compact"/>
      </w:pPr>
      <m:oMath>
        <m:r>
          <m:t>i</m:t>
        </m:r>
      </m:oMath>
      <w:r>
        <w:t xml:space="preserve"> </w:t>
      </w:r>
      <w:r>
        <w:t xml:space="preserve">is a set of origin locations (</w:t>
      </w:r>
      <m:oMath>
        <m:r>
          <m:t>i</m:t>
        </m:r>
        <m:r>
          <m:rPr>
            <m:sty m:val="p"/>
          </m:rPr>
          <m:t>=</m:t>
        </m:r>
        <m:r>
          <m:t>1</m:t>
        </m:r>
        <m:r>
          <m:rPr>
            <m:sty m:val="p"/>
          </m:rPr>
          <m:t>,</m:t>
        </m:r>
        <m:r>
          <m:rPr>
            <m:sty m:val="p"/>
          </m:rPr>
          <m:t>⋯</m:t>
        </m:r>
        <m:r>
          <m:rPr>
            <m:sty m:val="p"/>
          </m:rPr>
          <m:t>,</m:t>
        </m:r>
        <m:r>
          <m:t>N</m:t>
        </m:r>
      </m:oMath>
      <w:r>
        <w:t xml:space="preserve">).</w:t>
      </w:r>
    </w:p>
    <w:p>
      <w:pPr>
        <w:numPr>
          <w:ilvl w:val="0"/>
          <w:numId w:val="1001"/>
        </w:numPr>
        <w:pStyle w:val="Compact"/>
      </w:pPr>
      <m:oMath>
        <m:r>
          <m:t>j</m:t>
        </m:r>
      </m:oMath>
      <w:r>
        <w:t xml:space="preserve"> </w:t>
      </w:r>
      <w:r>
        <w:t xml:space="preserve">is a set of destination locations (</w:t>
      </w:r>
      <m:oMath>
        <m:r>
          <m:t>j</m:t>
        </m:r>
        <m:r>
          <m:rPr>
            <m:sty m:val="p"/>
          </m:rPr>
          <m:t>=</m:t>
        </m:r>
        <m:r>
          <m:t>1</m:t>
        </m:r>
        <m:r>
          <m:rPr>
            <m:sty m:val="p"/>
          </m:rPr>
          <m:t>,</m:t>
        </m:r>
        <m:r>
          <m:rPr>
            <m:sty m:val="p"/>
          </m:rPr>
          <m:t>⋯</m:t>
        </m:r>
        <m:r>
          <m:rPr>
            <m:sty m:val="p"/>
          </m:rPr>
          <m:t>,</m:t>
        </m:r>
        <m:r>
          <m:t>J</m:t>
        </m:r>
      </m:oMath>
      <w:r>
        <w:t xml:space="preserve">).</w:t>
      </w:r>
    </w:p>
    <w:p>
      <w:pPr>
        <w:numPr>
          <w:ilvl w:val="0"/>
          <w:numId w:val="1001"/>
        </w:numPr>
        <w:pStyle w:val="Compact"/>
      </w:pPr>
      <m:oMath>
        <m:sSub>
          <m:e>
            <m:r>
              <m:t>O</m:t>
            </m:r>
          </m:e>
          <m:sub>
            <m:r>
              <m:t>j</m:t>
            </m:r>
          </m:sub>
        </m:sSub>
      </m:oMath>
      <w:r>
        <w:t xml:space="preserve"> </w:t>
      </w:r>
      <w:r>
        <w:t xml:space="preserve">is the number of opportunities at location</w:t>
      </w:r>
      <w:r>
        <w:t xml:space="preserve"> </w:t>
      </w:r>
      <m:oMath>
        <m:r>
          <m:t>j</m:t>
        </m:r>
      </m:oMath>
      <w:r>
        <w:t xml:space="preserve">;</w:t>
      </w:r>
      <w:r>
        <w:t xml:space="preserve"> </w:t>
      </w:r>
      <m:oMath>
        <m:r>
          <m:t>O</m:t>
        </m:r>
        <m:r>
          <m:rPr>
            <m:sty m:val="p"/>
          </m:rPr>
          <m:t>=</m:t>
        </m:r>
        <m:nary>
          <m:naryPr>
            <m:chr m:val="∑"/>
            <m:limLoc m:val="undOvr"/>
            <m:subHide m:val="0"/>
            <m:supHide m:val="0"/>
          </m:naryPr>
          <m:sub>
            <m:r>
              <m:t>j</m:t>
            </m:r>
            <m:r>
              <m:rPr>
                <m:sty m:val="p"/>
              </m:rPr>
              <m:t>=</m:t>
            </m:r>
            <m:r>
              <m:t>1</m:t>
            </m:r>
          </m:sub>
          <m:sup>
            <m:r>
              <m:t>J</m:t>
            </m:r>
          </m:sup>
          <m:e>
            <m:sSub>
              <m:e>
                <m:r>
                  <m:t>O</m:t>
                </m:r>
              </m:e>
              <m:sub>
                <m:r>
                  <m:t>j</m:t>
                </m:r>
              </m:sub>
            </m:sSub>
          </m:e>
        </m:nary>
      </m:oMath>
      <w:r>
        <w:t xml:space="preserve"> </w:t>
      </w:r>
      <w:r>
        <w:t xml:space="preserve">is the total supply of opportunities in the study region.</w:t>
      </w:r>
    </w:p>
    <w:p>
      <w:pPr>
        <w:pStyle w:val="FirstParagraph"/>
      </w:pPr>
      <w:r>
        <w:t xml:space="preserve">Many variations of</w:t>
      </w:r>
      <w:r>
        <w:t xml:space="preserve"> </w:t>
      </w:r>
      <m:oMath>
        <m:sSub>
          <m:e>
            <m:r>
              <m:t>S</m:t>
            </m:r>
          </m:e>
          <m:sub>
            <m:r>
              <m:t>i</m:t>
            </m:r>
          </m:sub>
        </m:sSub>
      </m:oMath>
      <w:r>
        <w:t xml:space="preserve"> </w:t>
      </w:r>
      <w:r>
        <w:t xml:space="preserve">have been proposed - but largely they focus on tweaks to the type of</w:t>
      </w:r>
      <w:r>
        <w:t xml:space="preserve"> </w:t>
      </w:r>
      <m:oMath>
        <m:r>
          <m:t>f</m:t>
        </m:r>
        <m:d>
          <m:dPr>
            <m:begChr m:val="("/>
            <m:endChr m:val=")"/>
            <m:sepChr m:val=""/>
            <m:grow/>
          </m:dPr>
          <m:e>
            <m:sSub>
              <m:e>
                <m:r>
                  <m:t>c</m:t>
                </m:r>
              </m:e>
              <m:sub>
                <m:r>
                  <m:t>i</m:t>
                </m:r>
                <m:r>
                  <m:t>j</m:t>
                </m:r>
              </m:sub>
            </m:sSub>
          </m:e>
        </m:d>
      </m:oMath>
      <w:r>
        <w:t xml:space="preserve"> </w:t>
      </w:r>
      <w:r>
        <w:t xml:space="preserve">used. This measure counts</w:t>
      </w:r>
      <w:r>
        <w:t xml:space="preserve"> </w:t>
      </w:r>
      <m:oMath>
        <m:sSub>
          <m:e>
            <m:r>
              <m:t>O</m:t>
            </m:r>
          </m:e>
          <m:sub>
            <m:r>
              <m:t>j</m:t>
            </m:r>
          </m:sub>
        </m:sSub>
      </m:oMath>
      <w:r>
        <w:t xml:space="preserve"> </w:t>
      </w:r>
      <w:r>
        <w:t xml:space="preserve">(after being weighted by</w:t>
      </w:r>
      <w:r>
        <w:t xml:space="preserve"> </w:t>
      </w:r>
      <m:oMath>
        <m:r>
          <m:t>f</m:t>
        </m:r>
        <m:d>
          <m:dPr>
            <m:begChr m:val="("/>
            <m:endChr m:val=")"/>
            <m:sepChr m:val=""/>
            <m:grow/>
          </m:dPr>
          <m:e>
            <m:sSub>
              <m:e>
                <m:r>
                  <m:t>c</m:t>
                </m:r>
              </m:e>
              <m:sub>
                <m:r>
                  <m:t>i</m:t>
                </m:r>
                <m:r>
                  <m:t>j</m:t>
                </m:r>
              </m:sub>
            </m:sSub>
          </m:e>
        </m:d>
      </m:oMath>
      <w:r>
        <w:t xml:space="preserve">) for each</w:t>
      </w:r>
      <w:r>
        <w:t xml:space="preserve"> </w:t>
      </w:r>
      <m:oMath>
        <m:r>
          <m:t>i</m:t>
        </m:r>
      </m:oMath>
      <w:r>
        <w:t xml:space="preserve">. This means that the score that is assigned to each</w:t>
      </w:r>
      <w:r>
        <w:t xml:space="preserve"> </w:t>
      </w:r>
      <m:oMath>
        <m:r>
          <m:t>i</m:t>
        </m:r>
      </m:oMath>
      <w:r>
        <w:t xml:space="preserve"> </w:t>
      </w:r>
      <w:r>
        <w:t xml:space="preserve">is the summation of all the opportunities that can</w:t>
      </w:r>
      <w:r>
        <w:t xml:space="preserve"> </w:t>
      </w:r>
      <w:r>
        <w:rPr>
          <w:iCs/>
          <w:i/>
        </w:rPr>
        <w:t xml:space="preserve">potentially</w:t>
      </w:r>
      <w:r>
        <w:t xml:space="preserve"> </w:t>
      </w:r>
      <w:r>
        <w:t xml:space="preserve">be interacted with.</w:t>
      </w:r>
    </w:p>
    <w:p>
      <w:pPr>
        <w:pStyle w:val="BodyText"/>
      </w:pPr>
      <w:r>
        <w:t xml:space="preserve">In lay terms,</w:t>
      </w:r>
      <w:r>
        <w:t xml:space="preserve"> </w:t>
      </w:r>
      <m:oMath>
        <m:sSub>
          <m:e>
            <m:r>
              <m:t>S</m:t>
            </m:r>
          </m:e>
          <m:sub>
            <m:r>
              <m:t>i</m:t>
            </m:r>
          </m:sub>
        </m:sSub>
      </m:oMath>
      <w:r>
        <w:t xml:space="preserve"> </w:t>
      </w:r>
      <w:r>
        <w:t xml:space="preserve">is a measure of the number of opportunities that someone at</w:t>
      </w:r>
      <w:r>
        <w:t xml:space="preserve"> </w:t>
      </w:r>
      <m:oMath>
        <m:r>
          <m:t>i</m:t>
        </m:r>
      </m:oMath>
      <w:r>
        <w:t xml:space="preserve"> </w:t>
      </w:r>
      <w:r>
        <w:t xml:space="preserve">can potentially interact with, given their travel behaviour. However, counting all opportunities of potential interaction may not suit certain opportunities, consider the following hypothetical example.</w:t>
      </w:r>
    </w:p>
    <w:p>
      <w:pPr>
        <w:pStyle w:val="BodyText"/>
      </w:pPr>
      <w:r>
        <w:t xml:space="preserve">One can live in a part of the city where they have relatively high accessibility</w:t>
      </w:r>
      <w:r>
        <w:t xml:space="preserve"> </w:t>
      </w:r>
      <m:oMath>
        <m:sSub>
          <m:e>
            <m:r>
              <m:t>S</m:t>
            </m:r>
          </m:e>
          <m:sub>
            <m:r>
              <m:t>i</m:t>
            </m:r>
          </m:sub>
        </m:sSub>
      </m:oMath>
      <w:r>
        <w:t xml:space="preserve"> </w:t>
      </w:r>
      <w:r>
        <w:t xml:space="preserve">to jobs as a result of land-use (e.g., close to a commercial business district) and transportation options (e.g., great roads, excellent transit). Say</w:t>
      </w:r>
      <w:r>
        <w:t xml:space="preserve"> </w:t>
      </w:r>
      <m:oMath>
        <m:sSub>
          <m:e>
            <m:r>
              <m:t>S</m:t>
            </m:r>
          </m:e>
          <m:sub>
            <m:r>
              <m:t>i</m:t>
            </m:r>
          </m:sub>
        </m:sSub>
      </m:oMath>
      <w:r>
        <w:t xml:space="preserve"> </w:t>
      </w:r>
      <w:r>
        <w:t xml:space="preserve">is a value of</w:t>
      </w:r>
      <w:r>
        <w:t xml:space="preserve"> </w:t>
      </w:r>
      <w:r>
        <w:t xml:space="preserve">“</w:t>
      </w:r>
      <w:r>
        <w:t xml:space="preserve">10,000 potential job opportunities</w:t>
      </w:r>
      <w:r>
        <w:t xml:space="preserve">”</w:t>
      </w:r>
      <w:r>
        <w:t xml:space="preserve"> </w:t>
      </w:r>
      <w:r>
        <w:t xml:space="preserve">for a neighbourhood</w:t>
      </w:r>
      <w:r>
        <w:t xml:space="preserve"> </w:t>
      </w:r>
      <m:oMath>
        <m:r>
          <m:t>i</m:t>
        </m:r>
      </m:oMath>
      <w:r>
        <w:t xml:space="preserve">. Now, imagine if their adjacent neighbourhoods have 15,000 people who can also reach those same 10,000 job opportunities. Though they can potentially interact with a</w:t>
      </w:r>
      <w:r>
        <w:t xml:space="preserve"> </w:t>
      </w:r>
      <w:r>
        <w:rPr>
          <w:iCs/>
          <w:i/>
        </w:rPr>
        <w:t xml:space="preserve">relatively</w:t>
      </w:r>
      <w:r>
        <w:t xml:space="preserve"> </w:t>
      </w:r>
      <w:r>
        <w:t xml:space="preserve">high</w:t>
      </w:r>
      <w:r>
        <w:t xml:space="preserve"> </w:t>
      </w:r>
      <m:oMath>
        <m:sSub>
          <m:e>
            <m:r>
              <m:t>S</m:t>
            </m:r>
          </m:e>
          <m:sub>
            <m:r>
              <m:t>i</m:t>
            </m:r>
          </m:sub>
        </m:sSub>
      </m:oMath>
      <w:r>
        <w:t xml:space="preserve"> </w:t>
      </w:r>
      <w:r>
        <w:t xml:space="preserve">value of 10,000 opportunities, they may have less</w:t>
      </w:r>
      <w:r>
        <w:t xml:space="preserve"> </w:t>
      </w:r>
      <w:r>
        <w:rPr>
          <w:iCs/>
          <w:i/>
        </w:rPr>
        <w:t xml:space="preserve">available</w:t>
      </w:r>
      <w:r>
        <w:t xml:space="preserve"> </w:t>
      </w:r>
      <w:r>
        <w:t xml:space="preserve">opportunities as a result of relatively high neighbouring demand for opportunities. When compared to other areas of the city with relatively lower</w:t>
      </w:r>
      <w:r>
        <w:t xml:space="preserve"> </w:t>
      </w:r>
      <m:oMath>
        <m:sSub>
          <m:e>
            <m:r>
              <m:t>S</m:t>
            </m:r>
          </m:e>
          <m:sub>
            <m:r>
              <m:t>i</m:t>
            </m:r>
          </m:sub>
        </m:sSub>
      </m:oMath>
      <w:r>
        <w:t xml:space="preserve"> </w:t>
      </w:r>
      <w:r>
        <w:t xml:space="preserve">values but with a similar level of job opportunities and population demand, those other areas in the city may have more potential</w:t>
      </w:r>
      <w:r>
        <w:t xml:space="preserve"> </w:t>
      </w:r>
      <w:r>
        <w:rPr>
          <w:iCs/>
          <w:i/>
        </w:rPr>
        <w:t xml:space="preserve">spatial availability</w:t>
      </w:r>
      <w:r>
        <w:t xml:space="preserve"> </w:t>
      </w:r>
      <w:r>
        <w:t xml:space="preserve">than the neighbourhood where our hypothetical person lives.</w:t>
      </w:r>
    </w:p>
    <w:p>
      <w:pPr>
        <w:pStyle w:val="BodyText"/>
      </w:pPr>
      <w:r>
        <w:t xml:space="preserve">The concept described is formally known as</w:t>
      </w:r>
      <w:r>
        <w:t xml:space="preserve"> </w:t>
      </w:r>
      <w:r>
        <w:rPr>
          <w:iCs/>
          <w:i/>
        </w:rPr>
        <w:t xml:space="preserve">competition</w:t>
      </w:r>
      <w:r>
        <w:t xml:space="preserve">, and has been applied to within the influential accessibility works of</w:t>
      </w:r>
      <w:r>
        <w:t xml:space="preserve"> </w:t>
      </w:r>
      <w:r>
        <w:t xml:space="preserve">Shen (1998)</w:t>
      </w:r>
      <w:r>
        <w:t xml:space="preserve"> </w:t>
      </w:r>
      <w:r>
        <w:t xml:space="preserve">and</w:t>
      </w:r>
      <w:r>
        <w:t xml:space="preserve"> </w:t>
      </w:r>
      <w:r>
        <w:t xml:space="preserve">Weibull (1976)</w:t>
      </w:r>
      <w:r>
        <w:t xml:space="preserve"> </w:t>
      </w:r>
      <w:r>
        <w:t xml:space="preserve">as well as the widely used floating catchment areas methods (e.g., the two step floating catchment area (2SFCA) approach of</w:t>
      </w:r>
      <w:r>
        <w:t xml:space="preserve"> </w:t>
      </w:r>
      <w:r>
        <w:t xml:space="preserve">Luo and Wang (2003)</w:t>
      </w:r>
      <w:r>
        <w:t xml:space="preserve">). We can think of these works as adjustments to</w:t>
      </w:r>
      <w:r>
        <w:t xml:space="preserve"> </w:t>
      </w:r>
      <m:oMath>
        <m:sSub>
          <m:e>
            <m:r>
              <m:t>S</m:t>
            </m:r>
          </m:e>
          <m:sub>
            <m:r>
              <m:t>i</m:t>
            </m:r>
          </m:sub>
        </m:sSub>
      </m:oMath>
      <w:r>
        <w:t xml:space="preserve"> </w:t>
      </w:r>
      <w:r>
        <w:t xml:space="preserve">(unconstrained accessibility) that account for the population’s demand for opportunities in the region of interest.</w:t>
      </w:r>
    </w:p>
    <w:p>
      <w:pPr>
        <w:pStyle w:val="BodyText"/>
      </w:pPr>
      <w:r>
        <w:t xml:space="preserve">In a recently published journal article, we propose an alternative derivation of accessibility by</w:t>
      </w:r>
      <w:r>
        <w:t xml:space="preserve"> </w:t>
      </w:r>
      <w:r>
        <w:rPr>
          <w:iCs/>
          <w:i/>
        </w:rPr>
        <w:t xml:space="preserve">constraining</w:t>
      </w:r>
      <w:r>
        <w:t xml:space="preserve"> </w:t>
      </w:r>
      <w:r>
        <w:t xml:space="preserve">the results to match known quantities in the system</w:t>
      </w:r>
      <w:r>
        <w:t xml:space="preserve"> </w:t>
      </w:r>
      <w:r>
        <w:t xml:space="preserve">(Soukhov et al. 2023)</w:t>
      </w:r>
      <w:r>
        <w:t xml:space="preserve">. These known quantities can be the total number of opportunities</w:t>
      </w:r>
      <w:r>
        <w:t xml:space="preserve"> </w:t>
      </w:r>
      <w:r>
        <w:rPr>
          <w:iCs/>
          <w:i/>
        </w:rPr>
        <w:t xml:space="preserve">or</w:t>
      </w:r>
      <w:r>
        <w:t xml:space="preserve"> </w:t>
      </w:r>
      <w:r>
        <w:t xml:space="preserve">the total population in the region under analysis. Since we constrain one of those two (opportunities or population), we think of this measure as a</w:t>
      </w:r>
      <w:r>
        <w:t xml:space="preserve"> </w:t>
      </w:r>
      <w:r>
        <w:rPr>
          <w:iCs/>
          <w:i/>
        </w:rPr>
        <w:t xml:space="preserve">singly-constrained</w:t>
      </w:r>
      <w:r>
        <w:t xml:space="preserve"> </w:t>
      </w:r>
      <w:r>
        <w:t xml:space="preserve">competitive accessibility measure (</w:t>
      </w:r>
      <m:oMath>
        <m:sSub>
          <m:e>
            <m:r>
              <m:t>V</m:t>
            </m:r>
          </m:e>
          <m:sub>
            <m:r>
              <m:t>i</m:t>
            </m:r>
          </m:sub>
        </m:sSub>
      </m:oMath>
      <w:r>
        <w:t xml:space="preserve">).</w:t>
      </w:r>
    </w:p>
    <w:p>
      <w:pPr>
        <w:pStyle w:val="BodyText"/>
      </w:pPr>
      <w:r>
        <w:t xml:space="preserve">In</w:t>
      </w:r>
      <w:r>
        <w:t xml:space="preserve"> </w:t>
      </w:r>
      <m:oMath>
        <m:sSub>
          <m:e>
            <m:r>
              <m:t>V</m:t>
            </m:r>
          </m:e>
          <m:sub>
            <m:r>
              <m:t>i</m:t>
            </m:r>
          </m:sub>
        </m:sSub>
      </m:oMath>
      <w:r>
        <w:t xml:space="preserve">, the total number of opportunities in the study region are preserved. So if a urban region has 100,000 opportunities, at the end of the analysis, the sum of</w:t>
      </w:r>
      <w:r>
        <w:t xml:space="preserve"> </w:t>
      </w:r>
      <w:r>
        <w:rPr>
          <w:iCs/>
          <w:i/>
        </w:rPr>
        <w:t xml:space="preserve">all</w:t>
      </w:r>
      <w:r>
        <w:t xml:space="preserve"> </w:t>
      </w:r>
      <m:oMath>
        <m:sSub>
          <m:e>
            <m:r>
              <m:t>V</m:t>
            </m:r>
          </m:e>
          <m:sub>
            <m:r>
              <m:t>i</m:t>
            </m:r>
          </m:sub>
        </m:sSub>
      </m:oMath>
      <w:r>
        <w:t xml:space="preserve"> </w:t>
      </w:r>
      <w:r>
        <w:t xml:space="preserve">values in the region is 100,000. How is this achieved? As a result of the proportional allocation feature: opportunities are allocated proportionally to each spatial units in the region based on the relative travel impedance and relative population density. We call this measure</w:t>
      </w:r>
      <w:r>
        <w:t xml:space="preserve"> </w:t>
      </w:r>
      <w:r>
        <w:rPr>
          <w:iCs/>
          <w:i/>
        </w:rPr>
        <w:t xml:space="preserve">spatial availability</w:t>
      </w:r>
      <w:r>
        <w:t xml:space="preserve"> </w:t>
      </w:r>
      <w:r>
        <w:t xml:space="preserve">which we denote as</w:t>
      </w:r>
      <w:r>
        <w:t xml:space="preserve"> </w:t>
      </w:r>
      <m:oMath>
        <m:sSub>
          <m:e>
            <m:r>
              <m:t>V</m:t>
            </m:r>
          </m:e>
          <m:sub>
            <m:r>
              <m:t>i</m:t>
            </m:r>
          </m:sub>
        </m:sSub>
      </m:oMath>
      <w:r>
        <w:t xml:space="preserve"> </w:t>
      </w:r>
      <w:r>
        <w:t xml:space="preserve">to distinguish it from unconstrained accessibility</w:t>
      </w:r>
      <w:r>
        <w:t xml:space="preserve"> </w:t>
      </w:r>
      <m:oMath>
        <m:sSub>
          <m:e>
            <m:r>
              <m:t>S</m:t>
            </m:r>
          </m:e>
          <m:sub>
            <m:r>
              <m:t>i</m:t>
            </m:r>
          </m:sub>
        </m:sSub>
      </m:oMath>
      <w:r>
        <w:t xml:space="preserve">. Spatial availability and its mathematical formulation is defined in</w:t>
      </w:r>
      <w:r>
        <w:t xml:space="preserve"> </w:t>
      </w:r>
      <w:hyperlink w:anchor="eq-spatial-avail">
        <w:r>
          <w:rPr>
            <w:rStyle w:val="Hyperlink"/>
          </w:rPr>
          <w:t xml:space="preserve">Equation 2</w:t>
        </w:r>
      </w:hyperlink>
      <w:r>
        <w:t xml:space="preserve">:</w:t>
      </w:r>
    </w:p>
    <w:p>
      <w:pPr>
        <w:pStyle w:val="BodyText"/>
      </w:pPr>
      <w:bookmarkStart w:id="22" w:name="eq-spatial-avail"/>
      <w:r>
        <w:t xml:space="preserve">$$
\begin{array}
\\V_{i} = \sum_{j=1}^NO_jF^t_{ij} \\
\text{Where: } F^t_{ij} = \frac{F^p_{i} \cdot F^c_{ij}}{\sum_{i=1}^N F^p_{i} \cdot F^c_{ij}}
\end{array}
 \qquad(2)$$</w:t>
      </w:r>
      <w:bookmarkEnd w:id="22"/>
    </w:p>
    <w:p>
      <w:pPr>
        <w:pStyle w:val="FirstParagraph"/>
      </w:pPr>
      <w:r>
        <w:t xml:space="preserve">where</w:t>
      </w:r>
      <w:r>
        <w:t xml:space="preserve"> </w:t>
      </w:r>
      <m:oMath>
        <m:sSub>
          <m:e>
            <m:r>
              <m:t>V</m:t>
            </m:r>
          </m:e>
          <m:sub>
            <m:r>
              <m:t>i</m:t>
            </m:r>
          </m:sub>
        </m:sSub>
      </m:oMath>
      <w:r>
        <w:t xml:space="preserve"> </w:t>
      </w:r>
      <w:r>
        <w:t xml:space="preserve">contains the opportunities, just as in the</w:t>
      </w:r>
      <w:r>
        <w:t xml:space="preserve"> </w:t>
      </w:r>
      <w:r>
        <w:rPr>
          <w:iCs/>
          <w:i/>
        </w:rPr>
        <w:t xml:space="preserve">unconstrained</w:t>
      </w:r>
      <w:r>
        <w:t xml:space="preserve"> </w:t>
      </w:r>
      <w:r>
        <w:t xml:space="preserve">accessibility measure</w:t>
      </w:r>
      <w:r>
        <w:t xml:space="preserve"> </w:t>
      </w:r>
      <m:oMath>
        <m:sSub>
          <m:e>
            <m:r>
              <m:t>S</m:t>
            </m:r>
          </m:e>
          <m:sub>
            <m:r>
              <m:t>i</m:t>
            </m:r>
          </m:sub>
        </m:sSub>
      </m:oMath>
      <w:r>
        <w:t xml:space="preserve">, but the allocation depends on balancing factor</w:t>
      </w:r>
      <w:r>
        <w:t xml:space="preserve"> </w:t>
      </w:r>
      <m:oMath>
        <m:sSubSup>
          <m:e>
            <m:r>
              <m:t>F</m:t>
            </m:r>
          </m:e>
          <m:sub>
            <m:r>
              <m:t>i</m:t>
            </m:r>
            <m:r>
              <m:t>j</m:t>
            </m:r>
          </m:sub>
          <m:sup>
            <m:r>
              <m:t>t</m:t>
            </m:r>
          </m:sup>
        </m:sSubSup>
      </m:oMath>
      <w:r>
        <w:t xml:space="preserve">. The sum of of</w:t>
      </w:r>
      <w:r>
        <w:t xml:space="preserve"> </w:t>
      </w:r>
      <m:oMath>
        <m:sSubSup>
          <m:e>
            <m:r>
              <m:t>F</m:t>
            </m:r>
          </m:e>
          <m:sub>
            <m:r>
              <m:t>i</m:t>
            </m:r>
            <m:r>
              <m:t>j</m:t>
            </m:r>
          </m:sub>
          <m:sup>
            <m:r>
              <m:t>t</m:t>
            </m:r>
          </m:sup>
        </m:sSubSup>
      </m:oMath>
      <w:r>
        <w:t xml:space="preserve"> </w:t>
      </w:r>
      <w:r>
        <w:t xml:space="preserve">in the region adds up to 1, which is how the sum of the spatial availability is equal to the sum of</w:t>
      </w:r>
      <w:r>
        <w:t xml:space="preserve"> </w:t>
      </w:r>
      <m:oMath>
        <m:sSub>
          <m:e>
            <m:r>
              <m:t>O</m:t>
            </m:r>
          </m:e>
          <m:sub>
            <m:r>
              <m:t>j</m:t>
            </m:r>
          </m:sub>
        </m:sSub>
      </m:oMath>
      <w:r>
        <w:t xml:space="preserve">. Revisting our hypothetical example of a urban region with 100,000 opportunities: it can be understood that both measures (</w:t>
      </w:r>
      <m:oMath>
        <m:sSub>
          <m:e>
            <m:r>
              <m:t>S</m:t>
            </m:r>
          </m:e>
          <m:sub>
            <m:r>
              <m:t>i</m:t>
            </m:r>
          </m:sub>
        </m:sSub>
      </m:oMath>
      <w:r>
        <w:t xml:space="preserve"> </w:t>
      </w:r>
      <w:r>
        <w:t xml:space="preserve">and</w:t>
      </w:r>
      <w:r>
        <w:t xml:space="preserve"> </w:t>
      </w:r>
      <m:oMath>
        <m:sSub>
          <m:e>
            <m:r>
              <m:t>V</m:t>
            </m:r>
          </m:e>
          <m:sub>
            <m:r>
              <m:t>i</m:t>
            </m:r>
          </m:sub>
        </m:sSub>
      </m:oMath>
      <w:r>
        <w:t xml:space="preserve">) are weighted sums of opportunities, but in</w:t>
      </w:r>
      <w:r>
        <w:t xml:space="preserve"> </w:t>
      </w:r>
      <m:oMath>
        <m:sSub>
          <m:e>
            <m:r>
              <m:t>S</m:t>
            </m:r>
          </m:e>
          <m:sub>
            <m:r>
              <m:t>i</m:t>
            </m:r>
          </m:sub>
        </m:sSub>
      </m:oMath>
      <w:r>
        <w:t xml:space="preserve"> </w:t>
      </w:r>
      <w:r>
        <w:t xml:space="preserve">the sum of all opportunities may be more or less than the 100,000. In contrast, thanks to the proportional allocation balancing factors in</w:t>
      </w:r>
      <w:r>
        <w:t xml:space="preserve"> </w:t>
      </w:r>
      <m:oMath>
        <m:sSub>
          <m:e>
            <m:r>
              <m:t>V</m:t>
            </m:r>
          </m:e>
          <m:sub>
            <m:r>
              <m:t>i</m:t>
            </m:r>
          </m:sub>
        </m:sSub>
      </m:oMath>
      <w:r>
        <w:t xml:space="preserve">, the sum of</w:t>
      </w:r>
      <w:r>
        <w:t xml:space="preserve"> </w:t>
      </w:r>
      <m:oMath>
        <m:sSub>
          <m:e>
            <m:r>
              <m:t>V</m:t>
            </m:r>
          </m:e>
          <m:sub>
            <m:r>
              <m:t>i</m:t>
            </m:r>
          </m:sub>
        </m:sSub>
      </m:oMath>
      <w:r>
        <w:t xml:space="preserve"> </w:t>
      </w:r>
      <w:r>
        <w:t xml:space="preserve">values across the region is constrained to equal 100,00 opportunities.</w:t>
      </w:r>
    </w:p>
    <w:p>
      <w:pPr>
        <w:pStyle w:val="BodyText"/>
      </w:pPr>
      <w:r>
        <w:t xml:space="preserve">For additional context, within</w:t>
      </w:r>
      <w:r>
        <w:t xml:space="preserve"> </w:t>
      </w:r>
      <m:oMath>
        <m:sSub>
          <m:e>
            <m:r>
              <m:t>V</m:t>
            </m:r>
          </m:e>
          <m:sub>
            <m:r>
              <m:t>i</m:t>
            </m:r>
          </m:sub>
        </m:sSub>
      </m:oMath>
      <w:r>
        <w:t xml:space="preserve">:</w:t>
      </w:r>
    </w:p>
    <w:p>
      <w:pPr>
        <w:numPr>
          <w:ilvl w:val="0"/>
          <w:numId w:val="1002"/>
        </w:numPr>
        <w:pStyle w:val="Compact"/>
      </w:pPr>
      <m:oMath>
        <m:sSubSup>
          <m:e>
            <m:r>
              <m:t>F</m:t>
            </m:r>
          </m:e>
          <m:sub>
            <m:r>
              <m:t>i</m:t>
            </m:r>
            <m:r>
              <m:t>j</m:t>
            </m:r>
          </m:sub>
          <m:sup>
            <m:r>
              <m:t>t</m:t>
            </m:r>
          </m:sup>
        </m:sSubSup>
      </m:oMath>
      <w:r>
        <w:t xml:space="preserve"> </w:t>
      </w:r>
      <w:r>
        <w:t xml:space="preserve">is a balancing factor defined the population balancing factor (</w:t>
      </w:r>
      <m:oMath>
        <m:sSubSup>
          <m:e>
            <m:r>
              <m:t>F</m:t>
            </m:r>
          </m:e>
          <m:sub>
            <m:r>
              <m:t>i</m:t>
            </m:r>
          </m:sub>
          <m:sup>
            <m:r>
              <m:t>p</m:t>
            </m:r>
          </m:sup>
        </m:sSubSup>
        <m:r>
          <m:rPr>
            <m:sty m:val="p"/>
          </m:rPr>
          <m:t>=</m:t>
        </m:r>
        <m:f>
          <m:fPr>
            <m:type m:val="bar"/>
          </m:fPr>
          <m:num>
            <m:sSub>
              <m:e>
                <m:r>
                  <m:t>P</m:t>
                </m:r>
              </m:e>
              <m:sub>
                <m:r>
                  <m:t>i</m:t>
                </m:r>
              </m:sub>
            </m:sSub>
          </m:num>
          <m:den>
            <m:nary>
              <m:naryPr>
                <m:chr m:val="∑"/>
                <m:limLoc m:val="undOvr"/>
                <m:subHide m:val="0"/>
                <m:supHide m:val="0"/>
              </m:naryPr>
              <m:sub>
                <m:r>
                  <m:t>i</m:t>
                </m:r>
                <m:r>
                  <m:rPr>
                    <m:sty m:val="p"/>
                  </m:rPr>
                  <m:t>=</m:t>
                </m:r>
                <m:r>
                  <m:t>1</m:t>
                </m:r>
              </m:sub>
              <m:sup>
                <m:r>
                  <m:t>N</m:t>
                </m:r>
              </m:sup>
              <m:e>
                <m:sSub>
                  <m:e>
                    <m:r>
                      <m:t>P</m:t>
                    </m:r>
                  </m:e>
                  <m:sub>
                    <m:r>
                      <m:t>i</m:t>
                    </m:r>
                  </m:sub>
                </m:sSub>
              </m:e>
            </m:nary>
          </m:den>
        </m:f>
      </m:oMath>
      <w:r>
        <w:t xml:space="preserve">) and travel impedance balancing factor (</w:t>
      </w:r>
      <m:oMath>
        <m:sSubSup>
          <m:e>
            <m:r>
              <m:t>F</m:t>
            </m:r>
          </m:e>
          <m:sub>
            <m:r>
              <m:t>i</m:t>
            </m:r>
            <m:r>
              <m:t>j</m:t>
            </m:r>
          </m:sub>
          <m:sup>
            <m:r>
              <m:t>c</m:t>
            </m:r>
          </m:sup>
        </m:sSubSup>
        <m:r>
          <m:rPr>
            <m:sty m:val="p"/>
          </m:rPr>
          <m:t>=</m:t>
        </m:r>
        <m:f>
          <m:fPr>
            <m:type m:val="bar"/>
          </m:fPr>
          <m:num>
            <m:r>
              <m:t>f</m:t>
            </m:r>
            <m:d>
              <m:dPr>
                <m:begChr m:val="("/>
                <m:endChr m:val=")"/>
                <m:sepChr m:val=""/>
                <m:grow/>
              </m:dPr>
              <m:e>
                <m:sSub>
                  <m:e>
                    <m:r>
                      <m:t>c</m:t>
                    </m:r>
                  </m:e>
                  <m:sub>
                    <m:r>
                      <m:t>i</m:t>
                    </m:r>
                    <m:r>
                      <m:t>j</m:t>
                    </m:r>
                  </m:sub>
                </m:sSub>
              </m:e>
            </m:d>
          </m:num>
          <m:den>
            <m:nary>
              <m:naryPr>
                <m:chr m:val="∑"/>
                <m:limLoc m:val="undOvr"/>
                <m:subHide m:val="0"/>
                <m:supHide m:val="0"/>
              </m:naryPr>
              <m:sub>
                <m:r>
                  <m:t>i</m:t>
                </m:r>
                <m:r>
                  <m:rPr>
                    <m:sty m:val="p"/>
                  </m:rPr>
                  <m:t>=</m:t>
                </m:r>
                <m:r>
                  <m:t>1</m:t>
                </m:r>
              </m:sub>
              <m:sup>
                <m:r>
                  <m:t>N</m:t>
                </m:r>
              </m:sup>
              <m:e>
                <m:r>
                  <m:t>f</m:t>
                </m:r>
              </m:e>
            </m:nary>
            <m:d>
              <m:dPr>
                <m:begChr m:val="("/>
                <m:endChr m:val=")"/>
                <m:sepChr m:val=""/>
                <m:grow/>
              </m:dPr>
              <m:e>
                <m:sSub>
                  <m:e>
                    <m:r>
                      <m:t>c</m:t>
                    </m:r>
                  </m:e>
                  <m:sub>
                    <m:r>
                      <m:t>i</m:t>
                    </m:r>
                    <m:r>
                      <m:t>j</m:t>
                    </m:r>
                  </m:sub>
                </m:sSub>
              </m:e>
            </m:d>
          </m:den>
        </m:f>
      </m:oMath>
      <w:r>
        <w:t xml:space="preserve">)</w:t>
      </w:r>
    </w:p>
    <w:p>
      <w:pPr>
        <w:pStyle w:val="FirstParagraph"/>
      </w:pPr>
      <w:r>
        <w:t xml:space="preserve">The balancing factor</w:t>
      </w:r>
      <w:r>
        <w:t xml:space="preserve"> </w:t>
      </w:r>
      <m:oMath>
        <m:sSubSup>
          <m:e>
            <m:r>
              <m:t>F</m:t>
            </m:r>
          </m:e>
          <m:sub>
            <m:r>
              <m:t>i</m:t>
            </m:r>
          </m:sub>
          <m:sup>
            <m:r>
              <m:t>p</m:t>
            </m:r>
          </m:sup>
        </m:sSubSup>
      </m:oMath>
      <w:r>
        <w:t xml:space="preserve"> </w:t>
      </w:r>
      <w:r>
        <w:t xml:space="preserve">corresponds to the proportion of the population in origin</w:t>
      </w:r>
      <w:r>
        <w:t xml:space="preserve"> </w:t>
      </w:r>
      <m:oMath>
        <m:r>
          <m:t>i</m:t>
        </m:r>
      </m:oMath>
      <w:r>
        <w:t xml:space="preserve"> </w:t>
      </w:r>
      <w:r>
        <w:t xml:space="preserve">relative to the population in the region. On the right hand side of the equation, the numerator</w:t>
      </w:r>
      <w:r>
        <w:t xml:space="preserve"> </w:t>
      </w:r>
      <m:oMath>
        <m:sSub>
          <m:e>
            <m:r>
              <m:t>P</m:t>
            </m:r>
          </m:e>
          <m:sub>
            <m:r>
              <m:t>i</m:t>
            </m:r>
          </m:sub>
        </m:sSub>
      </m:oMath>
      <w:r>
        <w:t xml:space="preserve"> </w:t>
      </w:r>
      <w:r>
        <w:t xml:space="preserve">is the population in neighbourhood</w:t>
      </w:r>
      <w:r>
        <w:t xml:space="preserve"> </w:t>
      </w:r>
      <m:oMath>
        <m:r>
          <m:t>i</m:t>
        </m:r>
      </m:oMath>
      <w:r>
        <w:t xml:space="preserve">. The summation in the denominator is over</w:t>
      </w:r>
      <w:r>
        <w:t xml:space="preserve"> </w:t>
      </w:r>
      <m:oMath>
        <m:r>
          <m:t>i</m:t>
        </m:r>
        <m:r>
          <m:rPr>
            <m:sty m:val="p"/>
          </m:rPr>
          <m:t>=</m:t>
        </m:r>
        <m:r>
          <m:t>1</m:t>
        </m:r>
        <m:r>
          <m:rPr>
            <m:sty m:val="p"/>
          </m:rPr>
          <m:t>,</m:t>
        </m:r>
        <m:r>
          <m:rPr>
            <m:sty m:val="p"/>
          </m:rPr>
          <m:t>⋯</m:t>
        </m:r>
        <m:r>
          <m:rPr>
            <m:sty m:val="p"/>
          </m:rPr>
          <m:t>,</m:t>
        </m:r>
        <m:r>
          <m:t>N</m:t>
        </m:r>
      </m:oMath>
      <w:r>
        <w:t xml:space="preserve">, and adds up to the total population of the region under analysis. What does this mean practically? It means, neighbourhoods with a higher density of people get allocated more opportunities (i.e., a larger</w:t>
      </w:r>
      <w:r>
        <w:t xml:space="preserve"> </w:t>
      </w:r>
      <m:oMath>
        <m:sSubSup>
          <m:e>
            <m:r>
              <m:t>F</m:t>
            </m:r>
          </m:e>
          <m:sub>
            <m:r>
              <m:t>i</m:t>
            </m:r>
          </m:sub>
          <m:sup>
            <m:r>
              <m:t>p</m:t>
            </m:r>
          </m:sup>
        </m:sSubSup>
      </m:oMath>
      <w:r>
        <w:t xml:space="preserve"> </w:t>
      </w:r>
      <w:r>
        <w:t xml:space="preserve">value), and less population dense neighborhoods get allocated smaller amounts. This measure is sensitive to demand: more people who are seeking opportunities get allocated more opportunities.</w:t>
      </w:r>
      <w:r>
        <w:t xml:space="preserve"> </w:t>
      </w:r>
    </w:p>
    <w:p>
      <w:pPr>
        <w:pStyle w:val="BodyText"/>
      </w:pPr>
      <w:r>
        <w:t xml:space="preserve">The second balancing factor,</w:t>
      </w:r>
      <w:r>
        <w:t xml:space="preserve"> </w:t>
      </w:r>
      <m:oMath>
        <m:sSubSup>
          <m:e>
            <m:r>
              <m:t>F</m:t>
            </m:r>
          </m:e>
          <m:sub>
            <m:r>
              <m:t>i</m:t>
            </m:r>
            <m:r>
              <m:t>j</m:t>
            </m:r>
          </m:sub>
          <m:sup>
            <m:r>
              <m:t>c</m:t>
            </m:r>
          </m:sup>
        </m:sSubSup>
      </m:oMath>
      <w:r>
        <w:t xml:space="preserve"> </w:t>
      </w:r>
      <w:r>
        <w:t xml:space="preserve">is the travel impedance (cost) balancing factor. It uses the impedance function to proportionally allocate more opportunities to neighbourhoods that are closer to (or contain) a higher density of opportunities. That is, this balancing factor assumes that populations within neighbourhoods that have lower travel impedance (less costly travel) to opportunities are</w:t>
      </w:r>
      <w:r>
        <w:t xml:space="preserve"> </w:t>
      </w:r>
      <w:r>
        <w:rPr>
          <w:iCs/>
          <w:i/>
        </w:rPr>
        <w:t xml:space="preserve">more willing</w:t>
      </w:r>
      <w:r>
        <w:t xml:space="preserve"> </w:t>
      </w:r>
      <w:r>
        <w:t xml:space="preserve">to take these opportunities as hence results in a higher value of</w:t>
      </w:r>
      <w:r>
        <w:t xml:space="preserve"> </w:t>
      </w:r>
      <m:oMath>
        <m:sSubSup>
          <m:e>
            <m:r>
              <m:t>F</m:t>
            </m:r>
          </m:e>
          <m:sub>
            <m:r>
              <m:t>i</m:t>
            </m:r>
            <m:r>
              <m:t>j</m:t>
            </m:r>
          </m:sub>
          <m:sup>
            <m:r>
              <m:t>c</m:t>
            </m:r>
          </m:sup>
        </m:sSubSup>
      </m:oMath>
      <w:r>
        <w:t xml:space="preserve"> </w:t>
      </w:r>
      <w:r>
        <w:t xml:space="preserve">for the neighbourhood. Indeed, the travel cost balancing factor can be thought of as the proportion of the population at an</w:t>
      </w:r>
      <w:r>
        <w:t xml:space="preserve"> </w:t>
      </w:r>
      <w:r>
        <w:t xml:space="preserve">‘</w:t>
      </w:r>
      <w:r>
        <w:t xml:space="preserve">origin</w:t>
      </w:r>
      <w:r>
        <w:t xml:space="preserve">’</w:t>
      </w:r>
      <w:r>
        <w:t xml:space="preserve"> </w:t>
      </w:r>
      <w:r>
        <w:t xml:space="preserve">neighbourhood</w:t>
      </w:r>
      <w:r>
        <w:t xml:space="preserve"> </w:t>
      </w:r>
      <m:oMath>
        <m:r>
          <m:t>i</m:t>
        </m:r>
      </m:oMath>
      <w:r>
        <w:t xml:space="preserve"> </w:t>
      </w:r>
      <w:r>
        <w:t xml:space="preserve">willing to travel to a</w:t>
      </w:r>
      <w:r>
        <w:t xml:space="preserve"> </w:t>
      </w:r>
      <w:r>
        <w:t xml:space="preserve">‘</w:t>
      </w:r>
      <w:r>
        <w:t xml:space="preserve">destination</w:t>
      </w:r>
      <w:r>
        <w:t xml:space="preserve">’</w:t>
      </w:r>
      <w:r>
        <w:t xml:space="preserve"> </w:t>
      </w:r>
      <w:r>
        <w:t xml:space="preserve">neighbourhood</w:t>
      </w:r>
      <w:r>
        <w:t xml:space="preserve"> </w:t>
      </w:r>
      <m:oMath>
        <m:r>
          <m:t>j</m:t>
        </m:r>
      </m:oMath>
      <w:r>
        <w:t xml:space="preserve">, conditional on the travel behavior as described by the impedance function. What does this mean practically? It means, the higher the</w:t>
      </w:r>
      <w:r>
        <w:t xml:space="preserve"> </w:t>
      </w:r>
      <m:oMath>
        <m:sSubSup>
          <m:e>
            <m:r>
              <m:t>F</m:t>
            </m:r>
          </m:e>
          <m:sub>
            <m:r>
              <m:t>i</m:t>
            </m:r>
            <m:r>
              <m:t>j</m:t>
            </m:r>
          </m:sub>
          <m:sup>
            <m:r>
              <m:t>c</m:t>
            </m:r>
          </m:sup>
        </m:sSubSup>
      </m:oMath>
      <w:r>
        <w:t xml:space="preserve"> </w:t>
      </w:r>
      <w:r>
        <w:t xml:space="preserve">for a neighbourhood, the more opportunities get allocated to this neighbourhood than other neighbourhoods.</w:t>
      </w:r>
    </w:p>
    <w:p>
      <w:pPr>
        <w:pStyle w:val="BodyText"/>
      </w:pPr>
      <w:r>
        <w:t xml:space="preserve">Overall,</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can be complex to understand - but the outputs may clarify their intuition! In what follows, we calculate and visualize the</w:t>
      </w:r>
      <w:r>
        <w:t xml:space="preserve"> </w:t>
      </w:r>
      <w:r>
        <w:rPr>
          <w:iCs/>
          <w:i/>
        </w:rPr>
        <w:t xml:space="preserve">unconstrained</w:t>
      </w:r>
      <w:r>
        <w:t xml:space="preserve"> </w:t>
      </w:r>
      <w:r>
        <w:t xml:space="preserve">and</w:t>
      </w:r>
      <w:r>
        <w:t xml:space="preserve"> </w:t>
      </w:r>
      <w:r>
        <w:rPr>
          <w:iCs/>
          <w:i/>
        </w:rPr>
        <w:t xml:space="preserve">constrained</w:t>
      </w:r>
      <w:r>
        <w:t xml:space="preserve"> </w:t>
      </w:r>
      <w:r>
        <w:t xml:space="preserve">accessibility measures discussed above. We use the best-fitting probability distribution functions as impedance functions (defined in the previous</w:t>
      </w:r>
      <w:r>
        <w:t xml:space="preserve"> </w:t>
      </w:r>
      <w:hyperlink r:id="rId20">
        <w:r>
          <w:rPr>
            <w:rStyle w:val="Hyperlink"/>
          </w:rPr>
          <w:t xml:space="preserve">post</w:t>
        </w:r>
      </w:hyperlink>
      <w:r>
        <w:t xml:space="preserve">) to represent travel behavior in both measures</w:t>
      </w:r>
      <w:r>
        <w:t xml:space="preserve"> </w:t>
      </w:r>
      <m:oMath>
        <m:sSub>
          <m:e>
            <m:r>
              <m:t>S</m:t>
            </m:r>
          </m:e>
          <m:sub>
            <m:r>
              <m:t>i</m:t>
            </m:r>
          </m:sub>
        </m:sSub>
      </m:oMath>
      <w:r>
        <w:t xml:space="preserve"> </w:t>
      </w:r>
      <w:r>
        <w:t xml:space="preserve">and</w:t>
      </w:r>
      <w:r>
        <w:t xml:space="preserve"> </w:t>
      </w:r>
      <m:oMath>
        <m:sSub>
          <m:e>
            <m:r>
              <m:t>V</m:t>
            </m:r>
          </m:e>
          <m:sub>
            <m:r>
              <m:t>i</m:t>
            </m:r>
          </m:sub>
        </m:sSub>
      </m:oMath>
      <w:r>
        <w:t xml:space="preserve">.</w:t>
      </w:r>
    </w:p>
    <w:bookmarkStart w:id="58" w:name="differences-in-accessibility-results"/>
    <w:p>
      <w:pPr>
        <w:pStyle w:val="Heading1"/>
      </w:pPr>
      <w:r>
        <w:t xml:space="preserve">Differences in accessibility results</w:t>
      </w:r>
    </w:p>
    <w:p>
      <w:pPr>
        <w:pStyle w:val="FirstParagraph"/>
      </w:pPr>
      <w:r>
        <w:t xml:space="preserve">For this demonstration,</w:t>
      </w:r>
      <w:r>
        <w:t xml:space="preserve"> </w:t>
      </w:r>
      <w:r>
        <w:rPr>
          <w:bCs/>
          <w:b/>
        </w:rPr>
        <w:t xml:space="preserve">unconstrained</w:t>
      </w:r>
      <w:r>
        <w:t xml:space="preserve"> </w:t>
      </w:r>
      <w:r>
        <w:t xml:space="preserve">and</w:t>
      </w:r>
      <w:r>
        <w:t xml:space="preserve"> </w:t>
      </w:r>
      <w:r>
        <w:rPr>
          <w:bCs/>
          <w:b/>
        </w:rPr>
        <w:t xml:space="preserve">constrained</w:t>
      </w:r>
      <w:r>
        <w:t xml:space="preserve"> </w:t>
      </w:r>
      <w:r>
        <w:t xml:space="preserve">accessibility are calculated using data taken from the R data package {TTS0216R} and the home-to-work flows are provided for traffic analysis zones (TAZ). {TTS0216R} contains a subset of home-to-work flows from the 2016 Transportation Tomorrow Survey (TTS) as well as travel time by car on the road-network calculated using {r5r}. {TTS2016R} is detailed in this publication</w:t>
      </w:r>
      <w:r>
        <w:t xml:space="preserve"> </w:t>
      </w:r>
      <w:r>
        <w:t xml:space="preserve">(Soukhov and Páez 2023)</w:t>
      </w:r>
      <w:r>
        <w:t xml:space="preserve"> </w:t>
      </w:r>
      <w:r>
        <w:t xml:space="preserve">and is freely available to be explored</w:t>
      </w:r>
      <w:r>
        <w:t xml:space="preserve"> </w:t>
      </w:r>
      <w:hyperlink r:id="rId23">
        <w:r>
          <w:rPr>
            <w:rStyle w:val="Hyperlink"/>
          </w:rPr>
          <w:t xml:space="preserve">here</w:t>
        </w:r>
      </w:hyperlink>
      <w:r>
        <w:t xml:space="preserve">. The focus of this demonstration is on an urban planning boundary in downtown Hamilton, Ontario (referred to in this post as Hamilton Center).</w:t>
      </w:r>
    </w:p>
    <w:p>
      <w:pPr>
        <w:pStyle w:val="BodyText"/>
      </w:pPr>
      <w:r>
        <w:t xml:space="preserve">A calibrated gamma distribution probability density function serves as the impedance function for the analysis and is shown in</w:t>
      </w:r>
      <w:r>
        <w:t xml:space="preserve"> </w:t>
      </w:r>
      <w:hyperlink w:anchor="fig-gamma">
        <w:r>
          <w:rPr>
            <w:rStyle w:val="Hyperlink"/>
          </w:rPr>
          <w:t xml:space="preserve">Figure 1</w:t>
        </w:r>
      </w:hyperlink>
      <w:r>
        <w:t xml:space="preserve"> </w:t>
      </w:r>
      <w:r>
        <w:t xml:space="preserve">(</w:t>
      </w:r>
      <m:oMath>
        <m:r>
          <m:t>α</m:t>
        </m:r>
      </m:oMath>
      <w:r>
        <w:t xml:space="preserve"> </w:t>
      </w:r>
      <w:r>
        <w:t xml:space="preserve">(shape) is 3 and</w:t>
      </w:r>
      <w:r>
        <w:t xml:space="preserve"> </w:t>
      </w:r>
      <m:oMath>
        <m:r>
          <m:t>σ</m:t>
        </m:r>
      </m:oMath>
      <w:r>
        <w:t xml:space="preserve"> </w:t>
      </w:r>
      <w:r>
        <w:t xml:space="preserve">(rate) is 0.4. The data set and parameters were fit using the empirical home-to-work travel data and discussed in the first blog</w:t>
      </w:r>
      <w:r>
        <w:t xml:space="preserve"> </w:t>
      </w:r>
      <w:hyperlink r:id="rId20">
        <w:r>
          <w:rPr>
            <w:rStyle w:val="Hyperlink"/>
          </w:rPr>
          <w:t xml:space="preserve">post</w:t>
        </w:r>
      </w:hyperlink>
      <w:r>
        <w:t xml:space="preserve">. But as a reminder, impedance functions represent travel behavior and the empirically observed trip length distribution. The calibrated gamma distribution best fits the sample of the empirical data used for this analysis. The values along the y-axis can be interpreted as the probability density of a trip at a certain travel time</w:t>
      </w:r>
      <w:r>
        <w:t xml:space="preserve"> </w:t>
      </w:r>
      <m:oMath>
        <m:sSub>
          <m:e>
            <m:r>
              <m:t>c</m:t>
            </m:r>
          </m:e>
          <m:sub>
            <m:r>
              <m:t>i</m:t>
            </m:r>
            <m:r>
              <m:t>j</m:t>
            </m:r>
          </m:sub>
        </m:sSub>
      </m:oMath>
      <w:r>
        <w:t xml:space="preserve"> </w:t>
      </w:r>
      <w:r>
        <w:t xml:space="preserve">of occurring i.e., trips of length 7 minutes are the most likely to occur and hence are assigned the highest relative</w:t>
      </w:r>
      <w:r>
        <w:t xml:space="preserve"> </w:t>
      </w:r>
      <m:oMath>
        <m:r>
          <m:t>f</m:t>
        </m:r>
        <m:d>
          <m:dPr>
            <m:begChr m:val="("/>
            <m:endChr m:val=")"/>
            <m:sepChr m:val=""/>
            <m:grow/>
          </m:dPr>
          <m:e>
            <m:sSub>
              <m:e>
                <m:r>
                  <m:t>c</m:t>
                </m:r>
              </m:e>
              <m:sub>
                <m:r>
                  <m:t>i</m:t>
                </m:r>
                <m:r>
                  <m:t>j</m:t>
                </m:r>
              </m:sub>
            </m:sSub>
          </m:e>
        </m:d>
      </m:oMath>
      <w:r>
        <w:t xml:space="preserve"> </w:t>
      </w:r>
      <w:r>
        <w:t xml:space="preserve">value.</w:t>
      </w:r>
    </w:p>
    <w:tbl>
      <w:tblPr>
        <w:tblStyle w:val="Table"/>
        <w:tblW w:type="pct" w:w="5000"/>
        <w:tblLook w:firstRow="0" w:lastRow="0" w:firstColumn="0" w:lastColumn="0" w:noHBand="0" w:noVBand="0" w:val="0000"/>
      </w:tblPr>
      <w:tblGrid>
        <w:gridCol w:w="7920"/>
      </w:tblGrid>
      <w:tr>
        <w:tc>
          <w:tcPr/>
          <w:bookmarkStart w:id="27" w:name="fig-gamma"/>
          <w:p>
            <w:pPr>
              <w:pStyle w:val="Figure"/>
              <w:jc w:val="center"/>
            </w:pPr>
            <w:r>
              <w:drawing>
                <wp:inline>
                  <wp:extent cx="4620126" cy="3696101"/>
                  <wp:effectExtent b="0" l="0" r="0" t="0"/>
                  <wp:docPr descr="" title="" id="25" name="Picture"/>
                  <a:graphic>
                    <a:graphicData uri="http://schemas.openxmlformats.org/drawingml/2006/picture">
                      <pic:pic>
                        <pic:nvPicPr>
                          <pic:cNvPr descr="Accessibility-calcs_files/figure-docx/fig-gamma-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fitted theoretical gamma distribution travel impedance function of home-to-work trips (in estimated minutes by car) for Hamilton Center.</w:t>
            </w:r>
          </w:p>
          <w:bookmarkEnd w:id="27"/>
        </w:tc>
      </w:tr>
    </w:tbl>
    <w:p>
      <w:pPr>
        <w:pStyle w:val="BodyText"/>
      </w:pPr>
      <w:r>
        <w:t xml:space="preserve">In the following, we use the {accessibility} package to conveniently calculate unconstrained accessibility</w:t>
      </w:r>
      <w:r>
        <w:t xml:space="preserve"> </w:t>
      </w:r>
      <m:oMath>
        <m:sSub>
          <m:e>
            <m:r>
              <m:t>S</m:t>
            </m:r>
          </m:e>
          <m:sub>
            <m:r>
              <m:t>i</m:t>
            </m:r>
          </m:sub>
        </m:sSub>
      </m:oMath>
      <w:r>
        <w:t xml:space="preserve"> </w:t>
      </w:r>
      <w:r>
        <w:t xml:space="preserve">(</w:t>
      </w:r>
      <w:hyperlink w:anchor="eq-hansen-access">
        <w:r>
          <w:rPr>
            <w:rStyle w:val="Hyperlink"/>
          </w:rPr>
          <w:t xml:space="preserve">Equation 1</w:t>
        </w:r>
      </w:hyperlink>
      <w:r>
        <w:t xml:space="preserve">) using the gravity() function and singly-constrained accessibility</w:t>
      </w:r>
      <w:r>
        <w:t xml:space="preserve"> </w:t>
      </w:r>
      <m:oMath>
        <m:sSub>
          <m:e>
            <m:r>
              <m:t>V</m:t>
            </m:r>
          </m:e>
          <m:sub>
            <m:r>
              <m:t>i</m:t>
            </m:r>
          </m:sub>
        </m:sSub>
      </m:oMath>
      <w:r>
        <w:t xml:space="preserve"> </w:t>
      </w:r>
      <w:r>
        <w:t xml:space="preserve">(</w:t>
      </w:r>
      <w:hyperlink w:anchor="eq-spatial-avail">
        <w:r>
          <w:rPr>
            <w:rStyle w:val="Hyperlink"/>
          </w:rPr>
          <w:t xml:space="preserve">Equation 2</w:t>
        </w:r>
      </w:hyperlink>
      <w:r>
        <w:t xml:space="preserve">) using the spatial_availability() function. I plot the resulting scores for the Hamilton Center area for</w:t>
      </w:r>
      <w:r>
        <w:t xml:space="preserve"> </w:t>
      </w:r>
      <m:oMath>
        <m:sSub>
          <m:e>
            <m:r>
              <m:t>S</m:t>
            </m:r>
          </m:e>
          <m:sub>
            <m:r>
              <m:t>i</m:t>
            </m:r>
          </m:sub>
        </m:sSub>
      </m:oMath>
      <w:r>
        <w:t xml:space="preserve"> </w:t>
      </w:r>
      <w:r>
        <w:t xml:space="preserve">(Purples) and</w:t>
      </w:r>
      <w:r>
        <w:t xml:space="preserve"> </w:t>
      </w:r>
      <m:oMath>
        <m:sSub>
          <m:e>
            <m:r>
              <m:t>V</m:t>
            </m:r>
          </m:e>
          <m:sub>
            <m:r>
              <m:t>i</m:t>
            </m:r>
          </m:sub>
        </m:sSub>
      </m:oMath>
      <w:r>
        <w:t xml:space="preserve"> </w:t>
      </w:r>
      <w:r>
        <w:t xml:space="preserve">(Greens) in</w:t>
      </w:r>
      <w:r>
        <w:t xml:space="preserve"> </w:t>
      </w:r>
      <w:hyperlink w:anchor="fig-raw-con-and-unconstrained-access">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tblPr>
      <w:tblGrid>
        <w:gridCol w:w="7920"/>
      </w:tblGrid>
      <w:tr>
        <w:tc>
          <w:tcPr/>
          <w:bookmarkStart w:id="31" w:name="fig-raw-con-and-unconstrained-access"/>
          <w:p>
            <w:pPr>
              <w:pStyle w:val="Figure"/>
              <w:jc w:val="center"/>
            </w:pPr>
            <w:r>
              <w:drawing>
                <wp:inline>
                  <wp:extent cx="4620126" cy="3696101"/>
                  <wp:effectExtent b="0" l="0" r="0" t="0"/>
                  <wp:docPr descr="" title="" id="29" name="Picture"/>
                  <a:graphic>
                    <a:graphicData uri="http://schemas.openxmlformats.org/drawingml/2006/picture">
                      <pic:pic>
                        <pic:nvPicPr>
                          <pic:cNvPr descr="Accessibility-calcs_files/figure-docx/fig-raw-con-and-unconstrained-acces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calculate unconstrained (Si) and constrained (Vi) accessibility scores for Hamilton Center. Calculated using an empirically calibrated gamma distribution travel impedance function.</w:t>
            </w:r>
          </w:p>
          <w:bookmarkEnd w:id="31"/>
        </w:tc>
      </w:tr>
    </w:tbl>
    <w:p>
      <w:pPr>
        <w:pStyle w:val="BodyText"/>
      </w:pPr>
      <w:r>
        <w:t xml:space="preserve">In</w:t>
      </w:r>
      <w:r>
        <w:t xml:space="preserve"> </w:t>
      </w:r>
      <w:hyperlink w:anchor="fig-raw-con-and-unconstrained-access">
        <w:r>
          <w:rPr>
            <w:rStyle w:val="Hyperlink"/>
          </w:rPr>
          <w:t xml:space="preserve">Figure 2</w:t>
        </w:r>
      </w:hyperlink>
      <w:r>
        <w:t xml:space="preserve">, the unprocessed</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scores are presented. The takeaway is the interpretation and the difference in the</w:t>
      </w:r>
      <w:r>
        <w:t xml:space="preserve"> </w:t>
      </w:r>
      <w:r>
        <w:rPr>
          <w:iCs/>
          <w:i/>
        </w:rPr>
        <w:t xml:space="preserve">magnitude</w:t>
      </w:r>
      <w:r>
        <w:t xml:space="preserve"> </w:t>
      </w:r>
      <w:r>
        <w:t xml:space="preserve">of unconstrained (</w:t>
      </w:r>
      <m:oMath>
        <m:sSub>
          <m:e>
            <m:r>
              <m:t>S</m:t>
            </m:r>
          </m:e>
          <m:sub>
            <m:r>
              <m:t>i</m:t>
            </m:r>
          </m:sub>
        </m:sSub>
      </m:oMath>
      <w:r>
        <w:t xml:space="preserve">) and constrained (</w:t>
      </w:r>
      <m:oMath>
        <m:sSub>
          <m:e>
            <m:r>
              <m:t>V</m:t>
            </m:r>
          </m:e>
          <m:sub>
            <m:r>
              <m:t>i</m:t>
            </m:r>
          </m:sub>
        </m:sSub>
      </m:oMath>
      <w:r>
        <w:t xml:space="preserve">) values. Both measures reflect</w:t>
      </w:r>
      <w:r>
        <w:t xml:space="preserve"> </w:t>
      </w:r>
      <w:r>
        <w:rPr>
          <w:iCs/>
          <w:i/>
        </w:rPr>
        <w:t xml:space="preserve">potential interaction</w:t>
      </w:r>
      <w:r>
        <w:t xml:space="preserve"> </w:t>
      </w:r>
      <w:r>
        <w:t xml:space="preserve">with jobs based on empirical home-to-work travel behaviour from origins in Hamilton Center: people who reside in each spatial unit make certain trips to other spatial units and these trips have a certain travel time (travel cost</w:t>
      </w:r>
      <w:r>
        <w:t xml:space="preserve"> </w:t>
      </w:r>
      <m:oMath>
        <m:sSub>
          <m:e>
            <m:r>
              <m:t>c</m:t>
            </m:r>
          </m:e>
          <m:sub>
            <m:r>
              <m:t>i</m:t>
            </m:r>
          </m:sub>
        </m:sSub>
        <m:r>
          <m:t>j</m:t>
        </m:r>
      </m:oMath>
      <w:r>
        <w:t xml:space="preserve">) with associated gamma impedance</w:t>
      </w:r>
      <w:r>
        <w:t xml:space="preserve"> </w:t>
      </w:r>
      <m:oMath>
        <m:r>
          <m:t>f</m:t>
        </m:r>
        <m:r>
          <m:rPr>
            <m:sty m:val="p"/>
          </m:rPr>
          <m:t>(</m:t>
        </m:r>
        <m:sSub>
          <m:e>
            <m:r>
              <m:t>c</m:t>
            </m:r>
          </m:e>
          <m:sub>
            <m:r>
              <m:t>i</m:t>
            </m:r>
            <m:r>
              <m:t>j</m:t>
            </m:r>
          </m:sub>
        </m:sSub>
      </m:oMath>
      <w:r>
        <w:t xml:space="preserve"> </w:t>
      </w:r>
      <w:r>
        <w:t xml:space="preserve">value. These observed trip patterns inform the calculated</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values for each spatial unit.</w:t>
      </w:r>
    </w:p>
    <w:p>
      <w:pPr>
        <w:pStyle w:val="BodyText"/>
      </w:pPr>
      <w:r>
        <w:t xml:space="preserve">Looking at the left plot</w:t>
      </w:r>
      <w:r>
        <w:t xml:space="preserve"> </w:t>
      </w:r>
      <m:oMath>
        <m:sSub>
          <m:e>
            <m:r>
              <m:t>S</m:t>
            </m:r>
          </m:e>
          <m:sub>
            <m:r>
              <m:t>i</m:t>
            </m:r>
          </m:sub>
        </m:sSub>
      </m:oMath>
      <w:r>
        <w:t xml:space="preserve"> </w:t>
      </w:r>
      <w:r>
        <w:t xml:space="preserve">(unconstrained) in</w:t>
      </w:r>
      <w:r>
        <w:t xml:space="preserve"> </w:t>
      </w:r>
      <w:hyperlink w:anchor="fig-raw-con-and-unconstrained-access">
        <w:r>
          <w:rPr>
            <w:rStyle w:val="Hyperlink"/>
          </w:rPr>
          <w:t xml:space="preserve">Figure 2</w:t>
        </w:r>
      </w:hyperlink>
      <w:r>
        <w:t xml:space="preserve">, the values reflect the</w:t>
      </w:r>
      <w:r>
        <w:t xml:space="preserve"> </w:t>
      </w:r>
      <w:r>
        <w:rPr>
          <w:iCs/>
          <w:i/>
        </w:rPr>
        <w:t xml:space="preserve">sum</w:t>
      </w:r>
      <w:r>
        <w:t xml:space="preserve"> </w:t>
      </w:r>
      <w:r>
        <w:t xml:space="preserve">of jobs that can be</w:t>
      </w:r>
      <w:r>
        <w:t xml:space="preserve"> </w:t>
      </w:r>
      <w:r>
        <w:rPr>
          <w:iCs/>
          <w:i/>
        </w:rPr>
        <w:t xml:space="preserve">potentially</w:t>
      </w:r>
      <w:r>
        <w:t xml:space="preserve"> </w:t>
      </w:r>
      <w:r>
        <w:t xml:space="preserve">interacted with by the population at each</w:t>
      </w:r>
      <w:r>
        <w:t xml:space="preserve"> </w:t>
      </w:r>
      <m:oMath>
        <m:r>
          <m:t>i</m:t>
        </m:r>
      </m:oMath>
      <w:r>
        <w:t xml:space="preserve"> </w:t>
      </w:r>
      <w:r>
        <w:t xml:space="preserve">multiplied by their probability of being reached as informed by the calculated travel impedance</w:t>
      </w:r>
      <w:r>
        <w:t xml:space="preserve"> </w:t>
      </w:r>
      <m:oMath>
        <m:r>
          <m:t>f</m:t>
        </m:r>
        <m:d>
          <m:dPr>
            <m:begChr m:val="("/>
            <m:endChr m:val=")"/>
            <m:sepChr m:val=""/>
            <m:grow/>
          </m:dPr>
          <m:e>
            <m:sSub>
              <m:e>
                <m:r>
                  <m:t>c</m:t>
                </m:r>
              </m:e>
              <m:sub>
                <m:r>
                  <m:t>i</m:t>
                </m:r>
                <m:r>
                  <m:t>j</m:t>
                </m:r>
              </m:sub>
            </m:sSub>
          </m:e>
        </m:d>
      </m:oMath>
      <w:r>
        <w:t xml:space="preserve"> </w:t>
      </w:r>
      <w:r>
        <w:t xml:space="preserve">value. So for Hamilton Center, the maximum</w:t>
      </w:r>
      <w:r>
        <w:t xml:space="preserve"> </w:t>
      </w:r>
      <m:oMath>
        <m:sSub>
          <m:e>
            <m:r>
              <m:t>S</m:t>
            </m:r>
          </m:e>
          <m:sub>
            <m:r>
              <m:t>i</m:t>
            </m:r>
          </m:sub>
        </m:sSub>
      </m:oMath>
      <w:r>
        <w:t xml:space="preserve"> </w:t>
      </w:r>
      <w:r>
        <w:t xml:space="preserve">value is the darkest purple, and that value means that people who reside in those spatial units have the</w:t>
      </w:r>
      <w:r>
        <w:t xml:space="preserve"> </w:t>
      </w:r>
      <w:r>
        <w:rPr>
          <w:iCs/>
          <w:i/>
        </w:rPr>
        <w:t xml:space="preserve">lowest</w:t>
      </w:r>
      <w:r>
        <w:t xml:space="preserve"> </w:t>
      </w:r>
      <w:r>
        <w:t xml:space="preserve">travel impedance and</w:t>
      </w:r>
      <w:r>
        <w:t xml:space="preserve"> </w:t>
      </w:r>
      <w:r>
        <w:rPr>
          <w:iCs/>
          <w:i/>
        </w:rPr>
        <w:t xml:space="preserve">highest</w:t>
      </w:r>
      <w:r>
        <w:t xml:space="preserve"> </w:t>
      </w:r>
      <w:r>
        <w:t xml:space="preserve">concentration of potential job interaction for the region. The value itself does not have a specific meaning as it is just the sum of</w:t>
      </w:r>
      <w:r>
        <w:t xml:space="preserve"> </w:t>
      </w:r>
      <w:r>
        <w:t xml:space="preserve">‘</w:t>
      </w:r>
      <w:r>
        <w:t xml:space="preserve">weighted</w:t>
      </w:r>
      <w:r>
        <w:t xml:space="preserve">’</w:t>
      </w:r>
      <w:r>
        <w:t xml:space="preserve"> </w:t>
      </w:r>
      <w:r>
        <w:t xml:space="preserve">jobs: it can be interpreted as a relative score of potential interaction based on the observed trip patterns of people who reside in Hamilton Center. For instance, areas near the west border of Hamilton Center have high (dark purple)</w:t>
      </w:r>
      <w:r>
        <w:t xml:space="preserve"> </w:t>
      </w:r>
      <m:oMath>
        <m:sSub>
          <m:e>
            <m:r>
              <m:t>S</m:t>
            </m:r>
          </m:e>
          <m:sub>
            <m:r>
              <m:t>i</m:t>
            </m:r>
          </m:sub>
        </m:sSub>
      </m:oMath>
      <w:r>
        <w:t xml:space="preserve"> </w:t>
      </w:r>
      <w:r>
        <w:t xml:space="preserve">values, as they are close to a major highway. So spatial units near the highway have lower travel impedance and thus can interact with more potential job opportunities. It can also be noted that there is a higher concentration of Purples within the center of the region.</w:t>
      </w:r>
    </w:p>
    <w:p>
      <w:pPr>
        <w:pStyle w:val="BodyText"/>
      </w:pPr>
      <w:r>
        <w:t xml:space="preserve">Now looking at the right plot</w:t>
      </w:r>
      <w:r>
        <w:t xml:space="preserve"> </w:t>
      </w:r>
      <m:oMath>
        <m:sSub>
          <m:e>
            <m:r>
              <m:t>V</m:t>
            </m:r>
          </m:e>
          <m:sub>
            <m:r>
              <m:t>i</m:t>
            </m:r>
          </m:sub>
        </m:sSub>
      </m:oMath>
      <w:r>
        <w:t xml:space="preserve"> </w:t>
      </w:r>
      <w:r>
        <w:t xml:space="preserve">(constrained) in</w:t>
      </w:r>
      <w:r>
        <w:t xml:space="preserve"> </w:t>
      </w:r>
      <w:hyperlink w:anchor="fig-raw-con-and-unconstrained-access">
        <w:r>
          <w:rPr>
            <w:rStyle w:val="Hyperlink"/>
          </w:rPr>
          <w:t xml:space="preserve">Figure 2</w:t>
        </w:r>
      </w:hyperlink>
      <w:r>
        <w:t xml:space="preserve">, the values reflect the sum of the proportionally allocated (based on travel impedance and population)</w:t>
      </w:r>
      <w:r>
        <w:t xml:space="preserve"> </w:t>
      </w:r>
      <w:r>
        <w:rPr>
          <w:iCs/>
          <w:i/>
        </w:rPr>
        <w:t xml:space="preserve">potential job interaction</w:t>
      </w:r>
      <w:r>
        <w:t xml:space="preserve">. In other words, each value of</w:t>
      </w:r>
      <w:r>
        <w:t xml:space="preserve"> </w:t>
      </w:r>
      <m:oMath>
        <m:sSub>
          <m:e>
            <m:r>
              <m:t>V</m:t>
            </m:r>
          </m:e>
          <m:sub>
            <m:r>
              <m:t>i</m:t>
            </m:r>
          </m:sub>
        </m:sSub>
      </m:oMath>
      <w:r>
        <w:t xml:space="preserve"> </w:t>
      </w:r>
      <w:r>
        <w:t xml:space="preserve">is the number of jobs that the spatial unit</w:t>
      </w:r>
      <w:r>
        <w:t xml:space="preserve"> </w:t>
      </w:r>
      <m:oMath>
        <m:r>
          <m:t>i</m:t>
        </m:r>
      </m:oMath>
      <w:r>
        <w:t xml:space="preserve"> </w:t>
      </w:r>
      <w:r>
        <w:t xml:space="preserve">can interact with based on the observed trips made from that spatial unit’s impedance values relative to how others in the region can interact with the jobs. Unlike</w:t>
      </w:r>
      <w:r>
        <w:t xml:space="preserve"> </w:t>
      </w:r>
      <m:oMath>
        <m:sSub>
          <m:e>
            <m:r>
              <m:t>S</m:t>
            </m:r>
          </m:e>
          <m:sub>
            <m:r>
              <m:t>i</m:t>
            </m:r>
          </m:sub>
        </m:sSub>
      </m:oMath>
      <w:r>
        <w:t xml:space="preserve">, the raw values of</w:t>
      </w:r>
      <w:r>
        <w:t xml:space="preserve"> </w:t>
      </w:r>
      <m:oMath>
        <m:sSub>
          <m:e>
            <m:r>
              <m:t>V</m:t>
            </m:r>
          </m:e>
          <m:sub>
            <m:r>
              <m:t>i</m:t>
            </m:r>
          </m:sub>
        </m:sSub>
      </m:oMath>
      <w:r>
        <w:t xml:space="preserve"> </w:t>
      </w:r>
      <w:r>
        <w:rPr>
          <w:iCs/>
          <w:i/>
        </w:rPr>
        <w:t xml:space="preserve">do</w:t>
      </w:r>
      <w:r>
        <w:t xml:space="preserve"> </w:t>
      </w:r>
      <w:r>
        <w:t xml:space="preserve">have a meaning in addition to being a relative score of</w:t>
      </w:r>
      <w:r>
        <w:t xml:space="preserve"> </w:t>
      </w:r>
      <w:r>
        <w:rPr>
          <w:iCs/>
          <w:i/>
        </w:rPr>
        <w:t xml:space="preserve">competitive</w:t>
      </w:r>
      <w:r>
        <w:t xml:space="preserve"> </w:t>
      </w:r>
      <w:r>
        <w:t xml:space="preserve">potential access to jobs. This score reflects the potential</w:t>
      </w:r>
      <w:r>
        <w:t xml:space="preserve"> </w:t>
      </w:r>
      <w:r>
        <w:rPr>
          <w:iCs/>
          <w:i/>
        </w:rPr>
        <w:t xml:space="preserve">availability</w:t>
      </w:r>
      <w:r>
        <w:t xml:space="preserve"> </w:t>
      </w:r>
      <w:r>
        <w:t xml:space="preserve">of jobs: job interactions are less likely to occur if the concentration of jobs is low and the density of people interacting with those jobs are high. So within the western region of Hamilton Center, there appears to be relatively lower intensity of</w:t>
      </w:r>
      <w:r>
        <w:t xml:space="preserve"> </w:t>
      </w:r>
      <m:oMath>
        <m:sSub>
          <m:e>
            <m:r>
              <m:t>V</m:t>
            </m:r>
          </m:e>
          <m:sub>
            <m:r>
              <m:t>i</m:t>
            </m:r>
          </m:sub>
        </m:sSub>
      </m:oMath>
      <w:r>
        <w:t xml:space="preserve"> </w:t>
      </w:r>
      <w:r>
        <w:t xml:space="preserve">values (Greens) than within the</w:t>
      </w:r>
      <w:r>
        <w:t xml:space="preserve"> </w:t>
      </w:r>
      <m:oMath>
        <m:sSub>
          <m:e>
            <m:r>
              <m:t>S</m:t>
            </m:r>
          </m:e>
          <m:sub>
            <m:r>
              <m:t>i</m:t>
            </m:r>
          </m:sub>
        </m:sSub>
      </m:oMath>
      <w:r>
        <w:t xml:space="preserve"> </w:t>
      </w:r>
      <w:r>
        <w:t xml:space="preserve">(Purples) plot, since there is a relatively higher density of population who are also interacting with jobs within this region that the</w:t>
      </w:r>
      <w:r>
        <w:t xml:space="preserve"> </w:t>
      </w:r>
      <m:oMath>
        <m:sSub>
          <m:e>
            <m:r>
              <m:t>S</m:t>
            </m:r>
          </m:e>
          <m:sub>
            <m:r>
              <m:t>i</m:t>
            </m:r>
          </m:sub>
        </m:sSub>
      </m:oMath>
      <w:r>
        <w:t xml:space="preserve"> </w:t>
      </w:r>
      <w:r>
        <w:t xml:space="preserve">measure does</w:t>
      </w:r>
      <w:r>
        <w:t xml:space="preserve"> </w:t>
      </w:r>
      <w:r>
        <w:rPr>
          <w:iCs/>
          <w:i/>
        </w:rPr>
        <w:t xml:space="preserve">not</w:t>
      </w:r>
      <w:r>
        <w:t xml:space="preserve"> </w:t>
      </w:r>
      <w:r>
        <w:t xml:space="preserve">consider within its calculation.</w:t>
      </w:r>
    </w:p>
    <w:p>
      <w:pPr>
        <w:pStyle w:val="BodyText"/>
      </w:pPr>
      <w:r>
        <w:t xml:space="preserve">As mentioned, the</w:t>
      </w:r>
      <w:r>
        <w:t xml:space="preserve"> </w:t>
      </w:r>
      <m:oMath>
        <m:sSub>
          <m:e>
            <m:r>
              <m:t>V</m:t>
            </m:r>
          </m:e>
          <m:sub>
            <m:r>
              <m:t>i</m:t>
            </m:r>
          </m:sub>
        </m:sSub>
      </m:oMath>
      <w:r>
        <w:t xml:space="preserve"> </w:t>
      </w:r>
      <w:r>
        <w:t xml:space="preserve">value in itself is also meaningful.</w:t>
      </w:r>
      <w:r>
        <w:t xml:space="preserve"> </w:t>
      </w:r>
      <m:oMath>
        <m:sSub>
          <m:e>
            <m:r>
              <m:t>V</m:t>
            </m:r>
          </m:e>
          <m:sub>
            <m:r>
              <m:t>i</m:t>
            </m:r>
          </m:sub>
        </m:sSub>
      </m:oMath>
      <w:r>
        <w:t xml:space="preserve"> </w:t>
      </w:r>
      <w:r>
        <w:t xml:space="preserve">values communicates the number of potentially</w:t>
      </w:r>
      <w:r>
        <w:t xml:space="preserve"> </w:t>
      </w:r>
      <w:r>
        <w:rPr>
          <w:iCs/>
          <w:i/>
        </w:rPr>
        <w:t xml:space="preserve">available</w:t>
      </w:r>
      <w:r>
        <w:t xml:space="preserve"> </w:t>
      </w:r>
      <w:r>
        <w:t xml:space="preserve">job interactions per each spatial unit</w:t>
      </w:r>
      <w:r>
        <w:t xml:space="preserve"> </w:t>
      </w:r>
      <m:oMath>
        <m:r>
          <m:t>i</m:t>
        </m:r>
      </m:oMath>
      <w:r>
        <w:t xml:space="preserve"> </w:t>
      </w:r>
      <w:r>
        <w:t xml:space="preserve">out of all the jobs in the region. If all</w:t>
      </w:r>
      <w:r>
        <w:t xml:space="preserve"> </w:t>
      </w:r>
      <m:oMath>
        <m:sSub>
          <m:e>
            <m:r>
              <m:t>V</m:t>
            </m:r>
          </m:e>
          <m:sub>
            <m:r>
              <m:t>i</m:t>
            </m:r>
          </m:sub>
        </m:sSub>
      </m:oMath>
      <w:r>
        <w:t xml:space="preserve"> </w:t>
      </w:r>
      <w:r>
        <w:t xml:space="preserve">values are added together, the sum equals 53,270 - the total number of jobs taken by people who live and work within Hamilton Center. So within the most</w:t>
      </w:r>
      <w:r>
        <w:t xml:space="preserve"> </w:t>
      </w:r>
      <w:r>
        <w:t xml:space="preserve">‘</w:t>
      </w:r>
      <w:r>
        <w:t xml:space="preserve">Green</w:t>
      </w:r>
      <w:r>
        <w:t xml:space="preserve">’</w:t>
      </w:r>
      <w:r>
        <w:t xml:space="preserve"> </w:t>
      </w:r>
      <w:r>
        <w:t xml:space="preserve">spatial unit, 1,954 potentially available job interactions can occur out of the total 53,270 jobs based on the impedance to reach jobs and the population who also interact with these potential opportunities.</w:t>
      </w:r>
    </w:p>
    <w:p>
      <w:pPr>
        <w:pStyle w:val="BodyText"/>
      </w:pPr>
      <w:r>
        <w:t xml:space="preserve">To more equally compare</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and make sense of the</w:t>
      </w:r>
      <w:r>
        <w:t xml:space="preserve"> </w:t>
      </w:r>
      <w:r>
        <w:t xml:space="preserve">‘</w:t>
      </w:r>
      <w:r>
        <w:t xml:space="preserve">highs</w:t>
      </w:r>
      <w:r>
        <w:t xml:space="preserve">’</w:t>
      </w:r>
      <w:r>
        <w:t xml:space="preserve"> </w:t>
      </w:r>
      <w:r>
        <w:t xml:space="preserve">and</w:t>
      </w:r>
      <w:r>
        <w:t xml:space="preserve"> </w:t>
      </w:r>
      <w:r>
        <w:t xml:space="preserve">‘</w:t>
      </w:r>
      <w:r>
        <w:t xml:space="preserve">lows</w:t>
      </w:r>
      <w:r>
        <w:t xml:space="preserve">’</w:t>
      </w:r>
      <w:r>
        <w:t xml:space="preserve">, it may be useful to normalize the values onto a similar scale. In</w:t>
      </w:r>
      <w:r>
        <w:t xml:space="preserve"> </w:t>
      </w:r>
      <w:hyperlink w:anchor="fig-perc-con-and-unconstrained-access">
        <w:r>
          <w:rPr>
            <w:rStyle w:val="Hyperlink"/>
          </w:rPr>
          <w:t xml:space="preserve">Figure 3</w:t>
        </w:r>
      </w:hyperlink>
      <w:r>
        <w:t xml:space="preserve">, the values as presented as a percentage of the regional sum (i.e., a % of the sum of all</w:t>
      </w:r>
      <w:r>
        <w:t xml:space="preserve"> </w:t>
      </w:r>
      <m:oMath>
        <m:sSub>
          <m:e>
            <m:r>
              <m:t>S</m:t>
            </m:r>
          </m:e>
          <m:sub>
            <m:r>
              <m:t>i</m:t>
            </m:r>
          </m:sub>
        </m:sSub>
      </m:oMath>
      <w:r>
        <w:t xml:space="preserve"> </w:t>
      </w:r>
      <w:r>
        <w:t xml:space="preserve">values and the % of the sum of all</w:t>
      </w:r>
      <w:r>
        <w:t xml:space="preserve"> </w:t>
      </w:r>
      <m:oMath>
        <m:sSub>
          <m:e>
            <m:r>
              <m:t>V</m:t>
            </m:r>
          </m:e>
          <m:sub>
            <m:r>
              <m:t>i</m:t>
            </m:r>
          </m:sub>
        </m:sSub>
      </m:oMath>
      <w:r>
        <w:t xml:space="preserve"> </w:t>
      </w:r>
      <w:r>
        <w:t xml:space="preserve">values) are visualized in</w:t>
      </w:r>
      <w:r>
        <w:t xml:space="preserve"> </w:t>
      </w:r>
      <w:hyperlink w:anchor="fig-perc-con-and-unconstrained-access">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35" w:name="fig-perc-con-and-unconstrained-access"/>
          <w:p>
            <w:pPr>
              <w:pStyle w:val="Figure"/>
              <w:jc w:val="center"/>
            </w:pPr>
            <w:r>
              <w:drawing>
                <wp:inline>
                  <wp:extent cx="4620126" cy="3696101"/>
                  <wp:effectExtent b="0" l="0" r="0" t="0"/>
                  <wp:docPr descr="" title="" id="33" name="Picture"/>
                  <a:graphic>
                    <a:graphicData uri="http://schemas.openxmlformats.org/drawingml/2006/picture">
                      <pic:pic>
                        <pic:nvPicPr>
                          <pic:cNvPr descr="Accessibility-calcs_files/figure-docx/fig-perc-con-and-unconstrained-acces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calculated normalized unconstrained and constrained accessibility score for Hamilton Center. Values are presented as a percentage of the total sum of scores within the region. Values are calculated using an empirically calibrated gamma distribution travel impedance function.</w:t>
            </w:r>
          </w:p>
          <w:bookmarkEnd w:id="35"/>
        </w:tc>
      </w:tr>
    </w:tbl>
    <w:p>
      <w:pPr>
        <w:pStyle w:val="BodyText"/>
      </w:pPr>
      <w:r>
        <w:t xml:space="preserve">Let’s examine</w:t>
      </w:r>
      <w:r>
        <w:t xml:space="preserve"> </w:t>
      </w:r>
      <m:oMath>
        <m:sSub>
          <m:e>
            <m:r>
              <m:t>S</m:t>
            </m:r>
          </m:e>
          <m:sub>
            <m:r>
              <m:t>i</m:t>
            </m:r>
          </m:sub>
        </m:sSub>
      </m:oMath>
      <w:r>
        <w:t xml:space="preserve"> </w:t>
      </w:r>
      <w:r>
        <w:t xml:space="preserve">(left plot) in</w:t>
      </w:r>
      <w:r>
        <w:t xml:space="preserve"> </w:t>
      </w:r>
      <w:hyperlink w:anchor="fig-perc-con-and-unconstrained-access">
        <w:r>
          <w:rPr>
            <w:rStyle w:val="Hyperlink"/>
          </w:rPr>
          <w:t xml:space="preserve">Figure 3</w:t>
        </w:r>
      </w:hyperlink>
      <w:r>
        <w:t xml:space="preserve">: unconstrained accessibility. Neighbourhoods with</w:t>
      </w:r>
      <w:r>
        <w:t xml:space="preserve"> </w:t>
      </w:r>
      <w:r>
        <w:t xml:space="preserve">‘</w:t>
      </w:r>
      <w:r>
        <w:t xml:space="preserve">high</w:t>
      </w:r>
      <w:r>
        <w:t xml:space="preserve">’</w:t>
      </w:r>
      <w:r>
        <w:t xml:space="preserve"> </w:t>
      </w:r>
      <w:r>
        <w:t xml:space="preserve">accessibility (e.g., greens, that start at 1.4% relative values or higher) can potentially interact with 742 jobs or more as informed by observed travel behaviour. These raw values are difficult to interpret, so seeing a neighbourhood as being an area of relative</w:t>
      </w:r>
      <w:r>
        <w:t xml:space="preserve"> </w:t>
      </w:r>
      <w:r>
        <w:t xml:space="preserve">‘</w:t>
      </w:r>
      <w:r>
        <w:t xml:space="preserve">high</w:t>
      </w:r>
      <w:r>
        <w:t xml:space="preserve">’</w:t>
      </w:r>
      <w:r>
        <w:t xml:space="preserve">,</w:t>
      </w:r>
      <w:r>
        <w:t xml:space="preserve"> </w:t>
      </w:r>
      <w:r>
        <w:t xml:space="preserve">‘</w:t>
      </w:r>
      <w:r>
        <w:t xml:space="preserve">medium</w:t>
      </w:r>
      <w:r>
        <w:t xml:space="preserve">’</w:t>
      </w:r>
      <w:r>
        <w:t xml:space="preserve"> </w:t>
      </w:r>
      <w:r>
        <w:t xml:space="preserve">(yellows) or</w:t>
      </w:r>
      <w:r>
        <w:t xml:space="preserve"> </w:t>
      </w:r>
      <w:r>
        <w:t xml:space="preserve">‘</w:t>
      </w:r>
      <w:r>
        <w:t xml:space="preserve">low</w:t>
      </w:r>
      <w:r>
        <w:t xml:space="preserve">’</w:t>
      </w:r>
      <w:r>
        <w:t xml:space="preserve"> </w:t>
      </w:r>
      <w:r>
        <w:t xml:space="preserve">(reds) accessibility value simplifies the interpretation of</w:t>
      </w:r>
      <w:r>
        <w:t xml:space="preserve"> </w:t>
      </w:r>
      <w:r>
        <w:t xml:space="preserve">‘</w:t>
      </w:r>
      <w:r>
        <w:t xml:space="preserve">potential interaction</w:t>
      </w:r>
      <w:r>
        <w:t xml:space="preserve">’</w:t>
      </w:r>
      <w:r>
        <w:t xml:space="preserve"> </w:t>
      </w:r>
      <w:r>
        <w:t xml:space="preserve">with jobs; as long as we ignore</w:t>
      </w:r>
      <w:r>
        <w:t xml:space="preserve"> </w:t>
      </w:r>
      <w:r>
        <w:rPr>
          <w:iCs/>
          <w:i/>
        </w:rPr>
        <w:t xml:space="preserve">competition</w:t>
      </w:r>
      <w:r>
        <w:t xml:space="preserve">.</w:t>
      </w:r>
    </w:p>
    <w:p>
      <w:pPr>
        <w:pStyle w:val="BodyText"/>
      </w:pPr>
      <m:oMath>
        <m:sSub>
          <m:e>
            <m:r>
              <m:t>V</m:t>
            </m:r>
          </m:e>
          <m:sub>
            <m:r>
              <m:t>i</m:t>
            </m:r>
          </m:sub>
        </m:sSub>
      </m:oMath>
      <w:r>
        <w:t xml:space="preserve"> </w:t>
      </w:r>
      <w:r>
        <w:t xml:space="preserve">(the plot on the right side in</w:t>
      </w:r>
      <w:r>
        <w:t xml:space="preserve"> </w:t>
      </w:r>
      <w:hyperlink w:anchor="fig-perc-con-and-unconstrained-access">
        <w:r>
          <w:rPr>
            <w:rStyle w:val="Hyperlink"/>
          </w:rPr>
          <w:t xml:space="preserve">Figure 3</w:t>
        </w:r>
      </w:hyperlink>
      <w:r>
        <w:t xml:space="preserve">) visuals singly-constrained accessibility (spatial availability). This measure does not ignore competition for potential job interaction. The general trend between both plots are similar, but you can see there are a handful of spatial units that are more intensely green or more intensely red/orange. These differences are a result of competition. Within this region, spatial units that are more densely populated as well as having below average travel impedance have higher normalized spatial availability values than</w:t>
      </w:r>
      <w:r>
        <w:t xml:space="preserve"> </w:t>
      </w:r>
      <m:oMath>
        <m:sSub>
          <m:e>
            <m:r>
              <m:t>S</m:t>
            </m:r>
          </m:e>
          <m:sub>
            <m:r>
              <m:t>i</m:t>
            </m:r>
          </m:sub>
        </m:sSub>
      </m:oMath>
      <w:r>
        <w:t xml:space="preserve"> </w:t>
      </w:r>
      <w:r>
        <w:t xml:space="preserve">values. Conversely, below average population and above average travel impedance yields spatial availability</w:t>
      </w:r>
      <w:r>
        <w:t xml:space="preserve"> </w:t>
      </w:r>
      <m:oMath>
        <m:sSub>
          <m:e>
            <m:r>
              <m:t>V</m:t>
            </m:r>
          </m:e>
          <m:sub>
            <m:r>
              <m:t>i</m:t>
            </m:r>
          </m:sub>
        </m:sSub>
      </m:oMath>
      <w:r>
        <w:t xml:space="preserve"> </w:t>
      </w:r>
      <w:r>
        <w:t xml:space="preserve">values that are lower than</w:t>
      </w:r>
      <w:r>
        <w:t xml:space="preserve"> </w:t>
      </w:r>
      <m:oMath>
        <m:sSub>
          <m:e>
            <m:r>
              <m:t>S</m:t>
            </m:r>
          </m:e>
          <m:sub>
            <m:r>
              <m:t>i</m:t>
            </m:r>
          </m:sub>
        </m:sSub>
      </m:oMath>
      <w:r>
        <w:t xml:space="preserve">.</w:t>
      </w:r>
    </w:p>
    <w:p>
      <w:pPr>
        <w:pStyle w:val="BodyText"/>
      </w:pPr>
      <w:r>
        <w:t xml:space="preserve">In essence,</w:t>
      </w:r>
      <w:r>
        <w:t xml:space="preserve"> </w:t>
      </w:r>
      <m:oMath>
        <m:sSub>
          <m:e>
            <m:r>
              <m:t>V</m:t>
            </m:r>
          </m:e>
          <m:sub>
            <m:r>
              <m:t>i</m:t>
            </m:r>
          </m:sub>
        </m:sSub>
      </m:oMath>
      <w:r>
        <w:t xml:space="preserve"> </w:t>
      </w:r>
      <w:r>
        <w:t xml:space="preserve">reflects travel impedance like</w:t>
      </w:r>
      <w:r>
        <w:t xml:space="preserve"> </w:t>
      </w:r>
      <m:oMath>
        <m:sSub>
          <m:e>
            <m:r>
              <m:t>S</m:t>
            </m:r>
          </m:e>
          <m:sub>
            <m:r>
              <m:t>i</m:t>
            </m:r>
          </m:sub>
        </m:sSub>
      </m:oMath>
      <w:r>
        <w:t xml:space="preserve"> </w:t>
      </w:r>
      <w:r>
        <w:t xml:space="preserve">does, but it also considers competition. Spatial units with orange/green</w:t>
      </w:r>
      <w:r>
        <w:t xml:space="preserve"> </w:t>
      </w:r>
      <m:oMath>
        <m:sSub>
          <m:e>
            <m:r>
              <m:t>S</m:t>
            </m:r>
          </m:e>
          <m:sub>
            <m:r>
              <m:t>i</m:t>
            </m:r>
          </m:sub>
        </m:sSub>
      </m:oMath>
      <w:r>
        <w:t xml:space="preserve"> </w:t>
      </w:r>
      <w:r>
        <w:t xml:space="preserve">that have red</w:t>
      </w:r>
      <w:r>
        <w:t xml:space="preserve"> </w:t>
      </w:r>
      <m:oMath>
        <m:sSub>
          <m:e>
            <m:r>
              <m:t>V</m:t>
            </m:r>
          </m:e>
          <m:sub>
            <m:r>
              <m:t>i</m:t>
            </m:r>
          </m:sub>
        </m:sSub>
      </m:oMath>
      <w:r>
        <w:t xml:space="preserve"> </w:t>
      </w:r>
      <w:r>
        <w:t xml:space="preserve">are a cause for concern: they likely have low travel impedance but high competition that makes their</w:t>
      </w:r>
      <w:r>
        <w:t xml:space="preserve"> </w:t>
      </w:r>
      <m:oMath>
        <m:sSub>
          <m:e>
            <m:r>
              <m:t>V</m:t>
            </m:r>
          </m:e>
          <m:sub>
            <m:r>
              <m:t>i</m:t>
            </m:r>
          </m:sub>
        </m:sSub>
      </m:oMath>
      <w:r>
        <w:t xml:space="preserve"> </w:t>
      </w:r>
      <w:r>
        <w:t xml:space="preserve">relatively low. Conversely, spatial units with orange/red</w:t>
      </w:r>
      <w:r>
        <w:t xml:space="preserve"> </w:t>
      </w:r>
      <m:oMath>
        <m:sSub>
          <m:e>
            <m:r>
              <m:t>S</m:t>
            </m:r>
          </m:e>
          <m:sub>
            <m:r>
              <m:t>i</m:t>
            </m:r>
          </m:sub>
        </m:sSub>
      </m:oMath>
      <w:r>
        <w:t xml:space="preserve"> </w:t>
      </w:r>
      <w:r>
        <w:t xml:space="preserve">that have green</w:t>
      </w:r>
      <w:r>
        <w:t xml:space="preserve"> </w:t>
      </w:r>
      <m:oMath>
        <m:sSub>
          <m:e>
            <m:r>
              <m:t>V</m:t>
            </m:r>
          </m:e>
          <m:sub>
            <m:r>
              <m:t>i</m:t>
            </m:r>
          </m:sub>
        </m:sSub>
      </m:oMath>
      <w:r>
        <w:t xml:space="preserve"> </w:t>
      </w:r>
      <w:r>
        <w:t xml:space="preserve">have high travel impedance but low competition for their opportunities so their spatial availability of jobs may in fact be okay! Spatial availability adds an additional layer of consideration into the accessibility measure, and as such, reveals more about the region (under the travel behaviour and opportunity accessed assumptions).</w:t>
      </w:r>
    </w:p>
    <w:p>
      <w:pPr>
        <w:pStyle w:val="BodyText"/>
      </w:pPr>
      <w:r>
        <w:t xml:space="preserve">Across both</w:t>
      </w:r>
      <w:r>
        <w:t xml:space="preserve"> </w:t>
      </w:r>
      <m:oMath>
        <m:sSub>
          <m:e>
            <m:r>
              <m:t>S</m:t>
            </m:r>
          </m:e>
          <m:sub>
            <m:r>
              <m:t>i</m:t>
            </m:r>
          </m:sub>
        </m:sSub>
      </m:oMath>
      <w:r>
        <w:t xml:space="preserve"> </w:t>
      </w:r>
      <w:r>
        <w:t xml:space="preserve">and</w:t>
      </w:r>
      <w:r>
        <w:t xml:space="preserve"> </w:t>
      </w:r>
      <m:oMath>
        <m:sSub>
          <m:e>
            <m:r>
              <m:t>V</m:t>
            </m:r>
          </m:e>
          <m:sub>
            <m:r>
              <m:t>i</m:t>
            </m:r>
          </m:sub>
        </m:sSub>
      </m:oMath>
      <w:r>
        <w:t xml:space="preserve"> </w:t>
      </w:r>
      <w:r>
        <w:t xml:space="preserve">in</w:t>
      </w:r>
      <w:r>
        <w:t xml:space="preserve"> </w:t>
      </w:r>
      <w:hyperlink w:anchor="fig-perc-con-and-unconstrained-access">
        <w:r>
          <w:rPr>
            <w:rStyle w:val="Hyperlink"/>
          </w:rPr>
          <w:t xml:space="preserve">Figure 3</w:t>
        </w:r>
      </w:hyperlink>
      <w:r>
        <w:t xml:space="preserve">, we can see some common low values (red) located in the north end of the city. From unconstrained accessibility, we know these TAZ have high relative travel impedance - this may be because people who work in the north end do not live relatively close to these opportunities so have high relative travel times. Interestingly though, we can see that there is a high relative number of jobs within these TAZ (see</w:t>
      </w:r>
      <w:r>
        <w:t xml:space="preserve"> </w:t>
      </w:r>
      <w:hyperlink w:anchor="fig-worker-job-plot">
        <w:r>
          <w:rPr>
            <w:rStyle w:val="Hyperlink"/>
          </w:rPr>
          <w:t xml:space="preserve">Figure 4</w:t>
        </w:r>
      </w:hyperlink>
      <w:r>
        <w:t xml:space="preserve"> </w:t>
      </w:r>
      <w:r>
        <w:t xml:space="preserve">below), however, even the number of jobs does not balance out the impedance value and higher demand for those jobs. Hence, the unconstrained accessibility measure is also low.</w:t>
      </w:r>
    </w:p>
    <w:tbl>
      <w:tblPr>
        <w:tblStyle w:val="Table"/>
        <w:tblW w:type="pct" w:w="5000"/>
        <w:tblLook w:firstRow="0" w:lastRow="0" w:firstColumn="0" w:lastColumn="0" w:noHBand="0" w:noVBand="0" w:val="0000"/>
      </w:tblPr>
      <w:tblGrid>
        <w:gridCol w:w="7920"/>
      </w:tblGrid>
      <w:tr>
        <w:tc>
          <w:tcPr/>
          <w:bookmarkStart w:id="39" w:name="fig-worker-job-plot"/>
          <w:p>
            <w:pPr>
              <w:pStyle w:val="Figure"/>
              <w:jc w:val="center"/>
            </w:pPr>
            <w:r>
              <w:drawing>
                <wp:inline>
                  <wp:extent cx="4620126" cy="3696101"/>
                  <wp:effectExtent b="0" l="0" r="0" t="0"/>
                  <wp:docPr descr="" title="" id="37" name="Picture"/>
                  <a:graphic>
                    <a:graphicData uri="http://schemas.openxmlformats.org/drawingml/2006/picture">
                      <pic:pic>
                        <pic:nvPicPr>
                          <pic:cNvPr descr="Accessibility-calcs_files/figure-docx/fig-worker-job-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number of workers and jobs in Hamilton Center. Note: only workers who reside and work within Hamilton Center are considered in the accessibility calculations for this demonstration.</w:t>
            </w:r>
          </w:p>
          <w:bookmarkEnd w:id="39"/>
        </w:tc>
      </w:tr>
    </w:tbl>
    <w:bookmarkStart w:id="41" w:name="concluding-remarks"/>
    <w:p>
      <w:pPr>
        <w:pStyle w:val="Heading2"/>
      </w:pPr>
      <w:r>
        <w:t xml:space="preserve">Concluding remarks</w:t>
      </w:r>
    </w:p>
    <w:p>
      <w:pPr>
        <w:pStyle w:val="FirstParagraph"/>
      </w:pPr>
      <w:r>
        <w:t xml:space="preserve">To summarize, potential interaction with job opportunities is presented in the plots only for the population in Hamilton Center than both lives and works within Hamilton Center. Unconstrained accessibility only considers the jobs that can be potentially interacted with by the population based on travel impedance. Constrained accessibility considers travel impedance in addition to the demand for jobs (i.e., the population).</w:t>
      </w:r>
    </w:p>
    <w:p>
      <w:pPr>
        <w:pStyle w:val="BodyText"/>
      </w:pPr>
      <w:r>
        <w:t xml:space="preserve">Accessibility is a unique measure that characterizes the relationship between land-use (where populations reside and the opportunities they can interact with) in addition to transportation travel impedance. How the relationship is conceptualization (i.e., if there’s competition or not) and how the travel impedance is calibrated (i.e., what function describes travel behaviour) are critical in determining what the final values are and how to interpret them.</w:t>
      </w:r>
    </w:p>
    <w:p>
      <w:pPr>
        <w:pStyle w:val="BodyText"/>
      </w:pPr>
      <w:r>
        <w:t xml:space="preserve">The constrained accessibility measure we demonstrate is spatial availability</w:t>
      </w:r>
      <w:r>
        <w:t xml:space="preserve"> </w:t>
      </w:r>
      <m:oMath>
        <m:sSub>
          <m:e>
            <m:r>
              <m:t>V</m:t>
            </m:r>
          </m:e>
          <m:sub>
            <m:r>
              <m:t>i</m:t>
            </m:r>
          </m:sub>
        </m:sSub>
      </m:oMath>
      <w:r>
        <w:t xml:space="preserve">, which has a proportional allocation feature. Since the number of opportunities for the region is proportionally allocated to each origin - the raw output can be used to plan for how many more opportunities are needed for each origin. Furthermore, though not demonstrated in this post, spatial availability values can also be divided by population at that origin. This can be interpreted as an opportunity per capita value. This value can be used as a benchmark to compare again opportunity per capita across areas of the region and between regions. This, along with different equity conceptualizations, will be explored in a future post.</w:t>
      </w:r>
    </w:p>
    <w:p>
      <w:pPr>
        <w:pStyle w:val="BodyText"/>
      </w:pPr>
      <w:r>
        <w:t xml:space="preserve">Considering competition is important for certain opportunity types and using the spatial availability method allows for the resulting unprocessed value to be interpretable. For instance, places of employment are a</w:t>
      </w:r>
      <w:r>
        <w:t xml:space="preserve"> </w:t>
      </w:r>
      <w:r>
        <w:rPr>
          <w:iCs/>
          <w:i/>
        </w:rPr>
        <w:t xml:space="preserve">non-divisible</w:t>
      </w:r>
      <w:r>
        <w:t xml:space="preserve"> </w:t>
      </w:r>
      <w:r>
        <w:t xml:space="preserve">type of opportunity, they only allow one person to take one job. Unless there’s a reason to</w:t>
      </w:r>
      <w:r>
        <w:t xml:space="preserve"> </w:t>
      </w:r>
      <w:r>
        <w:rPr>
          <w:iCs/>
          <w:i/>
        </w:rPr>
        <w:t xml:space="preserve">not</w:t>
      </w:r>
      <w:r>
        <w:t xml:space="preserve"> </w:t>
      </w:r>
      <w:r>
        <w:t xml:space="preserve">consider competition, measuring access to jobs using an unconstrained measure</w:t>
      </w:r>
      <w:r>
        <w:t xml:space="preserve"> </w:t>
      </w:r>
      <m:oMath>
        <m:sSub>
          <m:e>
            <m:r>
              <m:t>S</m:t>
            </m:r>
          </m:e>
          <m:sub>
            <m:r>
              <m:t>i</m:t>
            </m:r>
          </m:sub>
        </m:sSub>
      </m:oMath>
      <w:r>
        <w:t xml:space="preserve"> </w:t>
      </w:r>
      <w:r>
        <w:t xml:space="preserve">does not make much theoretical sense from an opportunity-planning perspective. Spatial availability is also valuable if interested in levels of service (opportunities per capita) levels.</w:t>
      </w:r>
    </w:p>
    <w:p>
      <w:pPr>
        <w:pStyle w:val="BodyText"/>
      </w:pPr>
      <w:r>
        <w:t xml:space="preserve">On the flipside, if opportunities are divisible (i.e., capacity of the opportunity doesn’t matter or the demand for the opportunity doesn’t matter much either) than unconstrained</w:t>
      </w:r>
      <w:r>
        <w:t xml:space="preserve"> </w:t>
      </w:r>
      <m:oMath>
        <m:sSub>
          <m:e>
            <m:r>
              <m:t>S</m:t>
            </m:r>
          </m:e>
          <m:sub>
            <m:r>
              <m:t>i</m:t>
            </m:r>
          </m:sub>
        </m:sSub>
      </m:oMath>
      <w:r>
        <w:t xml:space="preserve"> </w:t>
      </w:r>
      <w:r>
        <w:t xml:space="preserve">makes more theoretical sense. Ultimately, unconstrained accessibility</w:t>
      </w:r>
      <w:r>
        <w:t xml:space="preserve"> </w:t>
      </w:r>
      <m:oMath>
        <m:sSub>
          <m:e>
            <m:r>
              <m:t>S</m:t>
            </m:r>
          </m:e>
          <m:sub>
            <m:r>
              <m:t>i</m:t>
            </m:r>
          </m:sub>
        </m:sSub>
      </m:oMath>
      <w:r>
        <w:t xml:space="preserve"> </w:t>
      </w:r>
      <w:r>
        <w:t xml:space="preserve">tells you how many opportunities can be potentially reached. Spatial availability tells you how many opportunities are</w:t>
      </w:r>
      <w:r>
        <w:t xml:space="preserve"> </w:t>
      </w:r>
      <w:r>
        <w:rPr>
          <w:iCs/>
          <w:i/>
        </w:rPr>
        <w:t xml:space="preserve">available</w:t>
      </w:r>
      <w:r>
        <w:t xml:space="preserve"> </w:t>
      </w:r>
      <w:r>
        <w:t xml:space="preserve">based on how many can be potentially reached and demanded. Consider it as a measure of potential opportunity access that you can reach and that has not been</w:t>
      </w:r>
      <w:r>
        <w:t xml:space="preserve"> </w:t>
      </w:r>
      <w:r>
        <w:t xml:space="preserve">‘</w:t>
      </w:r>
      <w:r>
        <w:t xml:space="preserve">taken</w:t>
      </w:r>
      <w:r>
        <w:t xml:space="preserve">’</w:t>
      </w:r>
      <w:r>
        <w:t xml:space="preserve"> </w:t>
      </w:r>
      <w:r>
        <w:t xml:space="preserve">up yet.</w:t>
      </w:r>
    </w:p>
    <w:p>
      <w:pPr>
        <w:pStyle w:val="BodyText"/>
      </w:pPr>
      <w:r>
        <w:t xml:space="preserve">Depending on how the accessibility analysis is conducted sheds light on regions of inequitable potential access. Assumptions on what region to analyse, what population and opportunities are the subject of analysis, the travel cost unit and calculation, the impedance function and the measure used all impact the final results. But ultimately, the output represents the number of opportunities that could</w:t>
      </w:r>
      <w:r>
        <w:t xml:space="preserve"> </w:t>
      </w:r>
      <w:r>
        <w:rPr>
          <w:iCs/>
          <w:i/>
        </w:rPr>
        <w:t xml:space="preserve">potentially</w:t>
      </w:r>
      <w:r>
        <w:t xml:space="preserve"> </w:t>
      </w:r>
      <w:r>
        <w:t xml:space="preserve">be reached from each origin. It is critical that the assumptions embedded within each step of analysis are understood so that the final value can be interpreted and inequities can be identified.</w:t>
      </w:r>
    </w:p>
    <w:p>
      <w:pPr>
        <w:pStyle w:val="BodyText"/>
      </w:pPr>
      <w:r>
        <w:t xml:space="preserve">Once these spatial inequities have been identified - what do we do about it? That is the subject for a future post.</w:t>
      </w:r>
    </w:p>
    <w:p>
      <w:pPr>
        <w:pStyle w:val="BodyText"/>
      </w:pPr>
      <w:r>
        <w:t xml:space="preserve">Openness is legitimacy: this blog post was written in a R environment and can be fully reproduced from the materials available at this GitHub (</w:t>
      </w:r>
      <w:hyperlink r:id="rId40">
        <w:r>
          <w:rPr>
            <w:rStyle w:val="Hyperlink"/>
          </w:rPr>
          <w:t xml:space="preserve">repository</w:t>
        </w:r>
      </w:hyperlink>
      <w:r>
        <w:t xml:space="preserve">). If interested, see the open access PDF of the full article (which includes the mathematical formulation for the spatial availability function) in the references</w:t>
      </w:r>
      <w:r>
        <w:t xml:space="preserve"> </w:t>
      </w:r>
      <w:r>
        <w:t xml:space="preserve">(Soukhov et al. 2023)</w:t>
      </w:r>
      <w:r>
        <w:t xml:space="preserve">.</w:t>
      </w:r>
    </w:p>
    <w:p>
      <w:pPr>
        <w:pStyle w:val="BodyText"/>
      </w:pPr>
      <w:r>
        <w:rPr>
          <w:iCs/>
          <w:i/>
        </w:rPr>
        <w:t xml:space="preserve">The data used in this post is a subset of data from {TTS2016R}, the plots are created using {tmap}, and spatial objects are manipulated using {sf}, along with base {R} functions.</w:t>
      </w:r>
    </w:p>
    <w:bookmarkEnd w:id="41"/>
    <w:bookmarkStart w:id="57" w:name="references"/>
    <w:p>
      <w:pPr>
        <w:pStyle w:val="Heading2"/>
      </w:pPr>
      <w:r>
        <w:t xml:space="preserve">References</w:t>
      </w:r>
    </w:p>
    <w:bookmarkStart w:id="56" w:name="refs"/>
    <w:bookmarkStart w:id="43" w:name="ref-hansen1959"/>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r>
        <w:t xml:space="preserve"> </w:t>
      </w:r>
      <w:hyperlink r:id="rId42">
        <w:r>
          <w:rPr>
            <w:rStyle w:val="Hyperlink"/>
          </w:rPr>
          <w:t xml:space="preserve">https://doi.org/10.1080/01944365908978307</w:t>
        </w:r>
      </w:hyperlink>
      <w:r>
        <w:t xml:space="preserve">.</w:t>
      </w:r>
    </w:p>
    <w:bookmarkEnd w:id="43"/>
    <w:bookmarkStart w:id="45"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Cs/>
          <w:i/>
        </w:rPr>
        <w:t xml:space="preserve">Environment and Planning B: Planning and Design</w:t>
      </w:r>
      <w:r>
        <w:t xml:space="preserve"> </w:t>
      </w:r>
      <w:r>
        <w:t xml:space="preserve">30 (6): 865–84.</w:t>
      </w:r>
      <w:r>
        <w:t xml:space="preserve"> </w:t>
      </w:r>
      <w:hyperlink r:id="rId44">
        <w:r>
          <w:rPr>
            <w:rStyle w:val="Hyperlink"/>
          </w:rPr>
          <w:t xml:space="preserve">https://doi.org/10.1068/b29120</w:t>
        </w:r>
      </w:hyperlink>
      <w:r>
        <w:t xml:space="preserve">.</w:t>
      </w:r>
    </w:p>
    <w:bookmarkEnd w:id="45"/>
    <w:bookmarkStart w:id="47" w:name="ref-paez2012measuring"/>
    <w:p>
      <w:pPr>
        <w:pStyle w:val="Bibliography"/>
      </w:pPr>
      <w:r>
        <w:t xml:space="preserve">Paez, A., D. M. Scott, and C. Morency. 2012.</w:t>
      </w:r>
      <w:r>
        <w:t xml:space="preserve"> </w:t>
      </w:r>
      <w:r>
        <w:t xml:space="preserve">“Measuring Accessibility: Positive and Normative Implementations of Various Accessibility Indicators.”</w:t>
      </w:r>
      <w:r>
        <w:t xml:space="preserve"> </w:t>
      </w:r>
      <w:r>
        <w:t xml:space="preserve">Journal Article.</w:t>
      </w:r>
      <w:r>
        <w:t xml:space="preserve"> </w:t>
      </w:r>
      <w:r>
        <w:rPr>
          <w:iCs/>
          <w:i/>
        </w:rPr>
        <w:t xml:space="preserve">Journal of Transport Geography</w:t>
      </w:r>
      <w:r>
        <w:t xml:space="preserve"> </w:t>
      </w:r>
      <w:r>
        <w:t xml:space="preserve">25: 141–53.</w:t>
      </w:r>
      <w:r>
        <w:t xml:space="preserve"> </w:t>
      </w:r>
      <w:hyperlink r:id="rId46">
        <w:r>
          <w:rPr>
            <w:rStyle w:val="Hyperlink"/>
          </w:rPr>
          <w:t xml:space="preserve">https://doi.org/10.1016/j.jtrangeo.2012.03.016</w:t>
        </w:r>
      </w:hyperlink>
      <w:r>
        <w:t xml:space="preserve">.</w:t>
      </w:r>
    </w:p>
    <w:bookmarkEnd w:id="47"/>
    <w:bookmarkStart w:id="49" w:name="ref-shen1998"/>
    <w:p>
      <w:pPr>
        <w:pStyle w:val="Bibliography"/>
      </w:pPr>
      <w:r>
        <w:t xml:space="preserve">Shen, Q. 1998.</w:t>
      </w:r>
      <w:r>
        <w:t xml:space="preserve"> </w:t>
      </w:r>
      <w:r>
        <w:t xml:space="preserve">“Location Characteristics of Inner-City Neighborhoods and Employment Accessibility of Low-Wage Workers.”</w:t>
      </w:r>
      <w:r>
        <w:t xml:space="preserve"> </w:t>
      </w:r>
      <w:r>
        <w:rPr>
          <w:iCs/>
          <w:i/>
        </w:rPr>
        <w:t xml:space="preserve">Environment and Planning B: Planning and Design</w:t>
      </w:r>
      <w:r>
        <w:t xml:space="preserve"> </w:t>
      </w:r>
      <w:r>
        <w:t xml:space="preserve">25 (3): 345–65.</w:t>
      </w:r>
      <w:r>
        <w:t xml:space="preserve"> </w:t>
      </w:r>
      <w:hyperlink r:id="rId48">
        <w:r>
          <w:rPr>
            <w:rStyle w:val="Hyperlink"/>
          </w:rPr>
          <w:t xml:space="preserve">https://doi.org/10.1068/b250345</w:t>
        </w:r>
      </w:hyperlink>
      <w:r>
        <w:t xml:space="preserve">.</w:t>
      </w:r>
    </w:p>
    <w:bookmarkEnd w:id="49"/>
    <w:bookmarkStart w:id="51"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 |</w:t>
      </w:r>
      <w:r>
        <w:t xml:space="preserve"> </w:t>
      </w:r>
      <w:r>
        <w:t xml:space="preserve">PLOS ONE</w:t>
      </w:r>
      <w:r>
        <w:t xml:space="preserve">.”</w:t>
      </w:r>
      <w:r>
        <w:t xml:space="preserve"> </w:t>
      </w:r>
      <w:r>
        <w:rPr>
          <w:iCs/>
          <w:i/>
        </w:rPr>
        <w:t xml:space="preserve">PLOS ONE</w:t>
      </w:r>
      <w:r>
        <w:t xml:space="preserve">, 1–30. https://doi.org/</w:t>
      </w:r>
      <w:hyperlink r:id="rId50">
        <w:r>
          <w:rPr>
            <w:rStyle w:val="Hyperlink"/>
          </w:rPr>
          <w:t xml:space="preserve">https:// doi.org/10.1371/journal.pone.0278468</w:t>
        </w:r>
      </w:hyperlink>
      <w:r>
        <w:t xml:space="preserve">.</w:t>
      </w:r>
    </w:p>
    <w:bookmarkEnd w:id="51"/>
    <w:bookmarkStart w:id="53"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Cs/>
          <w:i/>
        </w:rPr>
        <w:t xml:space="preserve">Environment and Planning B: Urban Analytics and City Science</w:t>
      </w:r>
      <w:r>
        <w:t xml:space="preserve">, January, 23998083221146781.</w:t>
      </w:r>
      <w:r>
        <w:t xml:space="preserve"> </w:t>
      </w:r>
      <w:hyperlink r:id="rId52">
        <w:r>
          <w:rPr>
            <w:rStyle w:val="Hyperlink"/>
          </w:rPr>
          <w:t xml:space="preserve">https://doi.org/10.1177/23998083221146781</w:t>
        </w:r>
      </w:hyperlink>
      <w:r>
        <w:t xml:space="preserve">.</w:t>
      </w:r>
    </w:p>
    <w:bookmarkEnd w:id="53"/>
    <w:bookmarkStart w:id="55" w:name="ref-weibull_axiomatic_1976"/>
    <w:p>
      <w:pPr>
        <w:pStyle w:val="Bibliography"/>
      </w:pPr>
      <w:r>
        <w:t xml:space="preserve">Weibull, Jörgen W. 1976.</w:t>
      </w:r>
      <w:r>
        <w:t xml:space="preserve"> </w:t>
      </w:r>
      <w:r>
        <w:t xml:space="preserve">“An Axiomatic Approach to the Measurement of Accessibility.”</w:t>
      </w:r>
      <w:r>
        <w:t xml:space="preserve"> </w:t>
      </w:r>
      <w:r>
        <w:rPr>
          <w:iCs/>
          <w:i/>
        </w:rPr>
        <w:t xml:space="preserve">Regional Science and Urban Economics</w:t>
      </w:r>
      <w:r>
        <w:t xml:space="preserve"> </w:t>
      </w:r>
      <w:r>
        <w:t xml:space="preserve">6 (4): 357–79.</w:t>
      </w:r>
      <w:r>
        <w:t xml:space="preserve"> </w:t>
      </w:r>
      <w:hyperlink r:id="rId54">
        <w:r>
          <w:rPr>
            <w:rStyle w:val="Hyperlink"/>
          </w:rPr>
          <w:t xml:space="preserve">https://doi.org/10.1016/0166-0462(76)90031-4</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hyperlink" Id="rId20" Target="**LINK%20TO%20POST1**" TargetMode="External" /><Relationship Type="http://schemas.openxmlformats.org/officeDocument/2006/relationships/hyperlink" Id="rId50" Target="https:// doi.org/10.1371/journal.pone.0278468" TargetMode="External" /><Relationship Type="http://schemas.openxmlformats.org/officeDocument/2006/relationships/hyperlink" Id="rId54" Target="https://doi.org/10.1016/0166-0462(76)90031-4" TargetMode="External" /><Relationship Type="http://schemas.openxmlformats.org/officeDocument/2006/relationships/hyperlink" Id="rId46" Target="https://doi.org/10.1016/j.jtrangeo.2012.03.016" TargetMode="External" /><Relationship Type="http://schemas.openxmlformats.org/officeDocument/2006/relationships/hyperlink" Id="rId48" Target="https://doi.org/10.1068/b250345" TargetMode="External" /><Relationship Type="http://schemas.openxmlformats.org/officeDocument/2006/relationships/hyperlink" Id="rId44" Target="https://doi.org/10.1068/b29120" TargetMode="External" /><Relationship Type="http://schemas.openxmlformats.org/officeDocument/2006/relationships/hyperlink" Id="rId42"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0" Target="https://github.com/soukhova/MJ-Accessibility-Blogs" TargetMode="External" /><Relationship Type="http://schemas.openxmlformats.org/officeDocument/2006/relationships/hyperlink" Id="rId23" Target="https://soukhova.github.io/TTS2016R/" TargetMode="External" /></Relationships>
</file>

<file path=word/_rels/footnotes.xml.rels><?xml version="1.0" encoding="UTF-8"?><Relationships xmlns="http://schemas.openxmlformats.org/package/2006/relationships"><Relationship Type="http://schemas.openxmlformats.org/officeDocument/2006/relationships/hyperlink" Id="rId20" Target="**LINK%20TO%20POST1**" TargetMode="External" /><Relationship Type="http://schemas.openxmlformats.org/officeDocument/2006/relationships/hyperlink" Id="rId50" Target="https:// doi.org/10.1371/journal.pone.0278468" TargetMode="External" /><Relationship Type="http://schemas.openxmlformats.org/officeDocument/2006/relationships/hyperlink" Id="rId54" Target="https://doi.org/10.1016/0166-0462(76)90031-4" TargetMode="External" /><Relationship Type="http://schemas.openxmlformats.org/officeDocument/2006/relationships/hyperlink" Id="rId46" Target="https://doi.org/10.1016/j.jtrangeo.2012.03.016" TargetMode="External" /><Relationship Type="http://schemas.openxmlformats.org/officeDocument/2006/relationships/hyperlink" Id="rId48" Target="https://doi.org/10.1068/b250345" TargetMode="External" /><Relationship Type="http://schemas.openxmlformats.org/officeDocument/2006/relationships/hyperlink" Id="rId44" Target="https://doi.org/10.1068/b29120" TargetMode="External" /><Relationship Type="http://schemas.openxmlformats.org/officeDocument/2006/relationships/hyperlink" Id="rId42"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0" Target="https://github.com/soukhova/MJ-Accessibility-Blogs" TargetMode="External" /><Relationship Type="http://schemas.openxmlformats.org/officeDocument/2006/relationships/hyperlink" Id="rId23" Target="https://soukhova.github.io/TTS2016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with accessibility measures II: unconstrained and constrained accessibility</dc:title>
  <dc:creator>Anastasia Soukhov</dc:creator>
  <cp:keywords/>
  <dcterms:created xsi:type="dcterms:W3CDTF">2023-08-31T21:12:43Z</dcterms:created>
  <dcterms:modified xsi:type="dcterms:W3CDTF">2023-08-31T21:12:43Z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