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Planning</w:t>
      </w:r>
      <w:r>
        <w:t xml:space="preserve"> </w:t>
      </w:r>
      <w:r>
        <w:t xml:space="preserve">with</w:t>
      </w:r>
      <w:r>
        <w:t xml:space="preserve"> </w:t>
      </w:r>
      <w:r>
        <w:t xml:space="preserve">accessibility</w:t>
      </w:r>
      <w:r>
        <w:t xml:space="preserve"> </w:t>
      </w:r>
      <w:r>
        <w:t xml:space="preserve">measures:</w:t>
      </w:r>
      <w:r>
        <w:t xml:space="preserve"> </w:t>
      </w:r>
      <w:r>
        <w:t xml:space="preserve">impedance</w:t>
      </w:r>
      <w:r>
        <w:t xml:space="preserve"> </w:t>
      </w:r>
      <w:r>
        <w:t xml:space="preserve">functions</w:t>
      </w:r>
    </w:p>
    <w:p>
      <w:pPr>
        <w:pStyle w:val="Author"/>
      </w:pPr>
      <w:r>
        <w:t xml:space="preserve">Anastasia</w:t>
      </w:r>
      <w:r>
        <w:t xml:space="preserve"> </w:t>
      </w:r>
      <w:r>
        <w:t xml:space="preserve">Soukhov</w:t>
      </w:r>
    </w:p>
    <w:p>
      <w:pPr>
        <w:pStyle w:val="FirstParagraph"/>
      </w:pPr>
      <w:r>
        <w:rPr>
          <w:iCs/>
          <w:i/>
        </w:rPr>
        <w:t xml:space="preserve">Accessibility</w:t>
      </w:r>
      <w:r>
        <w:t xml:space="preserve"> </w:t>
      </w:r>
      <w:r>
        <w:t xml:space="preserve">(or</w:t>
      </w:r>
      <w:r>
        <w:t xml:space="preserve"> </w:t>
      </w:r>
      <w:r>
        <w:rPr>
          <w:iCs/>
          <w:i/>
        </w:rPr>
        <w:t xml:space="preserve">access</w:t>
      </w:r>
      <w:r>
        <w:t xml:space="preserve">) has many definitions. Within the context of transportation planning, accessibility can be defined as a measure of the amount of interaction a population potentially has with opportunities in a given region. It is a product of the land-use and the population’s means of transportation: the population are the people that live within the region and the opportunities are the destinations of interest to the population or of the transportation network itself.</w:t>
      </w:r>
    </w:p>
    <w:p>
      <w:pPr>
        <w:pStyle w:val="BodyText"/>
      </w:pPr>
      <w:r>
        <w:t xml:space="preserve">The population can be the total population or any subset in the region and the opportunities that can be modeled are limitless, for instance, they can be food markets, healthcare services, schools, places of employment, or even other populations. The output from accessibility measures are typically a value or normalized score that is assigned to each spatial unit (e.g., a census tract, neighbourhood, parcel, etc.) within the region. This score can help an analyst identify areas of spatial disparities in access for the region. Clarifying reviews of how accessibility measures have been used in the literature has been detailed, to name a few, in the unifying works of</w:t>
      </w:r>
      <w:r>
        <w:t xml:space="preserve"> </w:t>
      </w:r>
      <w:r>
        <w:t xml:space="preserve">(Geurs and van Wee 2004)</w:t>
      </w:r>
      <w:r>
        <w:t xml:space="preserve"> </w:t>
      </w:r>
      <w:r>
        <w:t xml:space="preserve">and</w:t>
      </w:r>
      <w:r>
        <w:t xml:space="preserve"> </w:t>
      </w:r>
      <w:r>
        <w:t xml:space="preserve">(Wu and Levinson 2020)</w:t>
      </w:r>
      <w:r>
        <w:t xml:space="preserve"> </w:t>
      </w:r>
      <w:r>
        <w:t xml:space="preserve">and an interesting discussion is provided by</w:t>
      </w:r>
      <w:r>
        <w:t xml:space="preserve"> </w:t>
      </w:r>
      <w:r>
        <w:t xml:space="preserve">(Handy 2020)</w:t>
      </w:r>
      <w:r>
        <w:t xml:space="preserve">.</w:t>
      </w:r>
    </w:p>
    <w:p>
      <w:pPr>
        <w:pStyle w:val="BodyText"/>
      </w:pPr>
      <w:r>
        <w:t xml:space="preserve">Due to of the adaptability of accessibility measure methods, they have been used in wide variety of transportation research and planning work throughout the years. What makes them popular is how they can be used to intuitively define and describe transportation and land-use disparities in opportunity access. Through the identification of disparities, associated interventions can be better informed: this is an important component in planning for equitable transportation service provision.</w:t>
      </w:r>
    </w:p>
    <w:p>
      <w:pPr>
        <w:pStyle w:val="BodyText"/>
      </w:pPr>
      <w:r>
        <w:t xml:space="preserve">This blog post is the first part of a multi-part series. This series aims to walk readers through the potential uses of accessibility measures in transportation equity planning. This post explores how we can choose to assume travel behaviour in accessibility measures. In subsequent posts, how impedance functions impact accessibility measures, types of accessibility methods and methods to analysis equity are discussed.</w:t>
      </w:r>
    </w:p>
    <w:bookmarkStart w:id="37" w:name="X1b2abc7b30f8c340b70414da22adc91be0c7c27"/>
    <w:p>
      <w:pPr>
        <w:pStyle w:val="Heading2"/>
      </w:pPr>
      <w:r>
        <w:t xml:space="preserve">Counting opportunities through decaying distance</w:t>
      </w:r>
    </w:p>
    <w:p>
      <w:pPr>
        <w:pStyle w:val="FirstParagraph"/>
      </w:pPr>
      <w:r>
        <w:t xml:space="preserve">Many accessibility measures derive from one proposed first proposed by</w:t>
      </w:r>
      <w:r>
        <w:t xml:space="preserve"> </w:t>
      </w:r>
      <w:r>
        <w:t xml:space="preserve">(Hansen 1959)</w:t>
      </w:r>
      <w:r>
        <w:t xml:space="preserve"> </w:t>
      </w:r>
      <w:r>
        <w:t xml:space="preserve">from definitions of demographic potential interaction defined by</w:t>
      </w:r>
      <w:r>
        <w:t xml:space="preserve"> </w:t>
      </w:r>
      <w:r>
        <w:t xml:space="preserve">(Stewart 1948)</w:t>
      </w:r>
      <w:r>
        <w:t xml:space="preserve">. This accessibility measure</w:t>
      </w:r>
      <w:r>
        <w:t xml:space="preserve"> </w:t>
      </w:r>
      <m:oMath>
        <m:sSub>
          <m:e>
            <m:r>
              <m:t>A</m:t>
            </m:r>
          </m:e>
          <m:sub>
            <m:r>
              <m:t>i</m:t>
            </m:r>
          </m:sub>
        </m:sSub>
      </m:oMath>
      <w:r>
        <w:t xml:space="preserve"> </w:t>
      </w:r>
      <w:r>
        <w:t xml:space="preserve">is represented in (</w:t>
      </w:r>
      <w:hyperlink w:anchor="eq-hansen-access">
        <w:r>
          <w:rPr>
            <w:rStyle w:val="Hyperlink"/>
          </w:rPr>
          <w:t xml:space="preserve">Equation 1</w:t>
        </w:r>
      </w:hyperlink>
      <w:r>
        <w:t xml:space="preserve">).</w:t>
      </w:r>
    </w:p>
    <w:p>
      <w:pPr>
        <w:pStyle w:val="BodyText"/>
      </w:pPr>
      <w:bookmarkStart w:id="20" w:name="eq-hansen-access"/>
      <m:oMathPara>
        <m:oMathParaPr>
          <m:jc m:val="center"/>
        </m:oMathParaPr>
        <m:oMath>
          <m:sSub>
            <m:e>
              <m:r>
                <m:t>A</m:t>
              </m:r>
            </m:e>
            <m:sub>
              <m:r>
                <m:t>i</m:t>
              </m:r>
            </m:sub>
          </m:sSub>
          <m:r>
            <m:rPr>
              <m:sty m:val="p"/>
            </m:rPr>
            <m:t>=</m:t>
          </m:r>
          <m:nary>
            <m:naryPr>
              <m:chr m:val="∑"/>
              <m:limLoc m:val="undOvr"/>
              <m:subHide m:val="0"/>
              <m:supHide m:val="0"/>
            </m:naryPr>
            <m:sub>
              <m:r>
                <m:t>j</m:t>
              </m:r>
              <m:r>
                <m:rPr>
                  <m:sty m:val="p"/>
                </m:rPr>
                <m:t>=</m:t>
              </m:r>
              <m:r>
                <m:t>1</m:t>
              </m:r>
            </m:sub>
            <m:sup>
              <m:r>
                <m:t>J</m:t>
              </m:r>
            </m:sup>
            <m:e>
              <m:sSub>
                <m:e>
                  <m:r>
                    <m:t>O</m:t>
                  </m:r>
                </m:e>
                <m:sub>
                  <m:r>
                    <m:t>j</m:t>
                  </m:r>
                </m:sub>
              </m:sSub>
            </m:e>
          </m:nary>
          <m:r>
            <m:rPr>
              <m:sty m:val="p"/>
            </m:rPr>
            <m:t>⋅</m:t>
          </m:r>
          <m:r>
            <m:t>f</m:t>
          </m:r>
          <m:d>
            <m:dPr>
              <m:begChr m:val="("/>
              <m:endChr m:val=")"/>
              <m:sepChr m:val=""/>
              <m:grow/>
            </m:dPr>
            <m:e>
              <m:sSub>
                <m:e>
                  <m:r>
                    <m:t>c</m:t>
                  </m:r>
                </m:e>
                <m:sub>
                  <m:r>
                    <m:t>i</m:t>
                  </m:r>
                  <m:r>
                    <m:t>j</m:t>
                  </m:r>
                </m:sub>
              </m:sSub>
            </m:e>
          </m:d>
          <m:r>
            <m:t>  </m:t>
          </m:r>
          <m:d>
            <m:dPr>
              <m:begChr m:val="("/>
              <m:endChr m:val=")"/>
              <m:sepChr m:val=""/>
              <m:grow/>
            </m:dPr>
            <m:e>
              <m:r>
                <m:t>1</m:t>
              </m:r>
            </m:e>
          </m:d>
        </m:oMath>
      </m:oMathPara>
      <w:bookmarkEnd w:id="20"/>
    </w:p>
    <w:p>
      <w:pPr>
        <w:pStyle w:val="FirstParagraph"/>
      </w:pPr>
      <w:r>
        <w:t xml:space="preserve">Where: the accessibility score</w:t>
      </w:r>
      <w:r>
        <w:t xml:space="preserve"> </w:t>
      </w:r>
      <m:oMath>
        <m:sSub>
          <m:e>
            <m:r>
              <m:t>A</m:t>
            </m:r>
          </m:e>
          <m:sub>
            <m:r>
              <m:t>i</m:t>
            </m:r>
          </m:sub>
        </m:sSub>
      </m:oMath>
      <w:r>
        <w:t xml:space="preserve"> </w:t>
      </w:r>
      <w:r>
        <w:t xml:space="preserve">is a value calculated for each spatial unit</w:t>
      </w:r>
      <w:r>
        <w:t xml:space="preserve"> </w:t>
      </w:r>
      <m:oMath>
        <m:r>
          <m:t>i</m:t>
        </m:r>
      </m:oMath>
      <w:r>
        <w:t xml:space="preserve"> </w:t>
      </w:r>
      <w:r>
        <w:t xml:space="preserve">through the summation of the number of opportunities</w:t>
      </w:r>
      <w:r>
        <w:t xml:space="preserve"> </w:t>
      </w:r>
      <m:oMath>
        <m:r>
          <m:t>O</m:t>
        </m:r>
      </m:oMath>
      <w:r>
        <w:t xml:space="preserve"> </w:t>
      </w:r>
      <w:r>
        <w:t xml:space="preserve">at</w:t>
      </w:r>
      <w:r>
        <w:t xml:space="preserve"> </w:t>
      </w:r>
      <m:oMath>
        <m:r>
          <m:t>j</m:t>
        </m:r>
      </m:oMath>
      <w:r>
        <w:t xml:space="preserve"> </w:t>
      </w:r>
      <w:r>
        <w:t xml:space="preserve">multiplied by the distance-decay function</w:t>
      </w:r>
      <w:r>
        <w:t xml:space="preserve"> </w:t>
      </w:r>
      <m:oMath>
        <m:r>
          <m:t>f</m:t>
        </m:r>
        <m:d>
          <m:dPr>
            <m:begChr m:val="("/>
            <m:endChr m:val=")"/>
            <m:sepChr m:val=""/>
            <m:grow/>
          </m:dPr>
          <m:e>
            <m:sSub>
              <m:e>
                <m:r>
                  <m:t>c</m:t>
                </m:r>
              </m:e>
              <m:sub>
                <m:r>
                  <m:t>i</m:t>
                </m:r>
                <m:r>
                  <m:t>j</m:t>
                </m:r>
              </m:sub>
            </m:sSub>
          </m:e>
        </m:d>
      </m:oMath>
      <w:r>
        <w:t xml:space="preserve">.</w:t>
      </w:r>
      <w:r>
        <w:t xml:space="preserve"> </w:t>
      </w:r>
      <m:oMath>
        <m:r>
          <m:t>f</m:t>
        </m:r>
        <m:d>
          <m:dPr>
            <m:begChr m:val="("/>
            <m:endChr m:val=")"/>
            <m:sepChr m:val=""/>
            <m:grow/>
          </m:dPr>
          <m:e>
            <m:sSub>
              <m:e>
                <m:r>
                  <m:t>c</m:t>
                </m:r>
              </m:e>
              <m:sub>
                <m:r>
                  <m:t>i</m:t>
                </m:r>
                <m:r>
                  <m:t>j</m:t>
                </m:r>
              </m:sub>
            </m:sSub>
          </m:e>
        </m:d>
      </m:oMath>
      <w:r>
        <w:t xml:space="preserve"> </w:t>
      </w:r>
      <w:r>
        <w:t xml:space="preserve">is some function that reflects how travel cost</w:t>
      </w:r>
      <w:r>
        <w:t xml:space="preserve"> </w:t>
      </w:r>
      <w:r>
        <w:t xml:space="preserve">$c_{ij$</w:t>
      </w:r>
      <w:r>
        <w:t xml:space="preserve"> </w:t>
      </w:r>
      <w:r>
        <w:t xml:space="preserve">changes as distance between origin</w:t>
      </w:r>
      <w:r>
        <w:t xml:space="preserve"> </w:t>
      </w:r>
      <m:oMath>
        <m:r>
          <m:t>i</m:t>
        </m:r>
      </m:oMath>
      <w:r>
        <w:t xml:space="preserve"> </w:t>
      </w:r>
      <w:r>
        <w:t xml:space="preserve">and destination</w:t>
      </w:r>
      <w:r>
        <w:t xml:space="preserve"> </w:t>
      </w:r>
      <m:oMath>
        <m:r>
          <m:t>j</m:t>
        </m:r>
      </m:oMath>
      <w:r>
        <w:t xml:space="preserve"> </w:t>
      </w:r>
      <w:r>
        <w:t xml:space="preserve">changes. Recall,</w:t>
      </w:r>
      <w:r>
        <w:t xml:space="preserve"> </w:t>
      </w:r>
      <m:oMath>
        <m:r>
          <m:t>i</m:t>
        </m:r>
      </m:oMath>
      <w:r>
        <w:t xml:space="preserve"> </w:t>
      </w:r>
      <w:r>
        <w:t xml:space="preserve">denotes each origin spatial unit in the region (e.g.,</w:t>
      </w:r>
      <w:r>
        <w:t xml:space="preserve"> </w:t>
      </w:r>
      <m:oMath>
        <m:r>
          <m:t>i</m:t>
        </m:r>
      </m:oMath>
      <w:r>
        <w:t xml:space="preserve"> </w:t>
      </w:r>
      <w:r>
        <w:t xml:space="preserve">represents one given census tract in the census tracts within the region).</w:t>
      </w:r>
      <w:r>
        <w:t xml:space="preserve"> </w:t>
      </w:r>
      <m:oMath>
        <m:r>
          <m:t>j</m:t>
        </m:r>
      </m:oMath>
      <w:r>
        <w:t xml:space="preserve"> </w:t>
      </w:r>
      <w:r>
        <w:t xml:space="preserve">represents the destination spatial unit in the region.</w:t>
      </w:r>
    </w:p>
    <w:p>
      <w:pPr>
        <w:pStyle w:val="BodyText"/>
      </w:pPr>
      <w:r>
        <w:t xml:space="preserve">The distance decay function</w:t>
      </w:r>
      <w:r>
        <w:t xml:space="preserve"> </w:t>
      </w:r>
      <m:oMath>
        <m:r>
          <m:t>f</m:t>
        </m:r>
        <m:d>
          <m:dPr>
            <m:begChr m:val="("/>
            <m:endChr m:val=")"/>
            <m:sepChr m:val=""/>
            <m:grow/>
          </m:dPr>
          <m:e>
            <m:sSub>
              <m:e>
                <m:r>
                  <m:t>c</m:t>
                </m:r>
              </m:e>
              <m:sub>
                <m:r>
                  <m:t>i</m:t>
                </m:r>
                <m:r>
                  <m:t>j</m:t>
                </m:r>
              </m:sub>
            </m:sSub>
          </m:e>
        </m:d>
      </m:oMath>
      <w:r>
        <w:t xml:space="preserve"> </w:t>
      </w:r>
      <w:r>
        <w:t xml:space="preserve">meters how much</w:t>
      </w:r>
      <w:r>
        <w:t xml:space="preserve"> </w:t>
      </w:r>
      <w:r>
        <w:rPr>
          <w:iCs/>
          <w:i/>
        </w:rPr>
        <w:t xml:space="preserve">“</w:t>
      </w:r>
      <w:r>
        <w:rPr>
          <w:iCs/>
          <w:i/>
        </w:rPr>
        <w:t xml:space="preserve">potential interaction</w:t>
      </w:r>
      <w:r>
        <w:rPr>
          <w:iCs/>
          <w:i/>
        </w:rPr>
        <w:t xml:space="preserve">”</w:t>
      </w:r>
      <w:r>
        <w:t xml:space="preserve"> </w:t>
      </w:r>
      <w:r>
        <w:t xml:space="preserve">a population at</w:t>
      </w:r>
      <w:r>
        <w:t xml:space="preserve"> </w:t>
      </w:r>
      <m:oMath>
        <m:r>
          <m:t>i</m:t>
        </m:r>
      </m:oMath>
      <w:r>
        <w:t xml:space="preserve"> </w:t>
      </w:r>
      <w:r>
        <w:t xml:space="preserve">can have with opportunities at all</w:t>
      </w:r>
      <w:r>
        <w:t xml:space="preserve"> </w:t>
      </w:r>
      <m:oMath>
        <m:r>
          <m:t>j</m:t>
        </m:r>
      </m:oMath>
      <w:r>
        <w:t xml:space="preserve">s. It can be considered a generalized travel cost</w:t>
      </w:r>
      <w:r>
        <w:t xml:space="preserve"> </w:t>
      </w:r>
      <w:r>
        <w:t xml:space="preserve">$c_{ij$</w:t>
      </w:r>
      <w:r>
        <w:t xml:space="preserve"> </w:t>
      </w:r>
      <w:r>
        <w:t xml:space="preserve">- be it distance, cost, or travel time. For this reason, distance-decay functions are often called</w:t>
      </w:r>
      <w:r>
        <w:t xml:space="preserve"> </w:t>
      </w:r>
      <w:r>
        <w:rPr>
          <w:iCs/>
          <w:i/>
        </w:rPr>
        <w:t xml:space="preserve">impedance</w:t>
      </w:r>
      <w:r>
        <w:t xml:space="preserve"> </w:t>
      </w:r>
      <w:r>
        <w:t xml:space="preserve">functions as they model the impedance of travel. Generally speaking, opportunities at</w:t>
      </w:r>
      <w:r>
        <w:t xml:space="preserve"> </w:t>
      </w:r>
      <m:oMath>
        <m:r>
          <m:t>j</m:t>
        </m:r>
      </m:oMath>
      <w:r>
        <w:t xml:space="preserve"> </w:t>
      </w:r>
      <w:r>
        <w:t xml:space="preserve">that are closer to a population at</w:t>
      </w:r>
      <w:r>
        <w:t xml:space="preserve"> </w:t>
      </w:r>
      <m:oMath>
        <m:r>
          <m:t>i</m:t>
        </m:r>
      </m:oMath>
      <w:r>
        <w:t xml:space="preserve"> </w:t>
      </w:r>
      <w:r>
        <w:t xml:space="preserve">are more likely to be interacted with than the same opportunities for population at a further</w:t>
      </w:r>
      <w:r>
        <w:t xml:space="preserve"> </w:t>
      </w:r>
      <m:oMath>
        <m:r>
          <m:t>i</m:t>
        </m:r>
      </m:oMath>
      <w:r>
        <w:t xml:space="preserve">. As such,</w:t>
      </w:r>
      <w:r>
        <w:t xml:space="preserve"> </w:t>
      </w:r>
      <m:oMath>
        <m:r>
          <m:t>f</m:t>
        </m:r>
        <m:d>
          <m:dPr>
            <m:begChr m:val="("/>
            <m:endChr m:val=")"/>
            <m:sepChr m:val=""/>
            <m:grow/>
          </m:dPr>
          <m:e>
            <m:sSub>
              <m:e>
                <m:r>
                  <m:t>c</m:t>
                </m:r>
              </m:e>
              <m:sub>
                <m:r>
                  <m:t>i</m:t>
                </m:r>
                <m:r>
                  <m:t>j</m:t>
                </m:r>
              </m:sub>
            </m:sSub>
          </m:e>
        </m:d>
      </m:oMath>
      <w:r>
        <w:t xml:space="preserve"> </w:t>
      </w:r>
      <w:r>
        <w:t xml:space="preserve">values for trips from</w:t>
      </w:r>
      <w:r>
        <w:t xml:space="preserve"> </w:t>
      </w:r>
      <m:oMath>
        <m:r>
          <m:t>i</m:t>
        </m:r>
      </m:oMath>
      <w:r>
        <w:t xml:space="preserve"> </w:t>
      </w:r>
      <w:r>
        <w:t xml:space="preserve">to those</w:t>
      </w:r>
      <w:r>
        <w:t xml:space="preserve"> </w:t>
      </w:r>
      <m:oMath>
        <m:r>
          <m:t>j</m:t>
        </m:r>
      </m:oMath>
      <w:r>
        <w:t xml:space="preserve">s are larger, so a larger values of the</w:t>
      </w:r>
      <w:r>
        <w:t xml:space="preserve"> </w:t>
      </w:r>
      <m:oMath>
        <m:sSub>
          <m:e>
            <m:r>
              <m:t>O</m:t>
            </m:r>
          </m:e>
          <m:sub>
            <m:r>
              <m:t>j</m:t>
            </m:r>
          </m:sub>
        </m:sSub>
      </m:oMath>
      <w:r>
        <w:t xml:space="preserve"> </w:t>
      </w:r>
      <w:r>
        <w:t xml:space="preserve">enter the summation. Conversely, it is highly unlikely that the population at</w:t>
      </w:r>
      <w:r>
        <w:t xml:space="preserve"> </w:t>
      </w:r>
      <m:oMath>
        <m:r>
          <m:t>i</m:t>
        </m:r>
      </m:oMath>
      <w:r>
        <w:t xml:space="preserve"> </w:t>
      </w:r>
      <w:r>
        <w:t xml:space="preserve">will interact with certain opportunities at</w:t>
      </w:r>
      <w:r>
        <w:t xml:space="preserve"> </w:t>
      </w:r>
      <m:oMath>
        <m:r>
          <m:t>j</m:t>
        </m:r>
      </m:oMath>
      <w:r>
        <w:t xml:space="preserve"> </w:t>
      </w:r>
      <w:r>
        <w:t xml:space="preserve">that are some</w:t>
      </w:r>
      <w:r>
        <w:t xml:space="preserve"> </w:t>
      </w:r>
      <w:r>
        <w:rPr>
          <w:iCs/>
          <w:i/>
        </w:rPr>
        <w:t xml:space="preserve">far</w:t>
      </w:r>
      <w:r>
        <w:t xml:space="preserve"> </w:t>
      </w:r>
      <w:r>
        <w:t xml:space="preserve">travel cost away. For those far trips,</w:t>
      </w:r>
      <w:r>
        <w:t xml:space="preserve"> </w:t>
      </w:r>
      <m:oMath>
        <m:r>
          <m:t>f</m:t>
        </m:r>
        <m:d>
          <m:dPr>
            <m:begChr m:val="("/>
            <m:endChr m:val=")"/>
            <m:sepChr m:val=""/>
            <m:grow/>
          </m:dPr>
          <m:e>
            <m:sSub>
              <m:e>
                <m:r>
                  <m:t>c</m:t>
                </m:r>
              </m:e>
              <m:sub>
                <m:r>
                  <m:t>i</m:t>
                </m:r>
                <m:r>
                  <m:t>j</m:t>
                </m:r>
              </m:sub>
            </m:sSub>
          </m:e>
        </m:d>
      </m:oMath>
      <w:r>
        <w:t xml:space="preserve"> </w:t>
      </w:r>
      <w:r>
        <w:t xml:space="preserve">is a value close to or equal to zero, so a negligible amount of</w:t>
      </w:r>
      <w:r>
        <w:t xml:space="preserve"> </w:t>
      </w:r>
      <m:oMath>
        <m:sSub>
          <m:e>
            <m:r>
              <m:t>O</m:t>
            </m:r>
          </m:e>
          <m:sub>
            <m:r>
              <m:t>j</m:t>
            </m:r>
          </m:sub>
        </m:sSub>
      </m:oMath>
      <w:r>
        <w:t xml:space="preserve"> </w:t>
      </w:r>
      <w:r>
        <w:t xml:space="preserve">enter the summation.</w:t>
      </w:r>
    </w:p>
    <w:p>
      <w:pPr>
        <w:pStyle w:val="BodyText"/>
      </w:pPr>
      <w:r>
        <w:t xml:space="preserve">In short: the impedance function</w:t>
      </w:r>
      <w:r>
        <w:t xml:space="preserve"> </w:t>
      </w:r>
      <m:oMath>
        <m:r>
          <m:t>f</m:t>
        </m:r>
        <m:d>
          <m:dPr>
            <m:begChr m:val="("/>
            <m:endChr m:val=")"/>
            <m:sepChr m:val=""/>
            <m:grow/>
          </m:dPr>
          <m:e>
            <m:sSub>
              <m:e>
                <m:r>
                  <m:t>c</m:t>
                </m:r>
              </m:e>
              <m:sub>
                <m:r>
                  <m:t>i</m:t>
                </m:r>
                <m:r>
                  <m:t>j</m:t>
                </m:r>
              </m:sub>
            </m:sSub>
          </m:e>
        </m:d>
      </m:oMath>
      <w:r>
        <w:t xml:space="preserve"> </w:t>
      </w:r>
      <w:r>
        <w:t xml:space="preserve">allows the accessibility analyst to define how travel impedance defines the relationship between where people are (population) and where they go/want to go (opportunities).</w:t>
      </w:r>
    </w:p>
    <w:p>
      <w:pPr>
        <w:pStyle w:val="BodyText"/>
      </w:pPr>
      <w:r>
        <w:t xml:space="preserve">From this perspective, the definition of the impedance function</w:t>
      </w:r>
      <w:r>
        <w:t xml:space="preserve"> </w:t>
      </w:r>
      <m:oMath>
        <m:r>
          <m:t>f</m:t>
        </m:r>
        <m:d>
          <m:dPr>
            <m:begChr m:val="("/>
            <m:endChr m:val=")"/>
            <m:sepChr m:val=""/>
            <m:grow/>
          </m:dPr>
          <m:e>
            <m:sSub>
              <m:e>
                <m:r>
                  <m:t>c</m:t>
                </m:r>
              </m:e>
              <m:sub>
                <m:r>
                  <m:t>i</m:t>
                </m:r>
                <m:r>
                  <m:t>j</m:t>
                </m:r>
              </m:sub>
            </m:sSub>
          </m:e>
        </m:d>
      </m:oMath>
      <w:r>
        <w:t xml:space="preserve"> </w:t>
      </w:r>
      <w:r>
        <w:t xml:space="preserve">is incredibly important. Let’s go over commonly defined impedance functions in accessibility research and their impact on opportunity-counting at specific travel costs.</w:t>
      </w:r>
    </w:p>
    <w:p>
      <w:pPr>
        <w:pStyle w:val="BodyText"/>
      </w:pPr>
      <w:r>
        <w:t xml:space="preserve">The first is shown in (</w:t>
      </w:r>
      <w:hyperlink w:anchor="eq-binary-access">
        <w:r>
          <w:rPr>
            <w:rStyle w:val="Hyperlink"/>
          </w:rPr>
          <w:t xml:space="preserve">Equation 2</w:t>
        </w:r>
      </w:hyperlink>
      <w:r>
        <w:t xml:space="preserve">), and is the foundation of the cumulative opportunity accessibility measure approach (this measure is discussed in the next post</w:t>
      </w:r>
      <w:r>
        <w:t xml:space="preserve"> </w:t>
      </w:r>
      <w:r>
        <w:rPr>
          <w:bCs/>
          <w:b/>
        </w:rPr>
        <w:t xml:space="preserve">LINK TO POST2</w:t>
      </w:r>
      <w:r>
        <w:t xml:space="preserve">). The impedance function</w:t>
      </w:r>
      <w:r>
        <w:t xml:space="preserve"> </w:t>
      </w:r>
      <m:oMath>
        <m:r>
          <m:t>f</m:t>
        </m:r>
        <m:d>
          <m:dPr>
            <m:begChr m:val="("/>
            <m:endChr m:val=")"/>
            <m:sepChr m:val=""/>
            <m:grow/>
          </m:dPr>
          <m:e>
            <m:sSub>
              <m:e>
                <m:r>
                  <m:t>c</m:t>
                </m:r>
              </m:e>
              <m:sub>
                <m:r>
                  <m:t>i</m:t>
                </m:r>
                <m:r>
                  <m:t>j</m:t>
                </m:r>
              </m:sub>
            </m:sSub>
          </m:e>
        </m:d>
      </m:oMath>
      <w:r>
        <w:t xml:space="preserve"> </w:t>
      </w:r>
      <w:r>
        <w:t xml:space="preserve">is binary, where the function is either</w:t>
      </w:r>
      <w:r>
        <w:t xml:space="preserve"> </w:t>
      </w:r>
      <w:r>
        <w:rPr>
          <w:iCs/>
          <w:i/>
        </w:rPr>
        <w:t xml:space="preserve">some value</w:t>
      </w:r>
      <w:r>
        <w:t xml:space="preserve"> </w:t>
      </w:r>
      <w:r>
        <w:t xml:space="preserve">or</w:t>
      </w:r>
      <w:r>
        <w:t xml:space="preserve"> </w:t>
      </w:r>
      <w:r>
        <w:rPr>
          <w:iCs/>
          <w:i/>
        </w:rPr>
        <w:t xml:space="preserve">some other value</w:t>
      </w:r>
      <w:r>
        <w:t xml:space="preserve">. For simplicity, 1 or 0 are often used. 1 is assigned if the travel cost from</w:t>
      </w:r>
      <w:r>
        <w:t xml:space="preserve"> </w:t>
      </w:r>
      <m:oMath>
        <m:r>
          <m:t>i</m:t>
        </m:r>
      </m:oMath>
      <w:r>
        <w:t xml:space="preserve"> </w:t>
      </w:r>
      <w:r>
        <w:t xml:space="preserve">to</w:t>
      </w:r>
      <w:r>
        <w:t xml:space="preserve"> </w:t>
      </w:r>
      <m:oMath>
        <m:r>
          <m:t>j</m:t>
        </m:r>
      </m:oMath>
      <w:r>
        <w:t xml:space="preserve"> </w:t>
      </w:r>
      <w:r>
        <w:t xml:space="preserve">is below the threshold</w:t>
      </w:r>
      <w:r>
        <w:t xml:space="preserve"> </w:t>
      </w:r>
      <m:oMath>
        <m:r>
          <m:t>T</m:t>
        </m:r>
      </m:oMath>
      <w:r>
        <w:t xml:space="preserve">. Conversely, it is 0 if the travel cost is above a certain threshold</w:t>
      </w:r>
      <w:r>
        <w:t xml:space="preserve"> </w:t>
      </w:r>
      <m:oMath>
        <m:r>
          <m:t>T</m:t>
        </m:r>
      </m:oMath>
      <w:r>
        <w:t xml:space="preserve">. Threshold</w:t>
      </w:r>
      <w:r>
        <w:t xml:space="preserve"> </w:t>
      </w:r>
      <m:oMath>
        <m:r>
          <m:t>T</m:t>
        </m:r>
      </m:oMath>
      <w:r>
        <w:t xml:space="preserve"> </w:t>
      </w:r>
      <w:r>
        <w:t xml:space="preserve">should be selected carefully to best fit the modelled population-to-opportunity context.</w:t>
      </w:r>
    </w:p>
    <w:p>
      <w:pPr>
        <w:pStyle w:val="BodyText"/>
      </w:pPr>
      <w:bookmarkStart w:id="21" w:name="eq-binary-access"/>
      <m:oMathPara>
        <m:oMathParaPr>
          <m:jc m:val="center"/>
        </m:oMathParaPr>
        <m:oMath>
          <m:r>
            <m:t>f</m:t>
          </m:r>
          <m:sSup>
            <m:e>
              <m:d>
                <m:dPr>
                  <m:begChr m:val="("/>
                  <m:endChr m:val=")"/>
                  <m:sepChr m:val=""/>
                  <m:grow/>
                </m:dPr>
                <m:e>
                  <m:sSub>
                    <m:e>
                      <m:r>
                        <m:t>c</m:t>
                      </m:r>
                    </m:e>
                    <m:sub>
                      <m:r>
                        <m:t>i</m:t>
                      </m:r>
                      <m:r>
                        <m:t>j</m:t>
                      </m:r>
                    </m:sub>
                  </m:sSub>
                </m:e>
              </m:d>
            </m:e>
            <m:sup>
              <m:r>
                <m:rPr>
                  <m:sty m:val="p"/>
                </m:rPr>
                <m:t>*</m:t>
              </m:r>
            </m:sup>
          </m:sSup>
          <m:r>
            <m:rPr>
              <m:sty m:val="p"/>
            </m:rPr>
            <m:t>=</m:t>
          </m:r>
          <m:d>
            <m:dPr>
              <m:begChr m:val="{"/>
              <m:endChr m:val=""/>
              <m:sepChr m:val=""/>
              <m:grow/>
            </m:dPr>
            <m:e>
              <m:m>
                <m:mPr>
                  <m:baseJc m:val="center"/>
                  <m:plcHide m:val="1"/>
                  <m:mcs>
                    <m:mc>
                      <m:mcPr>
                        <m:mcJc m:val="left"/>
                        <m:count m:val="1"/>
                      </m:mcPr>
                    </m:mc>
                    <m:mc>
                      <m:mcPr>
                        <m:mcJc m:val="left"/>
                        <m:count m:val="1"/>
                      </m:mcPr>
                    </m:mc>
                  </m:mcs>
                </m:mPr>
                <m:mr>
                  <m:e>
                    <m:r>
                      <m:rPr>
                        <m:nor/>
                        <m:sty m:val="p"/>
                      </m:rPr>
                      <m:t>1</m:t>
                    </m:r>
                    <m:r>
                      <m:t> </m:t>
                    </m:r>
                  </m:e>
                  <m:e>
                    <m:r>
                      <m:rPr>
                        <m:nor/>
                        <m:sty m:val="p"/>
                      </m:rPr>
                      <m:t>if </m:t>
                    </m:r>
                    <m:sSub>
                      <m:e>
                        <m:r>
                          <m:t>c</m:t>
                        </m:r>
                      </m:e>
                      <m:sub>
                        <m:r>
                          <m:t>i</m:t>
                        </m:r>
                        <m:r>
                          <m:t>j</m:t>
                        </m:r>
                      </m:sub>
                    </m:sSub>
                    <m:r>
                      <m:rPr>
                        <m:sty m:val="p"/>
                      </m:rPr>
                      <m:t>≤</m:t>
                    </m:r>
                    <m:r>
                      <m:rPr>
                        <m:nor/>
                        <m:sty m:val="p"/>
                      </m:rPr>
                      <m:t>T</m:t>
                    </m:r>
                  </m:e>
                </m:mr>
                <m:mr>
                  <m:e>
                    <m:r>
                      <m:rPr>
                        <m:nor/>
                        <m:sty m:val="p"/>
                      </m:rPr>
                      <m:t>0</m:t>
                    </m:r>
                  </m:e>
                  <m:e>
                    <m:r>
                      <m:rPr>
                        <m:nor/>
                        <m:sty m:val="p"/>
                      </m:rPr>
                      <m:t>otherwise</m:t>
                    </m:r>
                  </m:e>
                </m:mr>
              </m:m>
            </m:e>
          </m:d>
          <m:r>
            <m:t>  </m:t>
          </m:r>
          <m:d>
            <m:dPr>
              <m:begChr m:val="("/>
              <m:endChr m:val=")"/>
              <m:sepChr m:val=""/>
              <m:grow/>
            </m:dPr>
            <m:e>
              <m:r>
                <m:t>2</m:t>
              </m:r>
            </m:e>
          </m:d>
        </m:oMath>
      </m:oMathPara>
      <w:bookmarkEnd w:id="21"/>
    </w:p>
    <w:p>
      <w:pPr>
        <w:pStyle w:val="FirstParagraph"/>
      </w:pPr>
      <w:r>
        <w:t xml:space="preserve">Next, three more complex impedance</w:t>
      </w:r>
      <w:r>
        <w:t xml:space="preserve"> </w:t>
      </w:r>
      <m:oMath>
        <m:r>
          <m:t>f</m:t>
        </m:r>
        <m:d>
          <m:dPr>
            <m:begChr m:val="("/>
            <m:endChr m:val=")"/>
            <m:sepChr m:val=""/>
            <m:grow/>
          </m:dPr>
          <m:e>
            <m:sSub>
              <m:e>
                <m:r>
                  <m:t>c</m:t>
                </m:r>
              </m:e>
              <m:sub>
                <m:r>
                  <m:t>i</m:t>
                </m:r>
                <m:r>
                  <m:t>j</m:t>
                </m:r>
              </m:sub>
            </m:sSub>
          </m:e>
        </m:d>
      </m:oMath>
      <w:r>
        <w:t xml:space="preserve"> </w:t>
      </w:r>
      <w:r>
        <w:t xml:space="preserve">functions are shown: these functions are</w:t>
      </w:r>
      <w:r>
        <w:t xml:space="preserve"> </w:t>
      </w:r>
      <w:hyperlink r:id="rId22">
        <w:r>
          <w:rPr>
            <w:rStyle w:val="Hyperlink"/>
            <w:iCs/>
            <w:i/>
          </w:rPr>
          <w:t xml:space="preserve">probability density functions</w:t>
        </w:r>
      </w:hyperlink>
      <w:r>
        <w:t xml:space="preserve"> </w:t>
      </w:r>
      <w:r>
        <w:t xml:space="preserve">(PDF). In conceptualizing</w:t>
      </w:r>
      <w:r>
        <w:t xml:space="preserve"> </w:t>
      </w:r>
      <m:oMath>
        <m:r>
          <m:t>f</m:t>
        </m:r>
        <m:d>
          <m:dPr>
            <m:begChr m:val="("/>
            <m:endChr m:val=")"/>
            <m:sepChr m:val=""/>
            <m:grow/>
          </m:dPr>
          <m:e>
            <m:sSub>
              <m:e>
                <m:r>
                  <m:t>c</m:t>
                </m:r>
              </m:e>
              <m:sub>
                <m:r>
                  <m:t>i</m:t>
                </m:r>
                <m:r>
                  <m:t>j</m:t>
                </m:r>
              </m:sub>
            </m:sSub>
          </m:e>
        </m:d>
      </m:oMath>
      <w:r>
        <w:t xml:space="preserve"> </w:t>
      </w:r>
      <w:r>
        <w:t xml:space="preserve">as forms of PDF, the</w:t>
      </w:r>
      <w:r>
        <w:t xml:space="preserve"> </w:t>
      </w:r>
      <m:oMath>
        <m:r>
          <m:t>f</m:t>
        </m:r>
        <m:d>
          <m:dPr>
            <m:begChr m:val="("/>
            <m:endChr m:val=")"/>
            <m:sepChr m:val=""/>
            <m:grow/>
          </m:dPr>
          <m:e>
            <m:sSub>
              <m:e>
                <m:r>
                  <m:t>c</m:t>
                </m:r>
              </m:e>
              <m:sub>
                <m:r>
                  <m:t>i</m:t>
                </m:r>
              </m:sub>
            </m:sSub>
            <m:r>
              <m:t>j</m:t>
            </m:r>
          </m:e>
        </m:d>
      </m:oMath>
      <w:r>
        <w:t xml:space="preserve"> </w:t>
      </w:r>
      <w:r>
        <w:t xml:space="preserve">values (the probability density value along the y-axis) can be interpreted as the</w:t>
      </w:r>
      <w:r>
        <w:t xml:space="preserve"> </w:t>
      </w:r>
      <w:r>
        <w:rPr>
          <w:iCs/>
          <w:i/>
        </w:rPr>
        <w:t xml:space="preserve">relative liklihood</w:t>
      </w:r>
      <w:r>
        <w:t xml:space="preserve"> </w:t>
      </w:r>
      <w:r>
        <w:t xml:space="preserve">of a trip occurring for each value of</w:t>
      </w:r>
      <w:r>
        <w:t xml:space="preserve"> </w:t>
      </w:r>
      <m:oMath>
        <m:sSub>
          <m:e>
            <m:r>
              <m:t>c</m:t>
            </m:r>
          </m:e>
          <m:sub>
            <m:r>
              <m:t>i</m:t>
            </m:r>
          </m:sub>
        </m:sSub>
        <m:r>
          <m:t>j</m:t>
        </m:r>
      </m:oMath>
      <w:r>
        <w:t xml:space="preserve">. The probability of a trip between a certain range of</w:t>
      </w:r>
      <w:r>
        <w:t xml:space="preserve"> </w:t>
      </w:r>
      <m:oMath>
        <m:sSub>
          <m:e>
            <m:r>
              <m:t>c</m:t>
            </m:r>
          </m:e>
          <m:sub>
            <m:r>
              <m:t>i</m:t>
            </m:r>
          </m:sub>
        </m:sSub>
        <m:r>
          <m:t>j</m:t>
        </m:r>
      </m:oMath>
      <w:r>
        <w:t xml:space="preserve"> </w:t>
      </w:r>
      <w:r>
        <w:t xml:space="preserve">is the area under the curve (the area under a PDF always equals to 1, i.e., 100% probability that the trip between the minimum and maximum</w:t>
      </w:r>
      <w:r>
        <w:t xml:space="preserve"> </w:t>
      </w:r>
      <m:oMath>
        <m:sSub>
          <m:e>
            <m:r>
              <m:t>c</m:t>
            </m:r>
          </m:e>
          <m:sub>
            <m:r>
              <m:t>i</m:t>
            </m:r>
          </m:sub>
        </m:sSub>
        <m:r>
          <m:t>j</m:t>
        </m:r>
      </m:oMath>
      <w:r>
        <w:t xml:space="preserve"> </w:t>
      </w:r>
      <w:r>
        <w:t xml:space="preserve">will occur). Let’s go over three examples of commonly used theoretical PDFs in accessibility impedance functions.</w:t>
      </w:r>
    </w:p>
    <w:p>
      <w:pPr>
        <w:pStyle w:val="BodyText"/>
      </w:pPr>
      <w:r>
        <w:t xml:space="preserve">The first can be seen as a binary function (like shown in (</w:t>
      </w:r>
      <w:hyperlink w:anchor="eq-binary-access">
        <w:r>
          <w:rPr>
            <w:rStyle w:val="Hyperlink"/>
          </w:rPr>
          <w:t xml:space="preserve">Equation 2</w:t>
        </w:r>
      </w:hyperlink>
      <w:r>
        <w:t xml:space="preserve">)) as it can only equal one of two values. However, whatever two values are selected must ensure that the area under the curve for the range of</w:t>
      </w:r>
      <w:r>
        <w:t xml:space="preserve"> </w:t>
      </w:r>
      <m:oMath>
        <m:sSub>
          <m:e>
            <m:r>
              <m:t>c</m:t>
            </m:r>
          </m:e>
          <m:sub>
            <m:r>
              <m:t>i</m:t>
            </m:r>
          </m:sub>
        </m:sSub>
        <m:r>
          <m:t>j</m:t>
        </m:r>
      </m:oMath>
      <w:r>
        <w:t xml:space="preserve"> </w:t>
      </w:r>
      <w:r>
        <w:t xml:space="preserve">is kept at 1. In this way, the binary function is equal to the theoretical</w:t>
      </w:r>
      <w:r>
        <w:t xml:space="preserve"> </w:t>
      </w:r>
      <w:r>
        <w:rPr>
          <w:iCs/>
          <w:i/>
        </w:rPr>
        <w:t xml:space="preserve">uniform density function</w:t>
      </w:r>
      <w:r>
        <w:t xml:space="preserve"> </w:t>
      </w:r>
      <w:r>
        <w:t xml:space="preserve">shown in (</w:t>
      </w:r>
      <w:hyperlink w:anchor="eq-uniform-imped">
        <w:r>
          <w:rPr>
            <w:rStyle w:val="Hyperlink"/>
          </w:rPr>
          <w:t xml:space="preserve">Equation 3</w:t>
        </w:r>
      </w:hyperlink>
      <w:r>
        <w:t xml:space="preserve">). The parameters which the analyst chooses are</w:t>
      </w:r>
      <w:r>
        <w:t xml:space="preserve"> </w:t>
      </w:r>
      <m:oMath>
        <m:sSub>
          <m:e>
            <m:r>
              <m:t>T</m:t>
            </m:r>
          </m:e>
          <m:sub>
            <m:r>
              <m:t>m</m:t>
            </m:r>
            <m:r>
              <m:t>a</m:t>
            </m:r>
            <m:r>
              <m:t>x</m:t>
            </m:r>
          </m:sub>
        </m:sSub>
      </m:oMath>
      <w:r>
        <w:t xml:space="preserve"> </w:t>
      </w:r>
      <w:r>
        <w:t xml:space="preserve">and</w:t>
      </w:r>
      <w:r>
        <w:t xml:space="preserve"> </w:t>
      </w:r>
      <m:oMath>
        <m:sSub>
          <m:e>
            <m:r>
              <m:t>T</m:t>
            </m:r>
          </m:e>
          <m:sub>
            <m:r>
              <m:t>m</m:t>
            </m:r>
            <m:r>
              <m:t>i</m:t>
            </m:r>
            <m:r>
              <m:t>n</m:t>
            </m:r>
          </m:sub>
        </m:sSub>
      </m:oMath>
      <w:r>
        <w:t xml:space="preserve">: they equal the maximum and minimum travel cost (i.e., the range) it is assumed that a trip occurs. Outside of this range, the trip does not occur (the relative liklihood is assigned a zero).</w:t>
      </w:r>
    </w:p>
    <w:p>
      <w:pPr>
        <w:pStyle w:val="BodyText"/>
      </w:pPr>
      <w:bookmarkStart w:id="23" w:name="eq-uniform-imped"/>
      <m:oMathPara>
        <m:oMathParaPr>
          <m:jc m:val="center"/>
        </m:oMathParaPr>
        <m:oMath>
          <m:r>
            <m:t>f</m:t>
          </m:r>
          <m:sSup>
            <m:e>
              <m:d>
                <m:dPr>
                  <m:begChr m:val="("/>
                  <m:endChr m:val=")"/>
                  <m:sepChr m:val=""/>
                  <m:grow/>
                </m:dPr>
                <m:e>
                  <m:sSub>
                    <m:e>
                      <m:r>
                        <m:t>c</m:t>
                      </m:r>
                    </m:e>
                    <m:sub>
                      <m:r>
                        <m:t>i</m:t>
                      </m:r>
                      <m:r>
                        <m:t>j</m:t>
                      </m:r>
                    </m:sub>
                  </m:sSub>
                </m:e>
              </m:d>
            </m:e>
            <m:sup>
              <m:r>
                <m:rPr>
                  <m:sty m:val="p"/>
                </m:rPr>
                <m:t>*</m:t>
              </m:r>
            </m:sup>
          </m:sSup>
          <m:r>
            <m:rPr>
              <m:sty m:val="p"/>
            </m:rPr>
            <m:t>=</m:t>
          </m:r>
          <m:d>
            <m:dPr>
              <m:begChr m:val="{"/>
              <m:endChr m:val=""/>
              <m:sepChr m:val=""/>
              <m:grow/>
            </m:dPr>
            <m:e>
              <m:m>
                <m:mPr>
                  <m:baseJc m:val="center"/>
                  <m:plcHide m:val="1"/>
                  <m:mcs>
                    <m:mc>
                      <m:mcPr>
                        <m:mcJc m:val="left"/>
                        <m:count m:val="1"/>
                      </m:mcPr>
                    </m:mc>
                    <m:mc>
                      <m:mcPr>
                        <m:mcJc m:val="left"/>
                        <m:count m:val="1"/>
                      </m:mcPr>
                    </m:mc>
                  </m:mcs>
                </m:mPr>
                <m:mr>
                  <m:e>
                    <m:f>
                      <m:fPr>
                        <m:type m:val="bar"/>
                      </m:fPr>
                      <m:num>
                        <m:r>
                          <m:t>1</m:t>
                        </m:r>
                      </m:num>
                      <m:den>
                        <m:sSub>
                          <m:e>
                            <m:r>
                              <m:t>T</m:t>
                            </m:r>
                          </m:e>
                          <m:sub>
                            <m:r>
                              <m:t>m</m:t>
                            </m:r>
                            <m:r>
                              <m:t>a</m:t>
                            </m:r>
                            <m:r>
                              <m:t>x</m:t>
                            </m:r>
                          </m:sub>
                        </m:sSub>
                        <m:r>
                          <m:rPr>
                            <m:sty m:val="p"/>
                          </m:rPr>
                          <m:t>−</m:t>
                        </m:r>
                        <m:sSub>
                          <m:e>
                            <m:r>
                              <m:t>T</m:t>
                            </m:r>
                          </m:e>
                          <m:sub>
                            <m:r>
                              <m:t>m</m:t>
                            </m:r>
                            <m:r>
                              <m:t>i</m:t>
                            </m:r>
                            <m:r>
                              <m:t>n</m:t>
                            </m:r>
                          </m:sub>
                        </m:sSub>
                      </m:den>
                    </m:f>
                    <m:r>
                      <m:t> </m:t>
                    </m:r>
                  </m:e>
                  <m:e>
                    <m:r>
                      <m:rPr>
                        <m:nor/>
                        <m:sty m:val="p"/>
                      </m:rPr>
                      <m:t>for </m:t>
                    </m:r>
                    <m:sSub>
                      <m:e>
                        <m:r>
                          <m:t>T</m:t>
                        </m:r>
                      </m:e>
                      <m:sub>
                        <m:r>
                          <m:t>m</m:t>
                        </m:r>
                        <m:r>
                          <m:t>i</m:t>
                        </m:r>
                        <m:r>
                          <m:t>n</m:t>
                        </m:r>
                      </m:sub>
                    </m:sSub>
                    <m:r>
                      <m:rPr>
                        <m:sty m:val="p"/>
                      </m:rPr>
                      <m:t>≤</m:t>
                    </m:r>
                    <m:r>
                      <m:t> </m:t>
                    </m:r>
                    <m:sSub>
                      <m:e>
                        <m:r>
                          <m:t>c</m:t>
                        </m:r>
                      </m:e>
                      <m:sub>
                        <m:r>
                          <m:t>i</m:t>
                        </m:r>
                        <m:r>
                          <m:t>j</m:t>
                        </m:r>
                      </m:sub>
                    </m:sSub>
                    <m:r>
                      <m:rPr>
                        <m:sty m:val="p"/>
                      </m:rPr>
                      <m:t>≤</m:t>
                    </m:r>
                    <m:sSub>
                      <m:e>
                        <m:r>
                          <m:t>T</m:t>
                        </m:r>
                      </m:e>
                      <m:sub>
                        <m:r>
                          <m:t>m</m:t>
                        </m:r>
                        <m:r>
                          <m:t>a</m:t>
                        </m:r>
                        <m:r>
                          <m:t>x</m:t>
                        </m:r>
                      </m:sub>
                    </m:sSub>
                  </m:e>
                </m:mr>
                <m:mr>
                  <m:e>
                    <m:r>
                      <m:t> </m:t>
                    </m:r>
                    <m:r>
                      <m:t>0</m:t>
                    </m:r>
                  </m:e>
                  <m:e>
                    <m:r>
                      <m:rPr>
                        <m:nor/>
                        <m:sty m:val="p"/>
                      </m:rPr>
                      <m:t>for </m:t>
                    </m:r>
                    <m:sSub>
                      <m:e>
                        <m:r>
                          <m:t>c</m:t>
                        </m:r>
                      </m:e>
                      <m:sub>
                        <m:r>
                          <m:t>i</m:t>
                        </m:r>
                        <m:r>
                          <m:t>j</m:t>
                        </m:r>
                      </m:sub>
                    </m:sSub>
                    <m:r>
                      <m:rPr>
                        <m:sty m:val="p"/>
                      </m:rPr>
                      <m:t>&lt;</m:t>
                    </m:r>
                    <m:sSub>
                      <m:e>
                        <m:r>
                          <m:t>T</m:t>
                        </m:r>
                      </m:e>
                      <m:sub>
                        <m:r>
                          <m:t>m</m:t>
                        </m:r>
                        <m:r>
                          <m:t>i</m:t>
                        </m:r>
                        <m:r>
                          <m:t>n</m:t>
                        </m:r>
                      </m:sub>
                    </m:sSub>
                    <m:r>
                      <m:rPr>
                        <m:nor/>
                        <m:sty m:val="p"/>
                      </m:rPr>
                      <m:t> or </m:t>
                    </m:r>
                    <m:sSub>
                      <m:e>
                        <m:r>
                          <m:t>c</m:t>
                        </m:r>
                      </m:e>
                      <m:sub>
                        <m:r>
                          <m:t>i</m:t>
                        </m:r>
                        <m:r>
                          <m:t>j</m:t>
                        </m:r>
                      </m:sub>
                    </m:sSub>
                    <m:r>
                      <m:rPr>
                        <m:sty m:val="p"/>
                      </m:rPr>
                      <m:t>&gt;</m:t>
                    </m:r>
                    <m:sSub>
                      <m:e>
                        <m:r>
                          <m:t>T</m:t>
                        </m:r>
                      </m:e>
                      <m:sub>
                        <m:r>
                          <m:t>m</m:t>
                        </m:r>
                        <m:r>
                          <m:t>a</m:t>
                        </m:r>
                        <m:r>
                          <m:t>x</m:t>
                        </m:r>
                      </m:sub>
                    </m:sSub>
                  </m:e>
                </m:mr>
              </m:m>
            </m:e>
          </m:d>
          <m:r>
            <m:t>  </m:t>
          </m:r>
          <m:d>
            <m:dPr>
              <m:begChr m:val="("/>
              <m:endChr m:val=")"/>
              <m:sepChr m:val=""/>
              <m:grow/>
            </m:dPr>
            <m:e>
              <m:r>
                <m:t>3</m:t>
              </m:r>
            </m:e>
          </m:d>
        </m:oMath>
      </m:oMathPara>
      <w:bookmarkEnd w:id="23"/>
    </w:p>
    <w:p>
      <w:pPr>
        <w:pStyle w:val="FirstParagraph"/>
      </w:pPr>
      <w:r>
        <w:t xml:space="preserve">The next two functions are the exponential density function and the gamma density function (part of the exponential function facilities but utilizes the gamma function</w:t>
      </w:r>
      <w:r>
        <w:t xml:space="preserve"> </w:t>
      </w:r>
      <m:oMath>
        <m:r>
          <m:t>Γ</m:t>
        </m:r>
        <m:d>
          <m:dPr>
            <m:begChr m:val="("/>
            <m:endChr m:val=")"/>
            <m:sepChr m:val=""/>
            <m:grow/>
          </m:dPr>
          <m:e>
            <m:r>
              <m:t>α</m:t>
            </m:r>
          </m:e>
        </m:d>
      </m:oMath>
      <w:r>
        <w:t xml:space="preserve">). The general form of these two functions are shown in the following (</w:t>
      </w:r>
      <w:hyperlink w:anchor="eq-exp-imped">
        <w:r>
          <w:rPr>
            <w:rStyle w:val="Hyperlink"/>
          </w:rPr>
          <w:t xml:space="preserve">Equation 4</w:t>
        </w:r>
      </w:hyperlink>
      <w:r>
        <w:t xml:space="preserve">) and (</w:t>
      </w:r>
      <w:hyperlink w:anchor="eq-gamma-imped">
        <w:r>
          <w:rPr>
            <w:rStyle w:val="Hyperlink"/>
          </w:rPr>
          <w:t xml:space="preserve">Equation 5</w:t>
        </w:r>
      </w:hyperlink>
      <w:r>
        <w:t xml:space="preserve">). The analyst selects parameters for these functions represented by</w:t>
      </w:r>
      <w:r>
        <w:t xml:space="preserve"> </w:t>
      </w:r>
      <m:oMath>
        <m:r>
          <m:t>λ</m:t>
        </m:r>
      </m:oMath>
      <w:r>
        <w:t xml:space="preserve"> </w:t>
      </w:r>
      <w:r>
        <w:t xml:space="preserve">(exponential) and</w:t>
      </w:r>
      <w:r>
        <w:t xml:space="preserve"> </w:t>
      </w:r>
      <m:oMath>
        <m:r>
          <m:t>α</m:t>
        </m:r>
      </m:oMath>
      <w:r>
        <w:t xml:space="preserve"> </w:t>
      </w:r>
      <w:r>
        <w:t xml:space="preserve">and</w:t>
      </w:r>
      <w:r>
        <w:t xml:space="preserve"> </w:t>
      </w:r>
      <m:oMath>
        <m:r>
          <m:t>σ</m:t>
        </m:r>
      </m:oMath>
      <w:r>
        <w:t xml:space="preserve"> </w:t>
      </w:r>
      <w:r>
        <w:t xml:space="preserve">(gamma). Unlike the binary function (</w:t>
      </w:r>
      <w:hyperlink w:anchor="eq-binary-access">
        <w:r>
          <w:rPr>
            <w:rStyle w:val="Hyperlink"/>
          </w:rPr>
          <w:t xml:space="preserve">Equation 2</w:t>
        </w:r>
      </w:hyperlink>
      <w:r>
        <w:t xml:space="preserve">), these two functions can take a value of</w:t>
      </w:r>
      <w:r>
        <w:t xml:space="preserve"> </w:t>
      </w:r>
      <w:r>
        <w:rPr>
          <w:iCs/>
          <w:i/>
        </w:rPr>
        <w:t xml:space="preserve">relative liklihood</w:t>
      </w:r>
      <w:r>
        <w:t xml:space="preserve"> </w:t>
      </w:r>
      <w:r>
        <w:t xml:space="preserve">from 0 to approaching infinity for all positive</w:t>
      </w:r>
      <w:r>
        <w:t xml:space="preserve"> </w:t>
      </w:r>
      <m:oMath>
        <m:sSub>
          <m:e>
            <m:r>
              <m:t>c</m:t>
            </m:r>
          </m:e>
          <m:sub>
            <m:r>
              <m:t>i</m:t>
            </m:r>
            <m:r>
              <m:t>j</m:t>
            </m:r>
          </m:sub>
        </m:sSub>
      </m:oMath>
      <w:r>
        <w:t xml:space="preserve">, where the range depends on the analyst-defined parameters.</w:t>
      </w:r>
    </w:p>
    <w:p>
      <w:pPr>
        <w:pStyle w:val="BodyText"/>
      </w:pPr>
      <w:bookmarkStart w:id="24" w:name="eq-exp-imped"/>
      <m:oMathPara>
        <m:oMathParaPr>
          <m:jc m:val="center"/>
        </m:oMathParaPr>
        <m:oMath>
          <m:r>
            <m:t>f</m:t>
          </m:r>
          <m:sSup>
            <m:e>
              <m:d>
                <m:dPr>
                  <m:begChr m:val="("/>
                  <m:endChr m:val=")"/>
                  <m:sepChr m:val=""/>
                  <m:grow/>
                </m:dPr>
                <m:e>
                  <m:sSub>
                    <m:e>
                      <m:r>
                        <m:t>c</m:t>
                      </m:r>
                    </m:e>
                    <m:sub>
                      <m:r>
                        <m:t>i</m:t>
                      </m:r>
                      <m:r>
                        <m:t>j</m:t>
                      </m:r>
                    </m:sub>
                  </m:sSub>
                  <m:r>
                    <m:rPr>
                      <m:sty m:val="p"/>
                    </m:rPr>
                    <m:t>,</m:t>
                  </m:r>
                  <m:r>
                    <m:t>β</m:t>
                  </m:r>
                </m:e>
              </m:d>
            </m:e>
            <m:sup>
              <m:r>
                <m:rPr>
                  <m:sty m:val="p"/>
                </m:rPr>
                <m:t>*</m:t>
              </m:r>
              <m:r>
                <m:rPr>
                  <m:sty m:val="p"/>
                </m:rPr>
                <m:t>*</m:t>
              </m:r>
            </m:sup>
          </m:sSup>
          <m:r>
            <m:rPr>
              <m:sty m:val="p"/>
            </m:rPr>
            <m:t>=</m:t>
          </m:r>
          <m:d>
            <m:dPr>
              <m:begChr m:val="{"/>
              <m:endChr m:val=""/>
              <m:sepChr m:val=""/>
              <m:grow/>
            </m:dPr>
            <m:e>
              <m:m>
                <m:mPr>
                  <m:baseJc m:val="center"/>
                  <m:plcHide m:val="1"/>
                  <m:mcs>
                    <m:mc>
                      <m:mcPr>
                        <m:mcJc m:val="left"/>
                        <m:count m:val="1"/>
                      </m:mcPr>
                    </m:mc>
                    <m:mc>
                      <m:mcPr>
                        <m:mcJc m:val="left"/>
                        <m:count m:val="1"/>
                      </m:mcPr>
                    </m:mc>
                  </m:mcs>
                </m:mPr>
                <m:mr>
                  <m:e>
                    <m:r>
                      <m:t>λ</m:t>
                    </m:r>
                    <m:sSup>
                      <m:e>
                        <m:r>
                          <m:t>e</m:t>
                        </m:r>
                      </m:e>
                      <m:sup>
                        <m:r>
                          <m:rPr>
                            <m:sty m:val="p"/>
                          </m:rPr>
                          <m:t>−</m:t>
                        </m:r>
                        <m:r>
                          <m:t>λ</m:t>
                        </m:r>
                        <m:r>
                          <m:rPr>
                            <m:sty m:val="p"/>
                          </m:rPr>
                          <m:t>⋅</m:t>
                        </m:r>
                        <m:sSub>
                          <m:e>
                            <m:r>
                              <m:t>c</m:t>
                            </m:r>
                          </m:e>
                          <m:sub>
                            <m:r>
                              <m:t>i</m:t>
                            </m:r>
                            <m:r>
                              <m:t>j</m:t>
                            </m:r>
                          </m:sub>
                        </m:sSub>
                      </m:sup>
                    </m:sSup>
                  </m:e>
                  <m:e>
                    <m:r>
                      <m:rPr>
                        <m:nor/>
                        <m:sty m:val="p"/>
                      </m:rPr>
                      <m:t>for </m:t>
                    </m:r>
                    <m:sSub>
                      <m:e>
                        <m:r>
                          <m:t>c</m:t>
                        </m:r>
                      </m:e>
                      <m:sub>
                        <m:r>
                          <m:t>i</m:t>
                        </m:r>
                        <m:r>
                          <m:t>j</m:t>
                        </m:r>
                      </m:sub>
                    </m:sSub>
                    <m:r>
                      <m:rPr>
                        <m:sty m:val="p"/>
                      </m:rPr>
                      <m:t>≥</m:t>
                    </m:r>
                    <m:r>
                      <m:t>0</m:t>
                    </m:r>
                  </m:e>
                </m:mr>
                <m:mr>
                  <m:e>
                    <m:r>
                      <m:t> </m:t>
                    </m:r>
                    <m:r>
                      <m:t>0</m:t>
                    </m:r>
                  </m:e>
                  <m:e>
                    <m:r>
                      <m:rPr>
                        <m:nor/>
                        <m:sty m:val="p"/>
                      </m:rPr>
                      <m:t>for </m:t>
                    </m:r>
                    <m:sSub>
                      <m:e>
                        <m:r>
                          <m:t>c</m:t>
                        </m:r>
                      </m:e>
                      <m:sub>
                        <m:r>
                          <m:t>i</m:t>
                        </m:r>
                        <m:r>
                          <m:t>j</m:t>
                        </m:r>
                      </m:sub>
                    </m:sSub>
                    <m:r>
                      <m:rPr>
                        <m:sty m:val="p"/>
                      </m:rPr>
                      <m:t>&lt;</m:t>
                    </m:r>
                    <m:r>
                      <m:t>0</m:t>
                    </m:r>
                  </m:e>
                </m:mr>
              </m:m>
            </m:e>
          </m:d>
          <m:r>
            <m:t>  </m:t>
          </m:r>
          <m:d>
            <m:dPr>
              <m:begChr m:val="("/>
              <m:endChr m:val=")"/>
              <m:sepChr m:val=""/>
              <m:grow/>
            </m:dPr>
            <m:e>
              <m:r>
                <m:t>4</m:t>
              </m:r>
            </m:e>
          </m:d>
        </m:oMath>
      </m:oMathPara>
      <w:bookmarkEnd w:id="24"/>
    </w:p>
    <w:p>
      <w:pPr>
        <w:pStyle w:val="FirstParagraph"/>
      </w:pPr>
      <w:bookmarkStart w:id="25" w:name="eq-gamma-imped"/>
      <m:oMathPara>
        <m:oMathParaPr>
          <m:jc m:val="center"/>
        </m:oMathParaPr>
        <m:oMath>
          <m:r>
            <m:t>f</m:t>
          </m:r>
          <m:sSup>
            <m:e>
              <m:d>
                <m:dPr>
                  <m:begChr m:val="("/>
                  <m:endChr m:val=")"/>
                  <m:sepChr m:val=""/>
                  <m:grow/>
                </m:dPr>
                <m:e>
                  <m:sSub>
                    <m:e>
                      <m:r>
                        <m:t>c</m:t>
                      </m:r>
                    </m:e>
                    <m:sub>
                      <m:r>
                        <m:t>i</m:t>
                      </m:r>
                      <m:r>
                        <m:t>j</m:t>
                      </m:r>
                    </m:sub>
                  </m:sSub>
                </m:e>
              </m:d>
            </m:e>
            <m:sup>
              <m:r>
                <m:rPr>
                  <m:sty m:val="p"/>
                </m:rPr>
                <m:t>*</m:t>
              </m:r>
              <m:r>
                <m:rPr>
                  <m:sty m:val="p"/>
                </m:rPr>
                <m:t>*</m:t>
              </m:r>
              <m:r>
                <m:rPr>
                  <m:sty m:val="p"/>
                </m:rPr>
                <m:t>*</m:t>
              </m:r>
            </m:sup>
          </m:sSup>
          <m:r>
            <m:rPr>
              <m:sty m:val="p"/>
            </m:rPr>
            <m:t>=</m:t>
          </m:r>
          <m:d>
            <m:dPr>
              <m:begChr m:val="{"/>
              <m:endChr m:val=""/>
              <m:sepChr m:val=""/>
              <m:grow/>
            </m:dPr>
            <m:e>
              <m:m>
                <m:mPr>
                  <m:baseJc m:val="center"/>
                  <m:plcHide m:val="1"/>
                  <m:mcs>
                    <m:mc>
                      <m:mcPr>
                        <m:mcJc m:val="left"/>
                        <m:count m:val="1"/>
                      </m:mcPr>
                    </m:mc>
                    <m:mc>
                      <m:mcPr>
                        <m:mcJc m:val="left"/>
                        <m:count m:val="1"/>
                      </m:mcPr>
                    </m:mc>
                  </m:mcs>
                </m:mPr>
                <m:mr>
                  <m:e>
                    <m:f>
                      <m:fPr>
                        <m:type m:val="bar"/>
                      </m:fPr>
                      <m:num>
                        <m:r>
                          <m:t>1</m:t>
                        </m:r>
                      </m:num>
                      <m:den>
                        <m:sSup>
                          <m:e>
                            <m:r>
                              <m:t>σ</m:t>
                            </m:r>
                          </m:e>
                          <m:sup>
                            <m:r>
                              <m:t>α</m:t>
                            </m:r>
                          </m:sup>
                        </m:sSup>
                        <m:r>
                          <m:t>Γ</m:t>
                        </m:r>
                        <m:d>
                          <m:dPr>
                            <m:begChr m:val="("/>
                            <m:endChr m:val=")"/>
                            <m:sepChr m:val=""/>
                            <m:grow/>
                          </m:dPr>
                          <m:e>
                            <m:r>
                              <m:t>α</m:t>
                            </m:r>
                          </m:e>
                        </m:d>
                      </m:den>
                    </m:f>
                    <m:sSubSup>
                      <m:e>
                        <m:r>
                          <m:t>c</m:t>
                        </m:r>
                      </m:e>
                      <m:sub>
                        <m:r>
                          <m:t>i</m:t>
                        </m:r>
                        <m:r>
                          <m:t>j</m:t>
                        </m:r>
                      </m:sub>
                      <m:sup>
                        <m:r>
                          <m:t>α</m:t>
                        </m:r>
                        <m:r>
                          <m:rPr>
                            <m:sty m:val="p"/>
                          </m:rPr>
                          <m:t>−</m:t>
                        </m:r>
                        <m:r>
                          <m:t>1</m:t>
                        </m:r>
                      </m:sup>
                    </m:sSubSup>
                    <m:r>
                      <m:rPr>
                        <m:sty m:val="p"/>
                      </m:rPr>
                      <m:t>⋅</m:t>
                    </m:r>
                    <m:sSup>
                      <m:e>
                        <m:r>
                          <m:t>e</m:t>
                        </m:r>
                      </m:e>
                      <m:sup>
                        <m:r>
                          <m:rPr>
                            <m:sty m:val="p"/>
                          </m:rPr>
                          <m:t>−</m:t>
                        </m:r>
                        <m:sSub>
                          <m:e>
                            <m:r>
                              <m:t>c</m:t>
                            </m:r>
                          </m:e>
                          <m:sub>
                            <m:r>
                              <m:t>i</m:t>
                            </m:r>
                            <m:r>
                              <m:t>j</m:t>
                            </m:r>
                          </m:sub>
                        </m:sSub>
                        <m:r>
                          <m:rPr>
                            <m:sty m:val="p"/>
                          </m:rPr>
                          <m:t>/</m:t>
                        </m:r>
                        <m:r>
                          <m:t>σ</m:t>
                        </m:r>
                      </m:sup>
                    </m:sSup>
                  </m:e>
                  <m:e>
                    <m:r>
                      <m:rPr>
                        <m:nor/>
                        <m:sty m:val="p"/>
                      </m:rPr>
                      <m:t>for </m:t>
                    </m:r>
                    <m:r>
                      <m:t>0</m:t>
                    </m:r>
                    <m:r>
                      <m:rPr>
                        <m:sty m:val="p"/>
                      </m:rPr>
                      <m:t>≤</m:t>
                    </m:r>
                    <m:sSub>
                      <m:e>
                        <m:r>
                          <m:t>c</m:t>
                        </m:r>
                      </m:e>
                      <m:sub>
                        <m:r>
                          <m:t>i</m:t>
                        </m:r>
                        <m:r>
                          <m:t>j</m:t>
                        </m:r>
                      </m:sub>
                    </m:sSub>
                    <m:r>
                      <m:rPr>
                        <m:sty m:val="p"/>
                      </m:rPr>
                      <m:t>&lt;</m:t>
                    </m:r>
                    <m:r>
                      <m:rPr>
                        <m:sty m:val="p"/>
                      </m:rPr>
                      <m:t>∞</m:t>
                    </m:r>
                    <m:r>
                      <m:rPr>
                        <m:sty m:val="p"/>
                      </m:rPr>
                      <m:t>;</m:t>
                    </m:r>
                    <m:r>
                      <m:t>α</m:t>
                    </m:r>
                    <m:r>
                      <m:rPr>
                        <m:sty m:val="p"/>
                      </m:rPr>
                      <m:t>,</m:t>
                    </m:r>
                    <m:r>
                      <m:t>σ</m:t>
                    </m:r>
                    <m:r>
                      <m:rPr>
                        <m:sty m:val="p"/>
                      </m:rPr>
                      <m:t>&gt;</m:t>
                    </m:r>
                    <m:r>
                      <m:t>0</m:t>
                    </m:r>
                  </m:e>
                </m:mr>
                <m:mr>
                  <m:e>
                    <m:r>
                      <m:t> </m:t>
                    </m:r>
                    <m:r>
                      <m:t>0</m:t>
                    </m:r>
                  </m:e>
                  <m:e>
                    <m:r>
                      <m:rPr>
                        <m:nor/>
                        <m:sty m:val="p"/>
                      </m:rPr>
                      <m:t>otherwise </m:t>
                    </m:r>
                  </m:e>
                </m:mr>
              </m:m>
            </m:e>
          </m:d>
          <m:r>
            <m:t>  </m:t>
          </m:r>
          <m:d>
            <m:dPr>
              <m:begChr m:val="("/>
              <m:endChr m:val=")"/>
              <m:sepChr m:val=""/>
              <m:grow/>
            </m:dPr>
            <m:e>
              <m:r>
                <m:t>5</m:t>
              </m:r>
            </m:e>
          </m:d>
        </m:oMath>
      </m:oMathPara>
      <w:bookmarkEnd w:id="25"/>
    </w:p>
    <w:p>
      <w:pPr>
        <w:pStyle w:val="FirstParagraph"/>
      </w:pPr>
      <w:r>
        <w:t xml:space="preserve">In all three PDF, the analyst must define the parameters. A useful technique that can be used by analyst is to calibrate the parameters using empirically observed origin-to-destination (OD) travel data. This empirical data can be used to build a trip length distribution (TLD) and then best-fit parameters for the selected theoretical PDF can be identified.</w:t>
      </w:r>
    </w:p>
    <w:p>
      <w:pPr>
        <w:pStyle w:val="BodyText"/>
      </w:pPr>
      <w:r>
        <w:t xml:space="preserve">I will demonstrate this process as follows on a sample of empirical home-to-work flows from Hamilton Center from the R data package {TTS2016R}</w:t>
      </w:r>
      <w:r>
        <w:t xml:space="preserve"> </w:t>
      </w:r>
      <w:r>
        <w:t xml:space="preserve">(Soukhov and Paez 2022)</w:t>
      </w:r>
      <w:r>
        <w:t xml:space="preserve">. The flows are taken at the spatial unit of traffic analysis zones (TAZ). This package contains a subset of home-to-work flows the 2016 Transportation Tomorrow Survey (TTS) as well as calculated road-network car travel times (calculated using {r5r}</w:t>
      </w:r>
      <w:r>
        <w:t xml:space="preserve"> </w:t>
      </w:r>
      <w:r>
        <w:t xml:space="preserve">(Rafael H. M. Pereira et al. 2021)</w:t>
      </w:r>
      <w:r>
        <w:t xml:space="preserve">). {TTS2016R} is detailed in this publication</w:t>
      </w:r>
      <w:r>
        <w:t xml:space="preserve"> </w:t>
      </w:r>
      <w:r>
        <w:t xml:space="preserve">(Soukhov and Páez 2023)</w:t>
      </w:r>
      <w:r>
        <w:t xml:space="preserve"> </w:t>
      </w:r>
      <w:r>
        <w:t xml:space="preserve">and is freely available</w:t>
      </w:r>
      <w:r>
        <w:t xml:space="preserve"> </w:t>
      </w:r>
      <w:hyperlink r:id="rId26">
        <w:r>
          <w:rPr>
            <w:rStyle w:val="Hyperlink"/>
          </w:rPr>
          <w:t xml:space="preserve">here</w:t>
        </w:r>
      </w:hyperlink>
      <w:r>
        <w:t xml:space="preserve">. The TLD for this empirical data is shown in black in the plot below:</w:t>
      </w:r>
    </w:p>
    <w:tbl>
      <w:tblPr>
        <w:tblStyle w:val="Table"/>
        <w:tblW w:type="pct" w:w="5000"/>
        <w:tblLook w:firstRow="0" w:lastRow="0" w:firstColumn="0" w:lastColumn="0" w:noHBand="0" w:noVBand="0" w:val="0000"/>
      </w:tblPr>
      <w:tblGrid>
        <w:gridCol w:w="7920"/>
      </w:tblGrid>
      <w:tr>
        <w:tc>
          <w:tcPr/>
          <w:bookmarkStart w:id="30" w:name="fig-TLD-empirical"/>
          <w:p>
            <w:pPr>
              <w:pStyle w:val="Figure"/>
              <w:jc w:val="center"/>
            </w:pPr>
            <w:r>
              <w:drawing>
                <wp:inline>
                  <wp:extent cx="4620126" cy="3696101"/>
                  <wp:effectExtent b="0" l="0" r="0" t="0"/>
                  <wp:docPr descr="" title="" id="28" name="Picture"/>
                  <a:graphic>
                    <a:graphicData uri="http://schemas.openxmlformats.org/drawingml/2006/picture">
                      <pic:pic>
                        <pic:nvPicPr>
                          <pic:cNvPr descr="Impedance-explained_files/figure-docx/fig-TLD-empirical-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Trip length distribution of home-to-work trips (in estimated minutes by car) for Hamilton Center.</w:t>
            </w:r>
          </w:p>
          <w:bookmarkEnd w:id="30"/>
        </w:tc>
      </w:tr>
    </w:tbl>
    <w:p>
      <w:pPr>
        <w:pStyle w:val="BodyText"/>
      </w:pPr>
      <w:r>
        <w:t xml:space="preserve">The TLD is the</w:t>
      </w:r>
      <w:r>
        <w:t xml:space="preserve"> </w:t>
      </w:r>
      <w:r>
        <w:rPr>
          <w:iCs/>
          <w:i/>
        </w:rPr>
        <w:t xml:space="preserve">empirical</w:t>
      </w:r>
      <w:r>
        <w:t xml:space="preserve"> </w:t>
      </w:r>
      <w:r>
        <w:t xml:space="preserve">PDF of the travel costs associated with the OD trips. Like all PDFs, the y axis represents the relative liklihood of the value at the x axis of occurring. In our context,</w:t>
      </w:r>
      <w:r>
        <w:t xml:space="preserve"> </w:t>
      </w:r>
      <m:oMath>
        <m:r>
          <m:t>f</m:t>
        </m:r>
        <m:d>
          <m:dPr>
            <m:begChr m:val="("/>
            <m:endChr m:val=")"/>
            <m:sepChr m:val=""/>
            <m:grow/>
          </m:dPr>
          <m:e>
            <m:sSub>
              <m:e>
                <m:r>
                  <m:t>c</m:t>
                </m:r>
              </m:e>
              <m:sub>
                <m:r>
                  <m:t>i</m:t>
                </m:r>
                <m:r>
                  <m:t>j</m:t>
                </m:r>
              </m:sub>
            </m:sSub>
          </m:e>
        </m:d>
      </m:oMath>
      <w:r>
        <w:t xml:space="preserve"> </w:t>
      </w:r>
      <w:r>
        <w:t xml:space="preserve">is the relative liklihood of a OD trip of a given travel time (in minutes,</w:t>
      </w:r>
      <w:r>
        <w:t xml:space="preserve"> </w:t>
      </w:r>
      <m:oMath>
        <m:sSub>
          <m:e>
            <m:r>
              <m:t>c</m:t>
            </m:r>
          </m:e>
          <m:sub>
            <m:r>
              <m:t>i</m:t>
            </m:r>
            <m:r>
              <m:t>j</m:t>
            </m:r>
          </m:sub>
        </m:sSub>
      </m:oMath>
      <w:r>
        <w:t xml:space="preserve">) of occurring. It can be observed that a 10 minute trip is the most likely (4% relative liklihood in occurring). It can also be seen that around the 45 min mark, the relative liklihood levels off. In other words, the probability of a trip of length 0 to 45 mins occurring is 90%. Trips outside of this range thus make up the remaining probability.</w:t>
      </w:r>
    </w:p>
    <w:p>
      <w:pPr>
        <w:pStyle w:val="BodyText"/>
      </w:pPr>
      <w:r>
        <w:t xml:space="preserve">Now let’s fit the parameters of the uniform, exponential, and gamma functions (</w:t>
      </w:r>
      <w:hyperlink w:anchor="eq-uniform-imped">
        <w:r>
          <w:rPr>
            <w:rStyle w:val="Hyperlink"/>
          </w:rPr>
          <w:t xml:space="preserve">Equation 3</w:t>
        </w:r>
      </w:hyperlink>
      <w:r>
        <w:t xml:space="preserve">,</w:t>
      </w:r>
      <w:r>
        <w:t xml:space="preserve"> </w:t>
      </w:r>
      <w:hyperlink w:anchor="eq-exp-imped">
        <w:r>
          <w:rPr>
            <w:rStyle w:val="Hyperlink"/>
          </w:rPr>
          <w:t xml:space="preserve">Equation 4</w:t>
        </w:r>
      </w:hyperlink>
      <w:r>
        <w:t xml:space="preserve">,</w:t>
      </w:r>
      <w:r>
        <w:t xml:space="preserve"> </w:t>
      </w:r>
      <w:hyperlink w:anchor="eq-gamma-imped">
        <w:r>
          <w:rPr>
            <w:rStyle w:val="Hyperlink"/>
          </w:rPr>
          <w:t xml:space="preserve">Equation 5</w:t>
        </w:r>
      </w:hyperlink>
      <w:r>
        <w:t xml:space="preserve">) as closely to the TLD captured in</w:t>
      </w:r>
      <w:r>
        <w:t xml:space="preserve"> </w:t>
      </w:r>
      <w:hyperlink w:anchor="fig-TLD-empirical">
        <w:r>
          <w:rPr>
            <w:rStyle w:val="Hyperlink"/>
          </w:rPr>
          <w:t xml:space="preserve">Figure 1</w:t>
        </w:r>
      </w:hyperlink>
      <w:r>
        <w:t xml:space="preserve"> </w:t>
      </w:r>
      <w:r>
        <w:t xml:space="preserve">above. The R package {fitdistrplus} is used to generate parameters that best-fit the TLD: the moments matching estimation (MME) fitting-method and the Nelder-Mead direct optimization algorithms are used</w:t>
      </w:r>
      <w:r>
        <w:t xml:space="preserve"> </w:t>
      </w:r>
      <w:r>
        <w:t xml:space="preserve">(Delignette-Muller and Dutang 2015)</w:t>
      </w:r>
      <w:r>
        <w:t xml:space="preserve">. The default values for all three functions are summarized as follows:</w:t>
      </w:r>
    </w:p>
    <w:p>
      <w:pPr>
        <w:numPr>
          <w:ilvl w:val="0"/>
          <w:numId w:val="1001"/>
        </w:numPr>
      </w:pPr>
      <w:r>
        <w:t xml:space="preserve">Binary function (</w:t>
      </w:r>
      <m:oMath>
        <m:r>
          <m:t>f</m:t>
        </m:r>
        <m:sSup>
          <m:e>
            <m:d>
              <m:dPr>
                <m:begChr m:val="("/>
                <m:endChr m:val=")"/>
                <m:sepChr m:val=""/>
                <m:grow/>
              </m:dPr>
              <m:e>
                <m:sSub>
                  <m:e>
                    <m:r>
                      <m:t>c</m:t>
                    </m:r>
                  </m:e>
                  <m:sub>
                    <m:r>
                      <m:t>i</m:t>
                    </m:r>
                    <m:r>
                      <m:t>j</m:t>
                    </m:r>
                  </m:sub>
                </m:sSub>
              </m:e>
            </m:d>
          </m:e>
          <m:sup>
            <m:r>
              <m:rPr>
                <m:sty m:val="p"/>
              </m:rPr>
              <m:t>*</m:t>
            </m:r>
          </m:sup>
        </m:sSup>
      </m:oMath>
      <w:r>
        <w:t xml:space="preserve"> </w:t>
      </w:r>
      <w:r>
        <w:t xml:space="preserve">- red):</w:t>
      </w:r>
      <w:r>
        <w:t xml:space="preserve"> </w:t>
      </w:r>
      <m:oMath>
        <m:sSub>
          <m:e>
            <m:r>
              <m:t>T</m:t>
            </m:r>
          </m:e>
          <m:sub>
            <m:r>
              <m:t>m</m:t>
            </m:r>
            <m:r>
              <m:t>i</m:t>
            </m:r>
            <m:r>
              <m:t>n</m:t>
            </m:r>
          </m:sub>
        </m:sSub>
      </m:oMath>
      <w:r>
        <w:t xml:space="preserve"> </w:t>
      </w:r>
      <w:r>
        <w:t xml:space="preserve">and</w:t>
      </w:r>
      <w:r>
        <w:t xml:space="preserve"> </w:t>
      </w:r>
      <m:oMath>
        <m:sSub>
          <m:e>
            <m:r>
              <m:t>T</m:t>
            </m:r>
          </m:e>
          <m:sub>
            <m:r>
              <m:t>m</m:t>
            </m:r>
            <m:r>
              <m:t>a</m:t>
            </m:r>
            <m:r>
              <m:t>x</m:t>
            </m:r>
          </m:sub>
        </m:sSub>
      </m:oMath>
      <w:r>
        <w:t xml:space="preserve"> </w:t>
      </w:r>
      <w:r>
        <w:t xml:space="preserve">is 0 and 45 mins, respectively.</w:t>
      </w:r>
    </w:p>
    <w:p>
      <w:pPr>
        <w:numPr>
          <w:ilvl w:val="0"/>
          <w:numId w:val="1001"/>
        </w:numPr>
      </w:pPr>
      <w:r>
        <w:t xml:space="preserve">Exponential function (</w:t>
      </w:r>
      <m:oMath>
        <m:r>
          <m:t>f</m:t>
        </m:r>
        <m:sSup>
          <m:e>
            <m:d>
              <m:dPr>
                <m:begChr m:val="("/>
                <m:endChr m:val=")"/>
                <m:sepChr m:val=""/>
                <m:grow/>
              </m:dPr>
              <m:e>
                <m:sSub>
                  <m:e>
                    <m:r>
                      <m:t>c</m:t>
                    </m:r>
                  </m:e>
                  <m:sub>
                    <m:r>
                      <m:t>i</m:t>
                    </m:r>
                    <m:r>
                      <m:t>j</m:t>
                    </m:r>
                  </m:sub>
                </m:sSub>
              </m:e>
            </m:d>
          </m:e>
          <m:sup>
            <m:r>
              <m:rPr>
                <m:sty m:val="p"/>
              </m:rPr>
              <m:t>*</m:t>
            </m:r>
            <m:r>
              <m:rPr>
                <m:sty m:val="p"/>
              </m:rPr>
              <m:t>*</m:t>
            </m:r>
          </m:sup>
        </m:sSup>
      </m:oMath>
      <w:r>
        <w:t xml:space="preserve"> </w:t>
      </w:r>
      <w:r>
        <w:t xml:space="preserve">- green)*:</w:t>
      </w:r>
      <w:r>
        <w:t xml:space="preserve"> </w:t>
      </w:r>
      <m:oMath>
        <m:r>
          <m:t>β</m:t>
        </m:r>
      </m:oMath>
      <w:r>
        <w:t xml:space="preserve"> </w:t>
      </w:r>
      <w:r>
        <w:t xml:space="preserve">(rate) is 0.05</w:t>
      </w:r>
    </w:p>
    <w:p>
      <w:pPr>
        <w:numPr>
          <w:ilvl w:val="0"/>
          <w:numId w:val="1001"/>
        </w:numPr>
      </w:pPr>
      <w:r>
        <w:t xml:space="preserve">Gamma function (</w:t>
      </w:r>
      <m:oMath>
        <m:r>
          <m:t>f</m:t>
        </m:r>
        <m:sSup>
          <m:e>
            <m:d>
              <m:dPr>
                <m:begChr m:val="("/>
                <m:endChr m:val=")"/>
                <m:sepChr m:val=""/>
                <m:grow/>
              </m:dPr>
              <m:e>
                <m:sSub>
                  <m:e>
                    <m:r>
                      <m:t>c</m:t>
                    </m:r>
                  </m:e>
                  <m:sub>
                    <m:r>
                      <m:t>i</m:t>
                    </m:r>
                    <m:r>
                      <m:t>j</m:t>
                    </m:r>
                  </m:sub>
                </m:sSub>
              </m:e>
            </m:d>
          </m:e>
          <m:sup>
            <m:r>
              <m:rPr>
                <m:sty m:val="p"/>
              </m:rPr>
              <m:t>*</m:t>
            </m:r>
            <m:r>
              <m:rPr>
                <m:sty m:val="p"/>
              </m:rPr>
              <m:t>*</m:t>
            </m:r>
            <m:r>
              <m:rPr>
                <m:sty m:val="p"/>
              </m:rPr>
              <m:t>*</m:t>
            </m:r>
          </m:sup>
        </m:sSup>
      </m:oMath>
      <w:r>
        <w:t xml:space="preserve"> </w:t>
      </w:r>
      <w:r>
        <w:t xml:space="preserve">- blue)*:</w:t>
      </w:r>
      <w:r>
        <w:t xml:space="preserve"> </w:t>
      </w:r>
      <m:oMath>
        <m:r>
          <m:t>α</m:t>
        </m:r>
      </m:oMath>
      <w:r>
        <w:t xml:space="preserve"> </w:t>
      </w:r>
      <w:r>
        <w:t xml:space="preserve">(shape) is 2 and</w:t>
      </w:r>
      <w:r>
        <w:t xml:space="preserve"> </w:t>
      </w:r>
      <m:oMath>
        <m:r>
          <m:t>β</m:t>
        </m:r>
      </m:oMath>
      <w:r>
        <w:t xml:space="preserve"> </w:t>
      </w:r>
      <w:r>
        <w:t xml:space="preserve">(rate) is 0.09</w:t>
      </w:r>
    </w:p>
    <w:tbl>
      <w:tblPr>
        <w:tblStyle w:val="Table"/>
        <w:tblW w:type="pct" w:w="5000"/>
        <w:tblLook w:firstRow="0" w:lastRow="0" w:firstColumn="0" w:lastColumn="0" w:noHBand="0" w:noVBand="0" w:val="0000"/>
      </w:tblPr>
      <w:tblGrid>
        <w:gridCol w:w="7920"/>
      </w:tblGrid>
      <w:tr>
        <w:tc>
          <w:tcPr/>
          <w:bookmarkStart w:id="34" w:name="fig-TLD-all"/>
          <w:p>
            <w:pPr>
              <w:pStyle w:val="Figure"/>
              <w:jc w:val="center"/>
            </w:pPr>
            <w:r>
              <w:drawing>
                <wp:inline>
                  <wp:extent cx="4620126" cy="3696101"/>
                  <wp:effectExtent b="0" l="0" r="0" t="0"/>
                  <wp:docPr descr="" title="" id="32" name="Picture"/>
                  <a:graphic>
                    <a:graphicData uri="http://schemas.openxmlformats.org/drawingml/2006/picture">
                      <pic:pic>
                        <pic:nvPicPr>
                          <pic:cNvPr descr="Impedance-explained_files/figure-docx/fig-TLD-all-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Trip length distribution (empirical) with fitted theoretical functions of home-to-work trips (in estimated minutes by car) for Hamilton Center.</w:t>
            </w:r>
          </w:p>
          <w:bookmarkEnd w:id="34"/>
        </w:tc>
      </w:tr>
    </w:tbl>
    <w:p>
      <w:pPr>
        <w:pStyle w:val="BodyText"/>
      </w:pPr>
      <w:r>
        <w:t xml:space="preserve">Functions in</w:t>
      </w:r>
      <w:r>
        <w:t xml:space="preserve"> </w:t>
      </w:r>
      <w:hyperlink w:anchor="fig-TLD-all">
        <w:r>
          <w:rPr>
            <w:rStyle w:val="Hyperlink"/>
          </w:rPr>
          <w:t xml:space="preserve">Figure 2</w:t>
        </w:r>
      </w:hyperlink>
      <w:r>
        <w:t xml:space="preserve"> </w:t>
      </w:r>
      <w:r>
        <w:t xml:space="preserve">can be interpreted in the following way: the higher the</w:t>
      </w:r>
      <w:r>
        <w:t xml:space="preserve"> </w:t>
      </w:r>
      <m:oMath>
        <m:r>
          <m:t>f</m:t>
        </m:r>
        <m:d>
          <m:dPr>
            <m:begChr m:val="("/>
            <m:endChr m:val=")"/>
            <m:sepChr m:val=""/>
            <m:grow/>
          </m:dPr>
          <m:e>
            <m:sSub>
              <m:e>
                <m:r>
                  <m:t>c</m:t>
                </m:r>
              </m:e>
              <m:sub>
                <m:r>
                  <m:t>i</m:t>
                </m:r>
                <m:r>
                  <m:t>j</m:t>
                </m:r>
              </m:sub>
            </m:sSub>
          </m:e>
        </m:d>
      </m:oMath>
      <w:r>
        <w:t xml:space="preserve">, the more opportunities are available at destination</w:t>
      </w:r>
      <w:r>
        <w:t xml:space="preserve"> </w:t>
      </w:r>
      <m:oMath>
        <m:r>
          <m:t>j</m:t>
        </m:r>
      </m:oMath>
      <w:r>
        <w:t xml:space="preserve"> </w:t>
      </w:r>
      <w:r>
        <w:t xml:space="preserve">can be interacted with. Using {fitdistrplus}, the parameters in all theoretical functions were selected through an optimization algorithm that minimizes the differences between all possible parameter range(s) and the empirical function for each theoretical function.</w:t>
      </w:r>
    </w:p>
    <w:p>
      <w:pPr>
        <w:pStyle w:val="BodyText"/>
      </w:pPr>
      <w:r>
        <w:t xml:space="preserve">The uniform impedance function (red), when implemented into an accessibility calculation, would assume that the population is indifferent to changes in travel cost. The population at an origin is assumed to either totally interact with an opportunity (if it’s a trip between 0 to 45 minutes - the</w:t>
      </w:r>
      <w:r>
        <w:t xml:space="preserve"> </w:t>
      </w:r>
      <m:oMath>
        <m:r>
          <m:t>T</m:t>
        </m:r>
      </m:oMath>
      <w:r>
        <w:t xml:space="preserve"> </w:t>
      </w:r>
      <w:r>
        <w:t xml:space="preserve">thresholds) or not interact at all.</w:t>
      </w:r>
    </w:p>
    <w:p>
      <w:pPr>
        <w:pStyle w:val="BodyText"/>
      </w:pPr>
      <w:r>
        <w:t xml:space="preserve">If the above exponential or gamma function was implemented in an accessibility calculation, then the analyst is assuming the population is much more sensitive to changes in travel cost. However, the exponential and gamma functions are quite a different shape so they depict a different response to the relative liklihood of traveling given a travel cost</w:t>
      </w:r>
      <w:r>
        <w:t xml:space="preserve"> </w:t>
      </w:r>
      <m:oMath>
        <m:sSub>
          <m:e>
            <m:r>
              <m:t>c</m:t>
            </m:r>
          </m:e>
          <m:sub>
            <m:r>
              <m:t>i</m:t>
            </m:r>
            <m:r>
              <m:t>j</m:t>
            </m:r>
          </m:sub>
        </m:sSub>
      </m:oMath>
      <w:r>
        <w:t xml:space="preserve">.</w:t>
      </w:r>
    </w:p>
    <w:p>
      <w:pPr>
        <w:pStyle w:val="BodyText"/>
      </w:pPr>
      <w:r>
        <w:t xml:space="preserve">The exponential function (green) is intuitive to understand: the shorter the travel cost</w:t>
      </w:r>
      <w:r>
        <w:t xml:space="preserve"> </w:t>
      </w:r>
      <m:oMath>
        <m:sSub>
          <m:e>
            <m:r>
              <m:t>c</m:t>
            </m:r>
          </m:e>
          <m:sub>
            <m:r>
              <m:t>i</m:t>
            </m:r>
            <m:r>
              <m:t>j</m:t>
            </m:r>
          </m:sub>
        </m:sSub>
      </m:oMath>
      <w:r>
        <w:t xml:space="preserve">, the higher the</w:t>
      </w:r>
      <w:r>
        <w:t xml:space="preserve"> </w:t>
      </w:r>
      <m:oMath>
        <m:r>
          <m:t>f</m:t>
        </m:r>
        <m:d>
          <m:dPr>
            <m:begChr m:val="("/>
            <m:endChr m:val=")"/>
            <m:sepChr m:val=""/>
            <m:grow/>
          </m:dPr>
          <m:e>
            <m:sSub>
              <m:e>
                <m:r>
                  <m:t>c</m:t>
                </m:r>
              </m:e>
              <m:sub>
                <m:r>
                  <m:t>i</m:t>
                </m:r>
                <m:r>
                  <m:t>j</m:t>
                </m:r>
              </m:sub>
            </m:sSub>
          </m:e>
        </m:d>
      </m:oMath>
      <w:r>
        <w:t xml:space="preserve"> </w:t>
      </w:r>
      <w:r>
        <w:t xml:space="preserve">value. However, when compared to the empirical TLD (black) curve, we can see that the observed travel behaviour does not closely match this curve. Trip lengths that are 10 mins in length have the highest relative liklihood and trips that are longer and shorter than this length occur less often and are assigned decreasing</w:t>
      </w:r>
      <w:r>
        <w:t xml:space="preserve"> </w:t>
      </w:r>
      <m:oMath>
        <m:r>
          <m:t>f</m:t>
        </m:r>
        <m:d>
          <m:dPr>
            <m:begChr m:val="("/>
            <m:endChr m:val=")"/>
            <m:sepChr m:val=""/>
            <m:grow/>
          </m:dPr>
          <m:e>
            <m:sSub>
              <m:e>
                <m:r>
                  <m:t>c</m:t>
                </m:r>
              </m:e>
              <m:sub>
                <m:r>
                  <m:t>i</m:t>
                </m:r>
                <m:r>
                  <m:t>j</m:t>
                </m:r>
              </m:sub>
            </m:sSub>
          </m:e>
        </m:d>
      </m:oMath>
      <w:r>
        <w:t xml:space="preserve"> </w:t>
      </w:r>
      <w:r>
        <w:t xml:space="preserve">values. For these reasons, the gamma function (blue) provides a fit that is closest to the empirical curve at the cost of a more complex mathetmatical formulation (see</w:t>
      </w:r>
      <w:r>
        <w:t xml:space="preserve"> </w:t>
      </w:r>
      <w:hyperlink w:anchor="eq-gamma-imped">
        <w:r>
          <w:rPr>
            <w:rStyle w:val="Hyperlink"/>
          </w:rPr>
          <w:t xml:space="preserve">Equation 5</w:t>
        </w:r>
      </w:hyperlink>
      <w:r>
        <w:t xml:space="preserve">).</w:t>
      </w:r>
    </w:p>
    <w:p>
      <w:pPr>
        <w:pStyle w:val="BodyText"/>
      </w:pPr>
      <w:r>
        <w:t xml:space="preserve">The impedance function reflects significant assumptions about travel behaviour. The selection of the type of function and associated parameters reflects how much impedance the modelled population faces reaching opportunities and hence their potential interaction. How the impedance function is used to explain accessibility functions will be discussed in next post</w:t>
      </w:r>
      <w:r>
        <w:t xml:space="preserve"> </w:t>
      </w:r>
      <w:r>
        <w:rPr>
          <w:bCs/>
          <w:b/>
        </w:rPr>
        <w:t xml:space="preserve">LINK TO POST2</w:t>
      </w:r>
      <w:r>
        <w:t xml:space="preserve">. Feel free to explore the parameters interactively for the uniform, exponential and gamma functions</w:t>
      </w:r>
      <w:r>
        <w:t xml:space="preserve"> </w:t>
      </w:r>
      <w:hyperlink r:id="rId35">
        <w:r>
          <w:rPr>
            <w:rStyle w:val="Hyperlink"/>
          </w:rPr>
          <w:t xml:space="preserve">here</w:t>
        </w:r>
      </w:hyperlink>
      <w:r>
        <w:t xml:space="preserve">.</w:t>
      </w:r>
    </w:p>
    <w:p>
      <w:pPr>
        <w:pStyle w:val="BodyText"/>
      </w:pPr>
      <w:r>
        <w:rPr>
          <w:iCs/>
          <w:i/>
        </w:rPr>
        <w:t xml:space="preserve">The TLD used in this post is a subset of data from {TTS2016R}, the goodness-of-fit criteria and diagnostics from {fitdistrplus} are used for model parameter selection, plots are generated using {ggplot2}, and spatial objects are manipulated using {sf}, along with base {R} functions. All the code and text in this post (including the interactive plot) is available in this GitHub repository</w:t>
      </w:r>
      <w:r>
        <w:rPr>
          <w:iCs/>
          <w:i/>
        </w:rPr>
        <w:t xml:space="preserve"> </w:t>
      </w:r>
      <w:hyperlink r:id="rId36">
        <w:r>
          <w:rPr>
            <w:rStyle w:val="Hyperlink"/>
            <w:iCs/>
            <w:i/>
          </w:rPr>
          <w:t xml:space="preserve">here</w:t>
        </w:r>
      </w:hyperlink>
      <w:r>
        <w:rPr>
          <w:iCs/>
          <w:i/>
        </w:rPr>
        <w:t xml:space="preserve">.</w:t>
      </w:r>
    </w:p>
    <w:bookmarkEnd w:id="37"/>
    <w:bookmarkStart w:id="56" w:name="references"/>
    <w:p>
      <w:pPr>
        <w:pStyle w:val="Heading2"/>
      </w:pPr>
      <w:r>
        <w:t xml:space="preserve">References</w:t>
      </w:r>
    </w:p>
    <w:bookmarkStart w:id="55" w:name="refs"/>
    <w:bookmarkStart w:id="39" w:name="ref-Muller2016"/>
    <w:p>
      <w:pPr>
        <w:pStyle w:val="Bibliography"/>
      </w:pPr>
      <w:r>
        <w:t xml:space="preserve">Delignette-Muller, Marie Laure, and Christophe Dutang. 2015.</w:t>
      </w:r>
      <w:r>
        <w:t xml:space="preserve"> </w:t>
      </w:r>
      <w:r>
        <w:t xml:space="preserve">“</w:t>
      </w:r>
      <w:r>
        <w:t xml:space="preserve">fitdistrplus</w:t>
      </w:r>
      <w:r>
        <w:t xml:space="preserve">: An</w:t>
      </w:r>
      <w:r>
        <w:t xml:space="preserve"> </w:t>
      </w:r>
      <w:r>
        <w:t xml:space="preserve">R</w:t>
      </w:r>
      <w:r>
        <w:t xml:space="preserve"> </w:t>
      </w:r>
      <w:r>
        <w:t xml:space="preserve">Package for Fitting Distributions.”</w:t>
      </w:r>
      <w:r>
        <w:t xml:space="preserve"> </w:t>
      </w:r>
      <w:r>
        <w:rPr>
          <w:iCs/>
          <w:i/>
        </w:rPr>
        <w:t xml:space="preserve">Journal of Statistical Software</w:t>
      </w:r>
      <w:r>
        <w:t xml:space="preserve"> </w:t>
      </w:r>
      <w:r>
        <w:t xml:space="preserve">64 (4): 1–34.</w:t>
      </w:r>
      <w:r>
        <w:t xml:space="preserve"> </w:t>
      </w:r>
      <w:hyperlink r:id="rId38">
        <w:r>
          <w:rPr>
            <w:rStyle w:val="Hyperlink"/>
          </w:rPr>
          <w:t xml:space="preserve">https://doi.org/10.18637/jss.v064.i04</w:t>
        </w:r>
      </w:hyperlink>
      <w:r>
        <w:t xml:space="preserve">.</w:t>
      </w:r>
    </w:p>
    <w:bookmarkEnd w:id="39"/>
    <w:bookmarkStart w:id="41" w:name="ref-geurs2004"/>
    <w:p>
      <w:pPr>
        <w:pStyle w:val="Bibliography"/>
      </w:pPr>
      <w:r>
        <w:t xml:space="preserve">Geurs, Karst T., and Bert van Wee. 2004.</w:t>
      </w:r>
      <w:r>
        <w:t xml:space="preserve"> </w:t>
      </w:r>
      <w:r>
        <w:t xml:space="preserve">“Accessibility Evaluation of Land-Use and Transport Strategies: Review and Research Directions.”</w:t>
      </w:r>
      <w:r>
        <w:t xml:space="preserve"> </w:t>
      </w:r>
      <w:r>
        <w:rPr>
          <w:iCs/>
          <w:i/>
        </w:rPr>
        <w:t xml:space="preserve">Journal of Transport Geography</w:t>
      </w:r>
      <w:r>
        <w:t xml:space="preserve"> </w:t>
      </w:r>
      <w:r>
        <w:t xml:space="preserve">12 (2): 127–40.</w:t>
      </w:r>
      <w:r>
        <w:t xml:space="preserve"> </w:t>
      </w:r>
      <w:hyperlink r:id="rId40">
        <w:r>
          <w:rPr>
            <w:rStyle w:val="Hyperlink"/>
          </w:rPr>
          <w:t xml:space="preserve">https://doi.org/10.1016/j.jtrangeo.2003.10.005</w:t>
        </w:r>
      </w:hyperlink>
      <w:r>
        <w:t xml:space="preserve">.</w:t>
      </w:r>
    </w:p>
    <w:bookmarkEnd w:id="41"/>
    <w:bookmarkStart w:id="43" w:name="ref-handy2020"/>
    <w:p>
      <w:pPr>
        <w:pStyle w:val="Bibliography"/>
      </w:pPr>
      <w:r>
        <w:t xml:space="preserve">Handy, Susan. 2020.</w:t>
      </w:r>
      <w:r>
        <w:t xml:space="preserve"> </w:t>
      </w:r>
      <w:r>
        <w:t xml:space="preserve">“Is Accessibility an Idea Whose Time Has Finally Come?”</w:t>
      </w:r>
      <w:r>
        <w:t xml:space="preserve"> </w:t>
      </w:r>
      <w:r>
        <w:rPr>
          <w:iCs/>
          <w:i/>
        </w:rPr>
        <w:t xml:space="preserve">Transportation Research Part D: Transport and Environment</w:t>
      </w:r>
      <w:r>
        <w:t xml:space="preserve"> </w:t>
      </w:r>
      <w:r>
        <w:t xml:space="preserve">83 (June): 102319.</w:t>
      </w:r>
      <w:r>
        <w:t xml:space="preserve"> </w:t>
      </w:r>
      <w:hyperlink r:id="rId42">
        <w:r>
          <w:rPr>
            <w:rStyle w:val="Hyperlink"/>
          </w:rPr>
          <w:t xml:space="preserve">https://doi.org/10.1016/j.trd.2020.102319</w:t>
        </w:r>
      </w:hyperlink>
      <w:r>
        <w:t xml:space="preserve">.</w:t>
      </w:r>
    </w:p>
    <w:bookmarkEnd w:id="43"/>
    <w:bookmarkStart w:id="45" w:name="ref-hansen1959"/>
    <w:p>
      <w:pPr>
        <w:pStyle w:val="Bibliography"/>
      </w:pPr>
      <w:r>
        <w:t xml:space="preserve">Hansen, Walter G. 1959.</w:t>
      </w:r>
      <w:r>
        <w:t xml:space="preserve"> </w:t>
      </w:r>
      <w:r>
        <w:t xml:space="preserve">“How Accessibility Shapes Land Use.”</w:t>
      </w:r>
      <w:r>
        <w:t xml:space="preserve"> </w:t>
      </w:r>
      <w:r>
        <w:rPr>
          <w:iCs/>
          <w:i/>
        </w:rPr>
        <w:t xml:space="preserve">Journal of the American Institute of Planners</w:t>
      </w:r>
      <w:r>
        <w:t xml:space="preserve"> </w:t>
      </w:r>
      <w:r>
        <w:t xml:space="preserve">25 (2): 73–76.</w:t>
      </w:r>
      <w:r>
        <w:t xml:space="preserve"> </w:t>
      </w:r>
      <w:hyperlink r:id="rId44">
        <w:r>
          <w:rPr>
            <w:rStyle w:val="Hyperlink"/>
          </w:rPr>
          <w:t xml:space="preserve">https://doi.org/10.1080/01944365908978307</w:t>
        </w:r>
      </w:hyperlink>
      <w:r>
        <w:t xml:space="preserve">.</w:t>
      </w:r>
    </w:p>
    <w:bookmarkEnd w:id="45"/>
    <w:bookmarkStart w:id="47" w:name="ref-r5r_2021"/>
    <w:p>
      <w:pPr>
        <w:pStyle w:val="Bibliography"/>
      </w:pPr>
      <w:r>
        <w:t xml:space="preserve">Rafael H. M. Pereira, Marcus Saraiva, Daniel Herszenhut, Carlos Kaue Vieira Braga, and Matthew Wigginton Conway. 2021.</w:t>
      </w:r>
      <w:r>
        <w:t xml:space="preserve"> </w:t>
      </w:r>
      <w:r>
        <w:t xml:space="preserve">“R5r: Rapid Realistic Routing on Multimodal Transport Networks with R5 in r.”</w:t>
      </w:r>
      <w:r>
        <w:t xml:space="preserve"> </w:t>
      </w:r>
      <w:r>
        <w:rPr>
          <w:iCs/>
          <w:i/>
        </w:rPr>
        <w:t xml:space="preserve">Findings</w:t>
      </w:r>
      <w:r>
        <w:t xml:space="preserve">.</w:t>
      </w:r>
      <w:r>
        <w:t xml:space="preserve"> </w:t>
      </w:r>
      <w:hyperlink r:id="rId46">
        <w:r>
          <w:rPr>
            <w:rStyle w:val="Hyperlink"/>
          </w:rPr>
          <w:t xml:space="preserve">https://doi.org/10.32866/001c.21262</w:t>
        </w:r>
      </w:hyperlink>
      <w:r>
        <w:t xml:space="preserve">.</w:t>
      </w:r>
    </w:p>
    <w:bookmarkEnd w:id="47"/>
    <w:bookmarkStart w:id="48" w:name="ref-TTS2016r"/>
    <w:p>
      <w:pPr>
        <w:pStyle w:val="Bibliography"/>
      </w:pPr>
      <w:r>
        <w:t xml:space="preserve">Soukhov, Anastasia, and Antonio Paez. 2022.</w:t>
      </w:r>
      <w:r>
        <w:t xml:space="preserve"> </w:t>
      </w:r>
      <w:r>
        <w:rPr>
          <w:iCs/>
          <w:i/>
        </w:rPr>
        <w:t xml:space="preserve">TTS2016R: An Augmented 2016 Transportation Tomorrow Survey (TTS) Data Package: Worker and Place of Employment Counts, Trips and Estimated Travel Time to Work in the Greater Golden Horsehoe Area, Canada</w:t>
      </w:r>
      <w:r>
        <w:t xml:space="preserve">.</w:t>
      </w:r>
      <w:r>
        <w:t xml:space="preserve"> </w:t>
      </w:r>
      <w:hyperlink r:id="rId26">
        <w:r>
          <w:rPr>
            <w:rStyle w:val="Hyperlink"/>
          </w:rPr>
          <w:t xml:space="preserve">https://soukhova.github.io/TTS2016R/</w:t>
        </w:r>
      </w:hyperlink>
      <w:r>
        <w:t xml:space="preserve">.</w:t>
      </w:r>
    </w:p>
    <w:bookmarkEnd w:id="48"/>
    <w:bookmarkStart w:id="50" w:name="ref-soukhovTTS2016RDataSet2023"/>
    <w:p>
      <w:pPr>
        <w:pStyle w:val="Bibliography"/>
      </w:pPr>
      <w:r>
        <w:t xml:space="preserve">Soukhov, Anastasia, and Antonio Páez. 2023.</w:t>
      </w:r>
      <w:r>
        <w:t xml:space="preserve"> </w:t>
      </w:r>
      <w:r>
        <w:t xml:space="preserve">“</w:t>
      </w:r>
      <w:r>
        <w:t xml:space="preserve">TTS2016R</w:t>
      </w:r>
      <w:r>
        <w:t xml:space="preserve">:</w:t>
      </w:r>
      <w:r>
        <w:t xml:space="preserve"> </w:t>
      </w:r>
      <w:r>
        <w:t xml:space="preserve">A</w:t>
      </w:r>
      <w:r>
        <w:t xml:space="preserve"> </w:t>
      </w:r>
      <w:r>
        <w:t xml:space="preserve">Data Set to Study Population and Employment Patterns from the 2016</w:t>
      </w:r>
      <w:r>
        <w:t xml:space="preserve"> </w:t>
      </w:r>
      <w:r>
        <w:t xml:space="preserve">Transportation Tomorrow Survey</w:t>
      </w:r>
      <w:r>
        <w:t xml:space="preserve"> </w:t>
      </w:r>
      <w:r>
        <w:t xml:space="preserve">in the</w:t>
      </w:r>
      <w:r>
        <w:t xml:space="preserve"> </w:t>
      </w:r>
      <w:r>
        <w:t xml:space="preserve">Greater Golden Horseshoe</w:t>
      </w:r>
      <w:r>
        <w:t xml:space="preserve"> </w:t>
      </w:r>
      <w:r>
        <w:t xml:space="preserve">Area,</w:t>
      </w:r>
      <w:r>
        <w:t xml:space="preserve"> </w:t>
      </w:r>
      <w:r>
        <w:t xml:space="preserve">Ontario</w:t>
      </w:r>
      <w:r>
        <w:t xml:space="preserve">,</w:t>
      </w:r>
      <w:r>
        <w:t xml:space="preserve"> </w:t>
      </w:r>
      <w:r>
        <w:t xml:space="preserve">Canada</w:t>
      </w:r>
      <w:r>
        <w:t xml:space="preserve">.”</w:t>
      </w:r>
      <w:r>
        <w:t xml:space="preserve"> </w:t>
      </w:r>
      <w:r>
        <w:rPr>
          <w:iCs/>
          <w:i/>
        </w:rPr>
        <w:t xml:space="preserve">Environment and Planning B: Urban Analytics and City Science</w:t>
      </w:r>
      <w:r>
        <w:t xml:space="preserve">, January, 23998083221146781.</w:t>
      </w:r>
      <w:r>
        <w:t xml:space="preserve"> </w:t>
      </w:r>
      <w:hyperlink r:id="rId49">
        <w:r>
          <w:rPr>
            <w:rStyle w:val="Hyperlink"/>
          </w:rPr>
          <w:t xml:space="preserve">https://doi.org/10.1177/23998083221146781</w:t>
        </w:r>
      </w:hyperlink>
      <w:r>
        <w:t xml:space="preserve">.</w:t>
      </w:r>
    </w:p>
    <w:bookmarkEnd w:id="50"/>
    <w:bookmarkStart w:id="52" w:name="Xaeabb7a676c433f49c241c7e057cd3381dab71a"/>
    <w:p>
      <w:pPr>
        <w:pStyle w:val="Bibliography"/>
      </w:pPr>
      <w:r>
        <w:t xml:space="preserve">Stewart, John Q. 1948.</w:t>
      </w:r>
      <w:r>
        <w:t xml:space="preserve"> </w:t>
      </w:r>
      <w:r>
        <w:t xml:space="preserve">“Demographic</w:t>
      </w:r>
      <w:r>
        <w:t xml:space="preserve"> </w:t>
      </w:r>
      <w:r>
        <w:t xml:space="preserve">Gravitation</w:t>
      </w:r>
      <w:r>
        <w:t xml:space="preserve">:</w:t>
      </w:r>
      <w:r>
        <w:t xml:space="preserve"> </w:t>
      </w:r>
      <w:r>
        <w:t xml:space="preserve">Evidence</w:t>
      </w:r>
      <w:r>
        <w:t xml:space="preserve"> </w:t>
      </w:r>
      <w:r>
        <w:t xml:space="preserve">and</w:t>
      </w:r>
      <w:r>
        <w:t xml:space="preserve"> </w:t>
      </w:r>
      <w:r>
        <w:t xml:space="preserve">Applications</w:t>
      </w:r>
      <w:r>
        <w:t xml:space="preserve">.”</w:t>
      </w:r>
      <w:r>
        <w:t xml:space="preserve"> </w:t>
      </w:r>
      <w:r>
        <w:rPr>
          <w:iCs/>
          <w:i/>
        </w:rPr>
        <w:t xml:space="preserve">Sociometry</w:t>
      </w:r>
      <w:r>
        <w:t xml:space="preserve"> </w:t>
      </w:r>
      <w:r>
        <w:t xml:space="preserve">11 (1/2): 31–58.</w:t>
      </w:r>
      <w:r>
        <w:t xml:space="preserve"> </w:t>
      </w:r>
      <w:hyperlink r:id="rId51">
        <w:r>
          <w:rPr>
            <w:rStyle w:val="Hyperlink"/>
          </w:rPr>
          <w:t xml:space="preserve">https://doi.org/10.2307/2785468</w:t>
        </w:r>
      </w:hyperlink>
      <w:r>
        <w:t xml:space="preserve">.</w:t>
      </w:r>
    </w:p>
    <w:bookmarkEnd w:id="52"/>
    <w:bookmarkStart w:id="54" w:name="ref-wuUnifyingAccess2020"/>
    <w:p>
      <w:pPr>
        <w:pStyle w:val="Bibliography"/>
      </w:pPr>
      <w:r>
        <w:t xml:space="preserve">Wu, Hao, and David Levinson. 2020.</w:t>
      </w:r>
      <w:r>
        <w:t xml:space="preserve"> </w:t>
      </w:r>
      <w:r>
        <w:t xml:space="preserve">“Unifying Access.”</w:t>
      </w:r>
      <w:r>
        <w:t xml:space="preserve"> </w:t>
      </w:r>
      <w:r>
        <w:rPr>
          <w:iCs/>
          <w:i/>
        </w:rPr>
        <w:t xml:space="preserve">Transportation Research Part D: Transport and Environment</w:t>
      </w:r>
      <w:r>
        <w:t xml:space="preserve"> </w:t>
      </w:r>
      <w:r>
        <w:t xml:space="preserve">83 (June): 102355.</w:t>
      </w:r>
      <w:r>
        <w:t xml:space="preserve"> </w:t>
      </w:r>
      <w:hyperlink r:id="rId53">
        <w:r>
          <w:rPr>
            <w:rStyle w:val="Hyperlink"/>
          </w:rPr>
          <w:t xml:space="preserve">https://doi.org/10.1016/j.trd.2020.102355</w:t>
        </w:r>
      </w:hyperlink>
      <w:r>
        <w:t xml:space="preserve">.</w:t>
      </w: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hyperlink" Id="rId40" Target="https://doi.org/10.1016/j.jtrangeo.2003.10.005" TargetMode="External" /><Relationship Type="http://schemas.openxmlformats.org/officeDocument/2006/relationships/hyperlink" Id="rId42" Target="https://doi.org/10.1016/j.trd.2020.102319" TargetMode="External" /><Relationship Type="http://schemas.openxmlformats.org/officeDocument/2006/relationships/hyperlink" Id="rId53" Target="https://doi.org/10.1016/j.trd.2020.102355" TargetMode="External" /><Relationship Type="http://schemas.openxmlformats.org/officeDocument/2006/relationships/hyperlink" Id="rId44" Target="https://doi.org/10.1080/01944365908978307" TargetMode="External" /><Relationship Type="http://schemas.openxmlformats.org/officeDocument/2006/relationships/hyperlink" Id="rId49" Target="https://doi.org/10.1177/23998083221146781" TargetMode="External" /><Relationship Type="http://schemas.openxmlformats.org/officeDocument/2006/relationships/hyperlink" Id="rId38" Target="https://doi.org/10.18637/jss.v064.i04" TargetMode="External" /><Relationship Type="http://schemas.openxmlformats.org/officeDocument/2006/relationships/hyperlink" Id="rId51" Target="https://doi.org/10.2307/2785468" TargetMode="External" /><Relationship Type="http://schemas.openxmlformats.org/officeDocument/2006/relationships/hyperlink" Id="rId46" Target="https://doi.org/10.32866/001c.21262" TargetMode="External" /><Relationship Type="http://schemas.openxmlformats.org/officeDocument/2006/relationships/hyperlink" Id="rId22" Target="https://en.wikipedia.org/wiki/Probability_density_function" TargetMode="External" /><Relationship Type="http://schemas.openxmlformats.org/officeDocument/2006/relationships/hyperlink" Id="rId36" Target="https://github.com/soukhova/MJ-Accessibility-Blogs" TargetMode="External" /><Relationship Type="http://schemas.openxmlformats.org/officeDocument/2006/relationships/hyperlink" Id="rId26" Target="https://soukhova.github.io/TTS2016R/" TargetMode="External" /><Relationship Type="http://schemas.openxmlformats.org/officeDocument/2006/relationships/hyperlink" Id="rId35" Target="https://soukhova.shinyapps.io/Impedance-explained-shiny-app/"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16/j.jtrangeo.2003.10.005" TargetMode="External" /><Relationship Type="http://schemas.openxmlformats.org/officeDocument/2006/relationships/hyperlink" Id="rId42" Target="https://doi.org/10.1016/j.trd.2020.102319" TargetMode="External" /><Relationship Type="http://schemas.openxmlformats.org/officeDocument/2006/relationships/hyperlink" Id="rId53" Target="https://doi.org/10.1016/j.trd.2020.102355" TargetMode="External" /><Relationship Type="http://schemas.openxmlformats.org/officeDocument/2006/relationships/hyperlink" Id="rId44" Target="https://doi.org/10.1080/01944365908978307" TargetMode="External" /><Relationship Type="http://schemas.openxmlformats.org/officeDocument/2006/relationships/hyperlink" Id="rId49" Target="https://doi.org/10.1177/23998083221146781" TargetMode="External" /><Relationship Type="http://schemas.openxmlformats.org/officeDocument/2006/relationships/hyperlink" Id="rId38" Target="https://doi.org/10.18637/jss.v064.i04" TargetMode="External" /><Relationship Type="http://schemas.openxmlformats.org/officeDocument/2006/relationships/hyperlink" Id="rId51" Target="https://doi.org/10.2307/2785468" TargetMode="External" /><Relationship Type="http://schemas.openxmlformats.org/officeDocument/2006/relationships/hyperlink" Id="rId46" Target="https://doi.org/10.32866/001c.21262" TargetMode="External" /><Relationship Type="http://schemas.openxmlformats.org/officeDocument/2006/relationships/hyperlink" Id="rId22" Target="https://en.wikipedia.org/wiki/Probability_density_function" TargetMode="External" /><Relationship Type="http://schemas.openxmlformats.org/officeDocument/2006/relationships/hyperlink" Id="rId36" Target="https://github.com/soukhova/MJ-Accessibility-Blogs" TargetMode="External" /><Relationship Type="http://schemas.openxmlformats.org/officeDocument/2006/relationships/hyperlink" Id="rId26" Target="https://soukhova.github.io/TTS2016R/" TargetMode="External" /><Relationship Type="http://schemas.openxmlformats.org/officeDocument/2006/relationships/hyperlink" Id="rId35" Target="https://soukhova.shinyapps.io/Impedance-explained-shiny-a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with accessibility measures: impedance functions</dc:title>
  <dc:creator>Anastasia Soukhov</dc:creator>
  <cp:keywords/>
  <dcterms:created xsi:type="dcterms:W3CDTF">2023-03-18T19:51:57Z</dcterms:created>
  <dcterms:modified xsi:type="dcterms:W3CDTF">2023-03-18T19:51:57Z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ffiliation">
    <vt:lpwstr/>
  </property>
  <property fmtid="{D5CDD505-2E9C-101B-9397-08002B2CF9AE}" pid="7" name="by-author">
    <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