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2659" w14:textId="40B23406" w:rsidR="00E708B2" w:rsidRPr="00C95BC8" w:rsidRDefault="0096268E" w:rsidP="00E708B2">
      <w:pPr>
        <w:pStyle w:val="BodyText"/>
        <w:spacing w:line="288" w:lineRule="auto"/>
        <w:jc w:val="center"/>
      </w:pPr>
      <w:r>
        <w:rPr>
          <w:b/>
          <w:sz w:val="32"/>
        </w:rPr>
        <w:t>Multimodal spatial availability: a research proposal</w:t>
      </w:r>
    </w:p>
    <w:p w14:paraId="4EB6EDF3" w14:textId="335D37C9" w:rsidR="007A2A87" w:rsidRPr="00CF62DB" w:rsidRDefault="00BA11F8" w:rsidP="007A2A87">
      <w:pPr>
        <w:shd w:val="clear" w:color="auto" w:fill="F5F5F5"/>
        <w:spacing w:before="100" w:beforeAutospacing="1" w:after="100" w:afterAutospacing="1" w:line="240" w:lineRule="auto"/>
        <w:jc w:val="center"/>
        <w:rPr>
          <w:rFonts w:ascii="Times New Roman" w:eastAsia="Times New Roman" w:hAnsi="Times New Roman" w:cs="Times New Roman"/>
          <w:color w:val="000000"/>
          <w:sz w:val="24"/>
          <w:szCs w:val="24"/>
          <w:lang w:val="en-CA"/>
        </w:rPr>
      </w:pPr>
      <w:r w:rsidRPr="00CF62DB">
        <w:rPr>
          <w:rFonts w:ascii="Times New Roman" w:eastAsia="Times New Roman" w:hAnsi="Times New Roman" w:cs="Times New Roman"/>
          <w:b/>
          <w:bCs/>
          <w:color w:val="000000"/>
          <w:sz w:val="24"/>
          <w:szCs w:val="24"/>
          <w:lang w:val="en-CA"/>
        </w:rPr>
        <w:t>Anastasia Soukhov</w:t>
      </w:r>
      <w:r w:rsidR="007A2A87" w:rsidRPr="00CF62DB">
        <w:rPr>
          <w:rFonts w:ascii="Times New Roman" w:eastAsia="Times New Roman" w:hAnsi="Times New Roman" w:cs="Times New Roman"/>
          <w:color w:val="000000"/>
          <w:sz w:val="24"/>
          <w:szCs w:val="24"/>
          <w:lang w:val="en-CA"/>
        </w:rPr>
        <w:br/>
      </w:r>
      <w:r w:rsidRPr="00CF62DB">
        <w:rPr>
          <w:rFonts w:ascii="Times New Roman" w:eastAsia="Times New Roman" w:hAnsi="Times New Roman" w:cs="Times New Roman"/>
          <w:color w:val="000000"/>
          <w:sz w:val="24"/>
          <w:szCs w:val="24"/>
          <w:lang w:val="en-CA"/>
        </w:rPr>
        <w:t>PhD Candidate, Department of Earth, Environment and Society, McMaster University, Canada</w:t>
      </w:r>
    </w:p>
    <w:p w14:paraId="1A31DA16" w14:textId="0BCDBDC0" w:rsidR="00BA11F8" w:rsidRPr="0096268E" w:rsidRDefault="00BA11F8" w:rsidP="00BA11F8">
      <w:pPr>
        <w:shd w:val="clear" w:color="auto" w:fill="F5F5F5"/>
        <w:spacing w:before="100" w:beforeAutospacing="1" w:after="100" w:afterAutospacing="1" w:line="240" w:lineRule="auto"/>
        <w:jc w:val="center"/>
        <w:rPr>
          <w:rFonts w:ascii="Times New Roman" w:eastAsia="Times New Roman" w:hAnsi="Times New Roman" w:cs="Times New Roman"/>
          <w:color w:val="000000"/>
          <w:sz w:val="24"/>
          <w:szCs w:val="24"/>
          <w:lang w:val="es-MX"/>
        </w:rPr>
      </w:pPr>
      <w:r w:rsidRPr="0096268E">
        <w:rPr>
          <w:rFonts w:ascii="Times New Roman" w:eastAsia="Times New Roman" w:hAnsi="Times New Roman" w:cs="Times New Roman"/>
          <w:b/>
          <w:bCs/>
          <w:color w:val="000000"/>
          <w:sz w:val="24"/>
          <w:szCs w:val="24"/>
          <w:lang w:val="es-MX"/>
        </w:rPr>
        <w:t xml:space="preserve">Javier </w:t>
      </w:r>
      <w:proofErr w:type="spellStart"/>
      <w:r w:rsidRPr="0096268E">
        <w:rPr>
          <w:rFonts w:ascii="Times New Roman" w:eastAsia="Times New Roman" w:hAnsi="Times New Roman" w:cs="Times New Roman"/>
          <w:b/>
          <w:bCs/>
          <w:color w:val="000000"/>
          <w:sz w:val="24"/>
          <w:szCs w:val="24"/>
          <w:lang w:val="es-MX"/>
        </w:rPr>
        <w:t>Tarriño</w:t>
      </w:r>
      <w:proofErr w:type="spellEnd"/>
      <w:r w:rsidRPr="0096268E">
        <w:rPr>
          <w:rFonts w:ascii="Times New Roman" w:eastAsia="Times New Roman" w:hAnsi="Times New Roman" w:cs="Times New Roman"/>
          <w:b/>
          <w:bCs/>
          <w:color w:val="000000"/>
          <w:sz w:val="24"/>
          <w:szCs w:val="24"/>
          <w:lang w:val="es-MX"/>
        </w:rPr>
        <w:t xml:space="preserve"> Ortiz</w:t>
      </w:r>
      <w:r w:rsidRPr="0096268E">
        <w:rPr>
          <w:rFonts w:ascii="Times New Roman" w:eastAsia="Times New Roman" w:hAnsi="Times New Roman" w:cs="Times New Roman"/>
          <w:color w:val="000000"/>
          <w:sz w:val="24"/>
          <w:szCs w:val="24"/>
          <w:lang w:val="es-MX"/>
        </w:rPr>
        <w:br/>
        <w:t xml:space="preserve">PhD </w:t>
      </w:r>
      <w:proofErr w:type="spellStart"/>
      <w:r w:rsidRPr="0096268E">
        <w:rPr>
          <w:rFonts w:ascii="Times New Roman" w:eastAsia="Times New Roman" w:hAnsi="Times New Roman" w:cs="Times New Roman"/>
          <w:color w:val="000000"/>
          <w:sz w:val="24"/>
          <w:szCs w:val="24"/>
          <w:lang w:val="es-MX"/>
        </w:rPr>
        <w:t>Graduate</w:t>
      </w:r>
      <w:proofErr w:type="spellEnd"/>
      <w:r w:rsidRPr="0096268E">
        <w:rPr>
          <w:rFonts w:ascii="Times New Roman" w:eastAsia="Times New Roman" w:hAnsi="Times New Roman" w:cs="Times New Roman"/>
          <w:color w:val="000000"/>
          <w:sz w:val="24"/>
          <w:szCs w:val="24"/>
          <w:lang w:val="es-MX"/>
        </w:rPr>
        <w:t xml:space="preserve">, Universidad Politécnica de Madrid, </w:t>
      </w:r>
      <w:proofErr w:type="spellStart"/>
      <w:r w:rsidRPr="0096268E">
        <w:rPr>
          <w:rFonts w:ascii="Times New Roman" w:eastAsia="Times New Roman" w:hAnsi="Times New Roman" w:cs="Times New Roman"/>
          <w:color w:val="000000"/>
          <w:sz w:val="24"/>
          <w:szCs w:val="24"/>
          <w:lang w:val="es-MX"/>
        </w:rPr>
        <w:t>Spain</w:t>
      </w:r>
      <w:proofErr w:type="spellEnd"/>
    </w:p>
    <w:p w14:paraId="00AA9F47" w14:textId="77777777" w:rsidR="0096268E" w:rsidRDefault="00BA11F8" w:rsidP="0096268E">
      <w:pPr>
        <w:shd w:val="clear" w:color="auto" w:fill="F5F5F5"/>
        <w:spacing w:before="100" w:beforeAutospacing="1" w:after="100" w:afterAutospacing="1" w:line="240" w:lineRule="auto"/>
        <w:jc w:val="center"/>
        <w:rPr>
          <w:rFonts w:ascii="Times New Roman" w:eastAsia="Times New Roman" w:hAnsi="Times New Roman" w:cs="Times New Roman"/>
          <w:b/>
          <w:bCs/>
          <w:color w:val="000000"/>
          <w:sz w:val="24"/>
          <w:szCs w:val="24"/>
          <w:lang w:val="en-CA"/>
        </w:rPr>
      </w:pPr>
      <w:r w:rsidRPr="00CF62DB">
        <w:rPr>
          <w:rFonts w:ascii="Times New Roman" w:eastAsia="Times New Roman" w:hAnsi="Times New Roman" w:cs="Times New Roman"/>
          <w:b/>
          <w:bCs/>
          <w:color w:val="000000"/>
          <w:sz w:val="24"/>
          <w:szCs w:val="24"/>
          <w:lang w:val="en-CA"/>
        </w:rPr>
        <w:t>Julio A. Soria-Lara</w:t>
      </w:r>
      <w:r w:rsidRPr="00CF62DB">
        <w:rPr>
          <w:rFonts w:ascii="Times New Roman" w:eastAsia="Times New Roman" w:hAnsi="Times New Roman" w:cs="Times New Roman"/>
          <w:color w:val="000000"/>
          <w:sz w:val="24"/>
          <w:szCs w:val="24"/>
          <w:lang w:val="en-CA"/>
        </w:rPr>
        <w:br/>
        <w:t xml:space="preserve">Associate Professor of Urban and Regional Planning, Universidad </w:t>
      </w:r>
      <w:proofErr w:type="spellStart"/>
      <w:r w:rsidRPr="00CF62DB">
        <w:rPr>
          <w:rFonts w:ascii="Times New Roman" w:eastAsia="Times New Roman" w:hAnsi="Times New Roman" w:cs="Times New Roman"/>
          <w:color w:val="000000"/>
          <w:sz w:val="24"/>
          <w:szCs w:val="24"/>
          <w:lang w:val="en-CA"/>
        </w:rPr>
        <w:t>Politécnica</w:t>
      </w:r>
      <w:proofErr w:type="spellEnd"/>
      <w:r w:rsidRPr="00CF62DB">
        <w:rPr>
          <w:rFonts w:ascii="Times New Roman" w:eastAsia="Times New Roman" w:hAnsi="Times New Roman" w:cs="Times New Roman"/>
          <w:color w:val="000000"/>
          <w:sz w:val="24"/>
          <w:szCs w:val="24"/>
          <w:lang w:val="en-CA"/>
        </w:rPr>
        <w:t xml:space="preserve"> de Madrid, Spain</w:t>
      </w:r>
      <w:r w:rsidR="0096268E" w:rsidRPr="0096268E">
        <w:rPr>
          <w:rFonts w:ascii="Times New Roman" w:eastAsia="Times New Roman" w:hAnsi="Times New Roman" w:cs="Times New Roman"/>
          <w:b/>
          <w:bCs/>
          <w:color w:val="000000"/>
          <w:sz w:val="24"/>
          <w:szCs w:val="24"/>
          <w:lang w:val="en-CA"/>
        </w:rPr>
        <w:t xml:space="preserve"> </w:t>
      </w:r>
    </w:p>
    <w:p w14:paraId="3739B4E8" w14:textId="2CAD0AD6" w:rsidR="00BA11F8" w:rsidRPr="00CF62DB" w:rsidRDefault="0096268E" w:rsidP="0096268E">
      <w:pPr>
        <w:shd w:val="clear" w:color="auto" w:fill="F5F5F5"/>
        <w:spacing w:before="100" w:beforeAutospacing="1" w:after="100" w:afterAutospacing="1" w:line="240" w:lineRule="auto"/>
        <w:jc w:val="center"/>
        <w:rPr>
          <w:rFonts w:ascii="Times New Roman" w:eastAsia="Times New Roman" w:hAnsi="Times New Roman" w:cs="Times New Roman"/>
          <w:color w:val="000000"/>
          <w:sz w:val="24"/>
          <w:szCs w:val="24"/>
          <w:lang w:val="en-CA"/>
        </w:rPr>
      </w:pPr>
      <w:r w:rsidRPr="00CF62DB">
        <w:rPr>
          <w:rFonts w:ascii="Times New Roman" w:eastAsia="Times New Roman" w:hAnsi="Times New Roman" w:cs="Times New Roman"/>
          <w:b/>
          <w:bCs/>
          <w:color w:val="000000"/>
          <w:sz w:val="24"/>
          <w:szCs w:val="24"/>
          <w:lang w:val="en-CA"/>
        </w:rPr>
        <w:t>Antonio Páez</w:t>
      </w:r>
      <w:r w:rsidRPr="00CF62DB">
        <w:rPr>
          <w:rFonts w:ascii="Times New Roman" w:eastAsia="Times New Roman" w:hAnsi="Times New Roman" w:cs="Times New Roman"/>
          <w:color w:val="000000"/>
          <w:sz w:val="24"/>
          <w:szCs w:val="24"/>
          <w:lang w:val="en-CA"/>
        </w:rPr>
        <w:br/>
        <w:t>Associate Professor, Department of Earth, Environment and Society, McMaster University, Canada</w:t>
      </w:r>
    </w:p>
    <w:p w14:paraId="4EB6EDF5" w14:textId="77777777" w:rsidR="007A2A87" w:rsidRPr="00CF62DB" w:rsidRDefault="00E7794E" w:rsidP="00BF2AAC">
      <w:pPr>
        <w:shd w:val="clear" w:color="auto" w:fill="F5F5F5"/>
        <w:spacing w:before="100" w:beforeAutospacing="1" w:after="100" w:afterAutospacing="1" w:line="240" w:lineRule="auto"/>
        <w:jc w:val="center"/>
        <w:rPr>
          <w:rFonts w:ascii="Times New Roman" w:eastAsia="Times New Roman" w:hAnsi="Times New Roman" w:cs="Times New Roman"/>
          <w:b/>
          <w:color w:val="000000"/>
          <w:sz w:val="24"/>
          <w:szCs w:val="24"/>
          <w:lang w:val="en-CA"/>
        </w:rPr>
      </w:pPr>
      <w:r w:rsidRPr="00CF62DB">
        <w:rPr>
          <w:rFonts w:ascii="Times New Roman" w:eastAsia="Times New Roman" w:hAnsi="Times New Roman" w:cs="Times New Roman"/>
          <w:b/>
          <w:color w:val="000000"/>
          <w:sz w:val="24"/>
          <w:szCs w:val="24"/>
          <w:lang w:val="en-CA"/>
        </w:rPr>
        <w:t>RESUMEN</w:t>
      </w:r>
    </w:p>
    <w:p w14:paraId="4E740A13" w14:textId="121960C5" w:rsidR="003A32C9" w:rsidRDefault="0096268E" w:rsidP="00FD1476">
      <w:pPr>
        <w:jc w:val="both"/>
        <w:rPr>
          <w:rFonts w:ascii="Times New Roman" w:eastAsia="Times New Roman" w:hAnsi="Times New Roman" w:cs="Times New Roman"/>
          <w:color w:val="000000"/>
          <w:sz w:val="24"/>
          <w:szCs w:val="24"/>
          <w:lang w:val="en-CA"/>
        </w:rPr>
      </w:pPr>
      <w:r>
        <w:rPr>
          <w:rFonts w:ascii="Times New Roman" w:eastAsia="Times New Roman" w:hAnsi="Times New Roman" w:cs="Times New Roman"/>
          <w:color w:val="000000"/>
          <w:sz w:val="24"/>
          <w:szCs w:val="24"/>
          <w:lang w:val="en-CA"/>
        </w:rPr>
        <w:t>S</w:t>
      </w:r>
      <w:r w:rsidR="008446F2">
        <w:rPr>
          <w:rFonts w:ascii="Times New Roman" w:eastAsia="Times New Roman" w:hAnsi="Times New Roman" w:cs="Times New Roman"/>
          <w:color w:val="000000"/>
          <w:sz w:val="24"/>
          <w:szCs w:val="24"/>
          <w:lang w:val="en-CA"/>
        </w:rPr>
        <w:t xml:space="preserve">patial inequalities </w:t>
      </w:r>
      <w:r>
        <w:rPr>
          <w:rFonts w:ascii="Times New Roman" w:eastAsia="Times New Roman" w:hAnsi="Times New Roman" w:cs="Times New Roman"/>
          <w:color w:val="000000"/>
          <w:sz w:val="24"/>
          <w:szCs w:val="24"/>
          <w:lang w:val="en-CA"/>
        </w:rPr>
        <w:t>in</w:t>
      </w:r>
      <w:r w:rsidR="008446F2">
        <w:rPr>
          <w:rFonts w:ascii="Times New Roman" w:eastAsia="Times New Roman" w:hAnsi="Times New Roman" w:cs="Times New Roman"/>
          <w:color w:val="000000"/>
          <w:sz w:val="24"/>
          <w:szCs w:val="24"/>
          <w:lang w:val="en-CA"/>
        </w:rPr>
        <w:t xml:space="preserve"> cities is </w:t>
      </w:r>
      <w:r>
        <w:rPr>
          <w:rFonts w:ascii="Times New Roman" w:eastAsia="Times New Roman" w:hAnsi="Times New Roman" w:cs="Times New Roman"/>
          <w:color w:val="000000"/>
          <w:sz w:val="24"/>
          <w:szCs w:val="24"/>
          <w:lang w:val="en-CA"/>
        </w:rPr>
        <w:t>an</w:t>
      </w:r>
      <w:r w:rsidR="00BA11F8" w:rsidRPr="00CF62DB">
        <w:rPr>
          <w:rFonts w:ascii="Times New Roman" w:eastAsia="Times New Roman" w:hAnsi="Times New Roman" w:cs="Times New Roman"/>
          <w:color w:val="000000"/>
          <w:sz w:val="24"/>
          <w:szCs w:val="24"/>
          <w:lang w:val="en-CA"/>
        </w:rPr>
        <w:t xml:space="preserve"> increasing </w:t>
      </w:r>
      <w:r w:rsidR="008446F2">
        <w:rPr>
          <w:rFonts w:ascii="Times New Roman" w:eastAsia="Times New Roman" w:hAnsi="Times New Roman" w:cs="Times New Roman"/>
          <w:color w:val="000000"/>
          <w:sz w:val="24"/>
          <w:szCs w:val="24"/>
          <w:lang w:val="en-CA"/>
        </w:rPr>
        <w:t xml:space="preserve">concern </w:t>
      </w:r>
      <w:r>
        <w:rPr>
          <w:rFonts w:ascii="Times New Roman" w:eastAsia="Times New Roman" w:hAnsi="Times New Roman" w:cs="Times New Roman"/>
          <w:color w:val="000000"/>
          <w:sz w:val="24"/>
          <w:szCs w:val="24"/>
          <w:lang w:val="en-CA"/>
        </w:rPr>
        <w:t>in the</w:t>
      </w:r>
      <w:r w:rsidR="00BA11F8" w:rsidRPr="00CF62DB">
        <w:rPr>
          <w:rFonts w:ascii="Times New Roman" w:eastAsia="Times New Roman" w:hAnsi="Times New Roman" w:cs="Times New Roman"/>
          <w:color w:val="000000"/>
          <w:sz w:val="24"/>
          <w:szCs w:val="24"/>
          <w:lang w:val="en-CA"/>
        </w:rPr>
        <w:t xml:space="preserve"> transportation </w:t>
      </w:r>
      <w:r w:rsidR="008446F2">
        <w:rPr>
          <w:rFonts w:ascii="Times New Roman" w:eastAsia="Times New Roman" w:hAnsi="Times New Roman" w:cs="Times New Roman"/>
          <w:color w:val="000000"/>
          <w:sz w:val="24"/>
          <w:szCs w:val="24"/>
          <w:lang w:val="en-CA"/>
        </w:rPr>
        <w:t>literature</w:t>
      </w:r>
      <w:r w:rsidR="006011AF">
        <w:rPr>
          <w:rFonts w:ascii="Times New Roman" w:eastAsia="Times New Roman" w:hAnsi="Times New Roman" w:cs="Times New Roman"/>
          <w:color w:val="000000"/>
          <w:sz w:val="24"/>
          <w:szCs w:val="24"/>
          <w:lang w:val="en-CA"/>
        </w:rPr>
        <w:t xml:space="preserve"> (e.g., between socio-economic groups </w:t>
      </w:r>
      <w:r w:rsidR="006F4E3B">
        <w:rPr>
          <w:rFonts w:ascii="Times New Roman" w:eastAsia="Times New Roman" w:hAnsi="Times New Roman" w:cs="Times New Roman"/>
          <w:color w:val="000000"/>
          <w:sz w:val="24"/>
          <w:szCs w:val="24"/>
          <w:lang w:val="en-CA"/>
        </w:rPr>
        <w:t>(</w:t>
      </w:r>
      <w:r w:rsidR="007E32D1" w:rsidRPr="003401D3">
        <w:rPr>
          <w:rFonts w:ascii="Times New Roman" w:eastAsia="Times New Roman" w:hAnsi="Times New Roman" w:cs="Times New Roman"/>
          <w:sz w:val="24"/>
          <w:szCs w:val="24"/>
          <w:lang w:val="en-CA" w:eastAsia="en-CA"/>
        </w:rPr>
        <w:t>Iglesias</w:t>
      </w:r>
      <w:r w:rsidR="007E32D1">
        <w:rPr>
          <w:rFonts w:ascii="Times New Roman" w:eastAsia="Times New Roman" w:hAnsi="Times New Roman" w:cs="Times New Roman"/>
          <w:color w:val="000000"/>
          <w:sz w:val="24"/>
          <w:szCs w:val="24"/>
          <w:lang w:val="en-CA"/>
        </w:rPr>
        <w:t xml:space="preserve"> </w:t>
      </w:r>
      <w:r w:rsidR="006F4E3B">
        <w:rPr>
          <w:rFonts w:ascii="Times New Roman" w:eastAsia="Times New Roman" w:hAnsi="Times New Roman" w:cs="Times New Roman"/>
          <w:color w:val="000000"/>
          <w:sz w:val="24"/>
          <w:szCs w:val="24"/>
          <w:lang w:val="en-CA"/>
        </w:rPr>
        <w:t>et al., 2019</w:t>
      </w:r>
      <w:r w:rsidR="006011AF">
        <w:rPr>
          <w:rFonts w:ascii="Times New Roman" w:eastAsia="Times New Roman" w:hAnsi="Times New Roman" w:cs="Times New Roman"/>
          <w:color w:val="000000"/>
          <w:sz w:val="24"/>
          <w:szCs w:val="24"/>
          <w:lang w:val="en-CA"/>
        </w:rPr>
        <w:t>)</w:t>
      </w:r>
      <w:r w:rsidR="007E32D1">
        <w:rPr>
          <w:rFonts w:ascii="Times New Roman" w:eastAsia="Times New Roman" w:hAnsi="Times New Roman" w:cs="Times New Roman"/>
          <w:color w:val="000000"/>
          <w:sz w:val="24"/>
          <w:szCs w:val="24"/>
          <w:lang w:val="en-CA"/>
        </w:rPr>
        <w:t>,</w:t>
      </w:r>
      <w:r>
        <w:rPr>
          <w:rFonts w:ascii="Times New Roman" w:eastAsia="Times New Roman" w:hAnsi="Times New Roman" w:cs="Times New Roman"/>
          <w:color w:val="000000"/>
          <w:sz w:val="24"/>
          <w:szCs w:val="24"/>
          <w:lang w:val="en-CA"/>
        </w:rPr>
        <w:t xml:space="preserve"> including from the perspective of</w:t>
      </w:r>
      <w:r w:rsidR="007E32D1">
        <w:rPr>
          <w:rFonts w:ascii="Times New Roman" w:eastAsia="Times New Roman" w:hAnsi="Times New Roman" w:cs="Times New Roman"/>
          <w:color w:val="000000"/>
          <w:sz w:val="24"/>
          <w:szCs w:val="24"/>
          <w:lang w:val="en-CA"/>
        </w:rPr>
        <w:t xml:space="preserve"> access</w:t>
      </w:r>
      <w:r>
        <w:rPr>
          <w:rFonts w:ascii="Times New Roman" w:eastAsia="Times New Roman" w:hAnsi="Times New Roman" w:cs="Times New Roman"/>
          <w:color w:val="000000"/>
          <w:sz w:val="24"/>
          <w:szCs w:val="24"/>
          <w:lang w:val="en-CA"/>
        </w:rPr>
        <w:t>ibility</w:t>
      </w:r>
      <w:r w:rsidR="007E32D1">
        <w:rPr>
          <w:rFonts w:ascii="Times New Roman" w:eastAsia="Times New Roman" w:hAnsi="Times New Roman" w:cs="Times New Roman"/>
          <w:color w:val="000000"/>
          <w:sz w:val="24"/>
          <w:szCs w:val="24"/>
          <w:lang w:val="en-CA"/>
        </w:rPr>
        <w:t xml:space="preserve"> to education (</w:t>
      </w:r>
      <w:r w:rsidR="007A1049">
        <w:rPr>
          <w:rFonts w:ascii="Times New Roman" w:eastAsia="Times New Roman" w:hAnsi="Times New Roman" w:cs="Times New Roman"/>
          <w:color w:val="000000"/>
          <w:sz w:val="24"/>
          <w:szCs w:val="24"/>
          <w:lang w:val="en-CA"/>
        </w:rPr>
        <w:t>Ye et al., 2018),</w:t>
      </w:r>
      <w:r w:rsidR="00C357ED">
        <w:rPr>
          <w:rFonts w:ascii="Times New Roman" w:eastAsia="Times New Roman" w:hAnsi="Times New Roman" w:cs="Times New Roman"/>
          <w:color w:val="000000"/>
          <w:sz w:val="24"/>
          <w:szCs w:val="24"/>
          <w:lang w:val="en-CA"/>
        </w:rPr>
        <w:t xml:space="preserve"> healthcare (Sharma &amp; Patil., 2021),</w:t>
      </w:r>
      <w:r w:rsidR="0088745A">
        <w:rPr>
          <w:rFonts w:ascii="Times New Roman" w:eastAsia="Times New Roman" w:hAnsi="Times New Roman" w:cs="Times New Roman"/>
          <w:color w:val="000000"/>
          <w:sz w:val="24"/>
          <w:szCs w:val="24"/>
          <w:lang w:val="en-CA"/>
        </w:rPr>
        <w:t xml:space="preserve"> </w:t>
      </w:r>
      <w:r w:rsidR="00B32E38">
        <w:rPr>
          <w:rFonts w:ascii="Times New Roman" w:eastAsia="Times New Roman" w:hAnsi="Times New Roman" w:cs="Times New Roman"/>
          <w:color w:val="000000"/>
          <w:sz w:val="24"/>
          <w:szCs w:val="24"/>
          <w:lang w:val="en-CA"/>
        </w:rPr>
        <w:t>transportation infrastructure (Mooney et al., 2019)</w:t>
      </w:r>
      <w:r w:rsidR="00241354">
        <w:rPr>
          <w:rFonts w:ascii="Times New Roman" w:eastAsia="Times New Roman" w:hAnsi="Times New Roman" w:cs="Times New Roman"/>
          <w:color w:val="000000"/>
          <w:sz w:val="24"/>
          <w:szCs w:val="24"/>
          <w:lang w:val="en-CA"/>
        </w:rPr>
        <w:t>,</w:t>
      </w:r>
      <w:r w:rsidR="001C2B95">
        <w:rPr>
          <w:rFonts w:ascii="Times New Roman" w:eastAsia="Times New Roman" w:hAnsi="Times New Roman" w:cs="Times New Roman"/>
          <w:color w:val="000000"/>
          <w:sz w:val="24"/>
          <w:szCs w:val="24"/>
          <w:lang w:val="en-CA"/>
        </w:rPr>
        <w:t xml:space="preserve"> </w:t>
      </w:r>
      <w:r>
        <w:rPr>
          <w:rFonts w:ascii="Times New Roman" w:eastAsia="Times New Roman" w:hAnsi="Times New Roman" w:cs="Times New Roman"/>
          <w:color w:val="000000"/>
          <w:sz w:val="24"/>
          <w:szCs w:val="24"/>
          <w:lang w:val="en-CA"/>
        </w:rPr>
        <w:t xml:space="preserve">and </w:t>
      </w:r>
      <w:r w:rsidR="001C2B95">
        <w:rPr>
          <w:rFonts w:ascii="Times New Roman" w:eastAsia="Times New Roman" w:hAnsi="Times New Roman" w:cs="Times New Roman"/>
          <w:color w:val="000000"/>
          <w:sz w:val="24"/>
          <w:szCs w:val="24"/>
          <w:lang w:val="en-CA"/>
        </w:rPr>
        <w:t>employment (</w:t>
      </w:r>
      <w:r w:rsidR="00973B97" w:rsidRPr="00973B97">
        <w:rPr>
          <w:rFonts w:ascii="Times New Roman" w:eastAsia="Times New Roman" w:hAnsi="Times New Roman" w:cs="Times New Roman"/>
          <w:sz w:val="24"/>
          <w:szCs w:val="24"/>
          <w:lang w:val="en-CA" w:eastAsia="en-CA"/>
        </w:rPr>
        <w:t>Páez</w:t>
      </w:r>
      <w:r w:rsidR="00973B97">
        <w:rPr>
          <w:rFonts w:ascii="Times New Roman" w:eastAsia="Times New Roman" w:hAnsi="Times New Roman" w:cs="Times New Roman"/>
          <w:sz w:val="24"/>
          <w:szCs w:val="24"/>
          <w:lang w:val="en-CA" w:eastAsia="en-CA"/>
        </w:rPr>
        <w:t xml:space="preserve"> et al.</w:t>
      </w:r>
      <w:r w:rsidR="003962DC">
        <w:rPr>
          <w:rFonts w:ascii="Times New Roman" w:eastAsia="Times New Roman" w:hAnsi="Times New Roman" w:cs="Times New Roman"/>
          <w:color w:val="000000"/>
          <w:sz w:val="24"/>
          <w:szCs w:val="24"/>
          <w:lang w:val="en-CA"/>
        </w:rPr>
        <w:t>, 2013</w:t>
      </w:r>
      <w:r w:rsidR="001C2B95">
        <w:rPr>
          <w:rFonts w:ascii="Times New Roman" w:eastAsia="Times New Roman" w:hAnsi="Times New Roman" w:cs="Times New Roman"/>
          <w:color w:val="000000"/>
          <w:sz w:val="24"/>
          <w:szCs w:val="24"/>
          <w:lang w:val="en-CA"/>
        </w:rPr>
        <w:t>)</w:t>
      </w:r>
      <w:r w:rsidR="00B32E38">
        <w:rPr>
          <w:rFonts w:ascii="Times New Roman" w:eastAsia="Times New Roman" w:hAnsi="Times New Roman" w:cs="Times New Roman"/>
          <w:color w:val="000000"/>
          <w:sz w:val="24"/>
          <w:szCs w:val="24"/>
          <w:lang w:val="en-CA"/>
        </w:rPr>
        <w:t>)</w:t>
      </w:r>
      <w:r w:rsidR="00CF62DB" w:rsidRPr="00CF62DB">
        <w:rPr>
          <w:rFonts w:ascii="Times New Roman" w:eastAsia="Times New Roman" w:hAnsi="Times New Roman" w:cs="Times New Roman"/>
          <w:color w:val="000000"/>
          <w:sz w:val="24"/>
          <w:szCs w:val="24"/>
          <w:lang w:val="en-CA"/>
        </w:rPr>
        <w:t xml:space="preserve">. </w:t>
      </w:r>
      <w:r w:rsidR="00FB3A81">
        <w:rPr>
          <w:rFonts w:ascii="Times New Roman" w:eastAsia="Times New Roman" w:hAnsi="Times New Roman" w:cs="Times New Roman"/>
          <w:color w:val="000000"/>
          <w:sz w:val="24"/>
          <w:szCs w:val="24"/>
          <w:lang w:val="en-CA"/>
        </w:rPr>
        <w:t xml:space="preserve">To quantify inequities, </w:t>
      </w:r>
      <w:r w:rsidR="00FB3A81" w:rsidRPr="006011AF">
        <w:rPr>
          <w:rFonts w:ascii="Times New Roman" w:eastAsia="Times New Roman" w:hAnsi="Times New Roman" w:cs="Times New Roman"/>
          <w:i/>
          <w:iCs/>
          <w:color w:val="000000"/>
          <w:sz w:val="24"/>
          <w:szCs w:val="24"/>
          <w:lang w:val="en-CA"/>
        </w:rPr>
        <w:t>a</w:t>
      </w:r>
      <w:r w:rsidR="00CF62DB" w:rsidRPr="006011AF">
        <w:rPr>
          <w:rFonts w:ascii="Times New Roman" w:eastAsia="Times New Roman" w:hAnsi="Times New Roman" w:cs="Times New Roman"/>
          <w:i/>
          <w:iCs/>
          <w:color w:val="000000"/>
          <w:sz w:val="24"/>
          <w:szCs w:val="24"/>
          <w:lang w:val="en-CA"/>
        </w:rPr>
        <w:t>ccessibility measures</w:t>
      </w:r>
      <w:r w:rsidR="00CF62DB" w:rsidRPr="00CF62DB">
        <w:rPr>
          <w:rFonts w:ascii="Times New Roman" w:eastAsia="Times New Roman" w:hAnsi="Times New Roman" w:cs="Times New Roman"/>
          <w:color w:val="000000"/>
          <w:sz w:val="24"/>
          <w:szCs w:val="24"/>
          <w:lang w:val="en-CA"/>
        </w:rPr>
        <w:t xml:space="preserve"> have been </w:t>
      </w:r>
      <w:r w:rsidR="006011AF">
        <w:rPr>
          <w:rFonts w:ascii="Times New Roman" w:eastAsia="Times New Roman" w:hAnsi="Times New Roman" w:cs="Times New Roman"/>
          <w:color w:val="000000"/>
          <w:sz w:val="24"/>
          <w:szCs w:val="24"/>
          <w:lang w:val="en-CA"/>
        </w:rPr>
        <w:t>applied</w:t>
      </w:r>
      <w:r w:rsidR="00CF62DB" w:rsidRPr="00CF62DB">
        <w:rPr>
          <w:rFonts w:ascii="Times New Roman" w:eastAsia="Times New Roman" w:hAnsi="Times New Roman" w:cs="Times New Roman"/>
          <w:color w:val="000000"/>
          <w:sz w:val="24"/>
          <w:szCs w:val="24"/>
          <w:lang w:val="en-CA"/>
        </w:rPr>
        <w:t xml:space="preserve"> in the literature </w:t>
      </w:r>
      <w:r w:rsidR="006011AF">
        <w:rPr>
          <w:rFonts w:ascii="Times New Roman" w:eastAsia="Times New Roman" w:hAnsi="Times New Roman" w:cs="Times New Roman"/>
          <w:color w:val="000000"/>
          <w:sz w:val="24"/>
          <w:szCs w:val="24"/>
          <w:lang w:val="en-CA"/>
        </w:rPr>
        <w:t xml:space="preserve">as they </w:t>
      </w:r>
      <w:r w:rsidR="00CF62DB" w:rsidRPr="00CF62DB">
        <w:rPr>
          <w:rFonts w:ascii="Times New Roman" w:eastAsia="Times New Roman" w:hAnsi="Times New Roman" w:cs="Times New Roman"/>
          <w:color w:val="000000"/>
          <w:sz w:val="24"/>
          <w:szCs w:val="24"/>
          <w:lang w:val="en-CA"/>
        </w:rPr>
        <w:t xml:space="preserve">capture the potential </w:t>
      </w:r>
      <w:r>
        <w:rPr>
          <w:rFonts w:ascii="Times New Roman" w:eastAsia="Times New Roman" w:hAnsi="Times New Roman" w:cs="Times New Roman"/>
          <w:color w:val="000000"/>
          <w:sz w:val="24"/>
          <w:szCs w:val="24"/>
          <w:lang w:val="en-CA"/>
        </w:rPr>
        <w:t xml:space="preserve">for </w:t>
      </w:r>
      <w:r w:rsidR="00CF62DB" w:rsidRPr="00CF62DB">
        <w:rPr>
          <w:rFonts w:ascii="Times New Roman" w:eastAsia="Times New Roman" w:hAnsi="Times New Roman" w:cs="Times New Roman"/>
          <w:color w:val="000000"/>
          <w:sz w:val="24"/>
          <w:szCs w:val="24"/>
          <w:lang w:val="en-CA"/>
        </w:rPr>
        <w:t xml:space="preserve">interaction </w:t>
      </w:r>
      <w:r>
        <w:rPr>
          <w:rFonts w:ascii="Times New Roman" w:eastAsia="Times New Roman" w:hAnsi="Times New Roman" w:cs="Times New Roman"/>
          <w:color w:val="000000"/>
          <w:sz w:val="24"/>
          <w:szCs w:val="24"/>
          <w:lang w:val="en-CA"/>
        </w:rPr>
        <w:t>of</w:t>
      </w:r>
      <w:r w:rsidR="00CF62DB" w:rsidRPr="00CF62DB">
        <w:rPr>
          <w:rFonts w:ascii="Times New Roman" w:eastAsia="Times New Roman" w:hAnsi="Times New Roman" w:cs="Times New Roman"/>
          <w:color w:val="000000"/>
          <w:sz w:val="24"/>
          <w:szCs w:val="24"/>
          <w:lang w:val="en-CA"/>
        </w:rPr>
        <w:t xml:space="preserve"> population at a location with opportunities</w:t>
      </w:r>
      <w:r>
        <w:rPr>
          <w:rFonts w:ascii="Times New Roman" w:eastAsia="Times New Roman" w:hAnsi="Times New Roman" w:cs="Times New Roman"/>
          <w:color w:val="000000"/>
          <w:sz w:val="24"/>
          <w:szCs w:val="24"/>
          <w:lang w:val="en-CA"/>
        </w:rPr>
        <w:t>,</w:t>
      </w:r>
      <w:r w:rsidR="00CF62DB" w:rsidRPr="00CF62DB">
        <w:rPr>
          <w:rFonts w:ascii="Times New Roman" w:eastAsia="Times New Roman" w:hAnsi="Times New Roman" w:cs="Times New Roman"/>
          <w:color w:val="000000"/>
          <w:sz w:val="24"/>
          <w:szCs w:val="24"/>
          <w:lang w:val="en-CA"/>
        </w:rPr>
        <w:t xml:space="preserve"> based on transportation systems and land-use.</w:t>
      </w:r>
      <w:r w:rsidR="00AC4E7B">
        <w:rPr>
          <w:rFonts w:ascii="Times New Roman" w:eastAsia="Times New Roman" w:hAnsi="Times New Roman" w:cs="Times New Roman"/>
          <w:color w:val="000000"/>
          <w:sz w:val="24"/>
          <w:szCs w:val="24"/>
          <w:lang w:val="en-CA"/>
        </w:rPr>
        <w:t xml:space="preserve"> </w:t>
      </w:r>
      <w:r w:rsidR="00EC2C68">
        <w:rPr>
          <w:rFonts w:ascii="Times New Roman" w:eastAsia="Times New Roman" w:hAnsi="Times New Roman" w:cs="Times New Roman"/>
          <w:color w:val="000000"/>
          <w:sz w:val="24"/>
          <w:szCs w:val="24"/>
          <w:lang w:val="en-CA"/>
        </w:rPr>
        <w:t>A variety of a</w:t>
      </w:r>
      <w:r w:rsidR="00AC4E7B">
        <w:rPr>
          <w:rFonts w:ascii="Times New Roman" w:eastAsia="Times New Roman" w:hAnsi="Times New Roman" w:cs="Times New Roman"/>
          <w:color w:val="000000"/>
          <w:sz w:val="24"/>
          <w:szCs w:val="24"/>
          <w:lang w:val="en-CA"/>
        </w:rPr>
        <w:t xml:space="preserve">ccessibility methods </w:t>
      </w:r>
      <w:r w:rsidR="0082756C">
        <w:rPr>
          <w:rFonts w:ascii="Times New Roman" w:eastAsia="Times New Roman" w:hAnsi="Times New Roman" w:cs="Times New Roman"/>
          <w:color w:val="000000"/>
          <w:sz w:val="24"/>
          <w:szCs w:val="24"/>
          <w:lang w:val="en-CA"/>
        </w:rPr>
        <w:t xml:space="preserve">have been </w:t>
      </w:r>
      <w:r w:rsidR="00EC2C68">
        <w:rPr>
          <w:rFonts w:ascii="Times New Roman" w:eastAsia="Times New Roman" w:hAnsi="Times New Roman" w:cs="Times New Roman"/>
          <w:color w:val="000000"/>
          <w:sz w:val="24"/>
          <w:szCs w:val="24"/>
          <w:lang w:val="en-CA"/>
        </w:rPr>
        <w:t>applied to answer specific research questions</w:t>
      </w:r>
      <w:r w:rsidR="003A32C9">
        <w:rPr>
          <w:rFonts w:ascii="Times New Roman" w:eastAsia="Times New Roman" w:hAnsi="Times New Roman" w:cs="Times New Roman"/>
          <w:color w:val="000000"/>
          <w:sz w:val="24"/>
          <w:szCs w:val="24"/>
          <w:lang w:val="en-CA"/>
        </w:rPr>
        <w:t>: many</w:t>
      </w:r>
      <w:r w:rsidR="00AC4E7B">
        <w:rPr>
          <w:rFonts w:ascii="Times New Roman" w:eastAsia="Times New Roman" w:hAnsi="Times New Roman" w:cs="Times New Roman"/>
          <w:color w:val="000000"/>
          <w:sz w:val="24"/>
          <w:szCs w:val="24"/>
          <w:lang w:val="en-CA"/>
        </w:rPr>
        <w:t xml:space="preserve"> </w:t>
      </w:r>
      <w:r w:rsidR="00EC2C68">
        <w:rPr>
          <w:rFonts w:ascii="Times New Roman" w:eastAsia="Times New Roman" w:hAnsi="Times New Roman" w:cs="Times New Roman"/>
          <w:color w:val="000000"/>
          <w:sz w:val="24"/>
          <w:szCs w:val="24"/>
          <w:lang w:val="en-CA"/>
        </w:rPr>
        <w:t>use</w:t>
      </w:r>
      <w:r w:rsidR="003A32C9">
        <w:rPr>
          <w:rFonts w:ascii="Times New Roman" w:eastAsia="Times New Roman" w:hAnsi="Times New Roman" w:cs="Times New Roman"/>
          <w:color w:val="000000"/>
          <w:sz w:val="24"/>
          <w:szCs w:val="24"/>
          <w:lang w:val="en-CA"/>
        </w:rPr>
        <w:t xml:space="preserve"> </w:t>
      </w:r>
      <w:r w:rsidR="0023000F">
        <w:rPr>
          <w:rFonts w:ascii="Times New Roman" w:eastAsia="Times New Roman" w:hAnsi="Times New Roman" w:cs="Times New Roman"/>
          <w:color w:val="000000"/>
          <w:sz w:val="24"/>
          <w:szCs w:val="24"/>
          <w:lang w:val="en-CA"/>
        </w:rPr>
        <w:t>the gravity-based accessibility mode</w:t>
      </w:r>
      <w:r w:rsidR="003A32C9">
        <w:rPr>
          <w:rFonts w:ascii="Times New Roman" w:eastAsia="Times New Roman" w:hAnsi="Times New Roman" w:cs="Times New Roman"/>
          <w:color w:val="000000"/>
          <w:sz w:val="24"/>
          <w:szCs w:val="24"/>
          <w:lang w:val="en-CA"/>
        </w:rPr>
        <w:t xml:space="preserve">l </w:t>
      </w:r>
      <w:r w:rsidR="0023000F">
        <w:rPr>
          <w:rFonts w:ascii="Times New Roman" w:eastAsia="Times New Roman" w:hAnsi="Times New Roman" w:cs="Times New Roman"/>
          <w:color w:val="000000"/>
          <w:sz w:val="24"/>
          <w:szCs w:val="24"/>
          <w:lang w:val="en-CA"/>
        </w:rPr>
        <w:t>proposed</w:t>
      </w:r>
      <w:r w:rsidR="00A87A5F">
        <w:rPr>
          <w:rFonts w:ascii="Times New Roman" w:eastAsia="Times New Roman" w:hAnsi="Times New Roman" w:cs="Times New Roman"/>
          <w:color w:val="000000"/>
          <w:sz w:val="24"/>
          <w:szCs w:val="24"/>
          <w:lang w:val="en-CA"/>
        </w:rPr>
        <w:t xml:space="preserve"> by (Hansen, 1959)</w:t>
      </w:r>
      <w:r w:rsidR="003A32C9">
        <w:rPr>
          <w:rFonts w:ascii="Times New Roman" w:eastAsia="Times New Roman" w:hAnsi="Times New Roman" w:cs="Times New Roman"/>
          <w:color w:val="000000"/>
          <w:sz w:val="24"/>
          <w:szCs w:val="24"/>
          <w:lang w:val="en-CA"/>
        </w:rPr>
        <w:t xml:space="preserve"> or some sort of modification (e.g., cumulative opportunity measure, two-step floating catchment approach (2SFCA)</w:t>
      </w:r>
      <w:r w:rsidR="008D0442">
        <w:rPr>
          <w:rFonts w:ascii="Times New Roman" w:eastAsia="Times New Roman" w:hAnsi="Times New Roman" w:cs="Times New Roman"/>
          <w:color w:val="000000"/>
          <w:sz w:val="24"/>
          <w:szCs w:val="24"/>
          <w:lang w:val="en-CA"/>
        </w:rPr>
        <w:t xml:space="preserve"> (Merlin &amp; Hu, 2017)</w:t>
      </w:r>
      <w:r w:rsidR="00812CFC">
        <w:rPr>
          <w:rFonts w:ascii="Times New Roman" w:eastAsia="Times New Roman" w:hAnsi="Times New Roman" w:cs="Times New Roman"/>
          <w:color w:val="000000"/>
          <w:sz w:val="24"/>
          <w:szCs w:val="24"/>
          <w:lang w:val="en-CA"/>
        </w:rPr>
        <w:t>)</w:t>
      </w:r>
      <w:r w:rsidR="00EC2C68">
        <w:rPr>
          <w:rFonts w:ascii="Times New Roman" w:eastAsia="Times New Roman" w:hAnsi="Times New Roman" w:cs="Times New Roman"/>
          <w:color w:val="000000"/>
          <w:sz w:val="24"/>
          <w:szCs w:val="24"/>
          <w:lang w:val="en-CA"/>
        </w:rPr>
        <w:t>. Many papers also</w:t>
      </w:r>
      <w:r w:rsidR="003A32C9">
        <w:rPr>
          <w:rFonts w:ascii="Times New Roman" w:eastAsia="Times New Roman" w:hAnsi="Times New Roman" w:cs="Times New Roman"/>
          <w:color w:val="000000"/>
          <w:sz w:val="24"/>
          <w:szCs w:val="24"/>
          <w:lang w:val="en-CA"/>
        </w:rPr>
        <w:t xml:space="preserve"> produce findings that can be translated into policy recommendations (e.g., prioritize the connectivity of </w:t>
      </w:r>
      <w:r w:rsidR="009A0B78">
        <w:rPr>
          <w:rFonts w:ascii="Times New Roman" w:eastAsia="Times New Roman" w:hAnsi="Times New Roman" w:cs="Times New Roman"/>
          <w:color w:val="000000"/>
          <w:sz w:val="24"/>
          <w:szCs w:val="24"/>
          <w:lang w:val="en-CA"/>
        </w:rPr>
        <w:t>transit systems</w:t>
      </w:r>
      <w:r w:rsidR="003A32C9">
        <w:rPr>
          <w:rFonts w:ascii="Times New Roman" w:eastAsia="Times New Roman" w:hAnsi="Times New Roman" w:cs="Times New Roman"/>
          <w:color w:val="000000"/>
          <w:sz w:val="24"/>
          <w:szCs w:val="24"/>
          <w:lang w:val="en-CA"/>
        </w:rPr>
        <w:t xml:space="preserve"> in </w:t>
      </w:r>
      <w:r w:rsidR="009A0B78">
        <w:rPr>
          <w:rFonts w:ascii="Times New Roman" w:eastAsia="Times New Roman" w:hAnsi="Times New Roman" w:cs="Times New Roman"/>
          <w:color w:val="000000"/>
          <w:sz w:val="24"/>
          <w:szCs w:val="24"/>
          <w:lang w:val="en-CA"/>
        </w:rPr>
        <w:t xml:space="preserve">disadvantaged </w:t>
      </w:r>
      <w:r w:rsidR="003A32C9">
        <w:rPr>
          <w:rFonts w:ascii="Times New Roman" w:eastAsia="Times New Roman" w:hAnsi="Times New Roman" w:cs="Times New Roman"/>
          <w:color w:val="000000"/>
          <w:sz w:val="24"/>
          <w:szCs w:val="24"/>
          <w:lang w:val="en-CA"/>
        </w:rPr>
        <w:t xml:space="preserve">neighbourhoods </w:t>
      </w:r>
      <w:r w:rsidR="00081CCD">
        <w:rPr>
          <w:rFonts w:ascii="Times New Roman" w:eastAsia="Times New Roman" w:hAnsi="Times New Roman" w:cs="Times New Roman"/>
          <w:color w:val="000000"/>
          <w:sz w:val="24"/>
          <w:szCs w:val="24"/>
          <w:lang w:val="en-CA"/>
        </w:rPr>
        <w:t xml:space="preserve">(Park et al., </w:t>
      </w:r>
      <w:r w:rsidR="009A0B78">
        <w:rPr>
          <w:rFonts w:ascii="Times New Roman" w:eastAsia="Times New Roman" w:hAnsi="Times New Roman" w:cs="Times New Roman"/>
          <w:color w:val="000000"/>
          <w:sz w:val="24"/>
          <w:szCs w:val="24"/>
          <w:lang w:val="en-CA"/>
        </w:rPr>
        <w:t>2021</w:t>
      </w:r>
      <w:r w:rsidR="003A32C9">
        <w:rPr>
          <w:rFonts w:ascii="Times New Roman" w:eastAsia="Times New Roman" w:hAnsi="Times New Roman" w:cs="Times New Roman"/>
          <w:color w:val="000000"/>
          <w:sz w:val="24"/>
          <w:szCs w:val="24"/>
          <w:lang w:val="en-CA"/>
        </w:rPr>
        <w:t>)</w:t>
      </w:r>
      <w:r w:rsidR="009A0B78">
        <w:rPr>
          <w:rFonts w:ascii="Times New Roman" w:eastAsia="Times New Roman" w:hAnsi="Times New Roman" w:cs="Times New Roman"/>
          <w:color w:val="000000"/>
          <w:sz w:val="24"/>
          <w:szCs w:val="24"/>
          <w:lang w:val="en-CA"/>
        </w:rPr>
        <w:t>)</w:t>
      </w:r>
      <w:r w:rsidR="003A32C9">
        <w:rPr>
          <w:rFonts w:ascii="Times New Roman" w:eastAsia="Times New Roman" w:hAnsi="Times New Roman" w:cs="Times New Roman"/>
          <w:color w:val="000000"/>
          <w:sz w:val="24"/>
          <w:szCs w:val="24"/>
          <w:lang w:val="en-CA"/>
        </w:rPr>
        <w:t xml:space="preserve">. </w:t>
      </w:r>
    </w:p>
    <w:p w14:paraId="5AA17417" w14:textId="6A823D3A" w:rsidR="00BA11F8" w:rsidRPr="00CF62DB" w:rsidRDefault="0096268E" w:rsidP="00FD1476">
      <w:pPr>
        <w:jc w:val="both"/>
        <w:rPr>
          <w:rFonts w:ascii="Times New Roman" w:eastAsia="Times New Roman" w:hAnsi="Times New Roman" w:cs="Times New Roman"/>
          <w:color w:val="000000"/>
          <w:sz w:val="24"/>
          <w:szCs w:val="24"/>
          <w:lang w:val="en-CA"/>
        </w:rPr>
      </w:pPr>
      <w:r>
        <w:rPr>
          <w:rFonts w:ascii="Times New Roman" w:eastAsia="Times New Roman" w:hAnsi="Times New Roman" w:cs="Times New Roman"/>
          <w:color w:val="000000"/>
          <w:sz w:val="24"/>
          <w:szCs w:val="24"/>
          <w:lang w:val="en-CA"/>
        </w:rPr>
        <w:t>S</w:t>
      </w:r>
      <w:r w:rsidR="00EC2C68">
        <w:rPr>
          <w:rFonts w:ascii="Times New Roman" w:eastAsia="Times New Roman" w:hAnsi="Times New Roman" w:cs="Times New Roman"/>
          <w:color w:val="000000"/>
          <w:sz w:val="24"/>
          <w:szCs w:val="24"/>
          <w:lang w:val="en-CA"/>
        </w:rPr>
        <w:t xml:space="preserve">patial </w:t>
      </w:r>
      <w:r w:rsidR="00BA11F8" w:rsidRPr="00CF62DB">
        <w:rPr>
          <w:rFonts w:ascii="Times New Roman" w:eastAsia="Times New Roman" w:hAnsi="Times New Roman" w:cs="Times New Roman"/>
          <w:color w:val="000000"/>
          <w:sz w:val="24"/>
          <w:szCs w:val="24"/>
          <w:lang w:val="en-CA"/>
        </w:rPr>
        <w:t xml:space="preserve">inequities </w:t>
      </w:r>
      <w:r>
        <w:rPr>
          <w:rFonts w:ascii="Times New Roman" w:eastAsia="Times New Roman" w:hAnsi="Times New Roman" w:cs="Times New Roman"/>
          <w:color w:val="000000"/>
          <w:sz w:val="24"/>
          <w:szCs w:val="24"/>
          <w:lang w:val="en-CA"/>
        </w:rPr>
        <w:t xml:space="preserve">often </w:t>
      </w:r>
      <w:r w:rsidR="00BA11F8" w:rsidRPr="00CF62DB">
        <w:rPr>
          <w:rFonts w:ascii="Times New Roman" w:eastAsia="Times New Roman" w:hAnsi="Times New Roman" w:cs="Times New Roman"/>
          <w:color w:val="000000"/>
          <w:sz w:val="24"/>
          <w:szCs w:val="24"/>
          <w:lang w:val="en-CA"/>
        </w:rPr>
        <w:t>arise from differences by mode type (e.g., commuting using a car as opposed to transit). However, methods implemented in current multi-modal accessibility literature are lacking</w:t>
      </w:r>
      <w:r w:rsidR="003A32C9">
        <w:rPr>
          <w:rFonts w:ascii="Times New Roman" w:eastAsia="Times New Roman" w:hAnsi="Times New Roman" w:cs="Times New Roman"/>
          <w:color w:val="000000"/>
          <w:sz w:val="24"/>
          <w:szCs w:val="24"/>
          <w:lang w:val="en-CA"/>
        </w:rPr>
        <w:t xml:space="preserve"> as a result of obfuscated interpretation</w:t>
      </w:r>
      <w:r w:rsidR="00EC2C68">
        <w:rPr>
          <w:rFonts w:ascii="Times New Roman" w:eastAsia="Times New Roman" w:hAnsi="Times New Roman" w:cs="Times New Roman"/>
          <w:color w:val="000000"/>
          <w:sz w:val="24"/>
          <w:szCs w:val="24"/>
          <w:lang w:val="en-CA"/>
        </w:rPr>
        <w:t xml:space="preserve"> </w:t>
      </w:r>
      <w:r>
        <w:rPr>
          <w:rFonts w:ascii="Times New Roman" w:eastAsia="Times New Roman" w:hAnsi="Times New Roman" w:cs="Times New Roman"/>
          <w:color w:val="000000"/>
          <w:sz w:val="24"/>
          <w:szCs w:val="24"/>
          <w:lang w:val="en-CA"/>
        </w:rPr>
        <w:t>as demonstrated</w:t>
      </w:r>
      <w:r w:rsidR="0090104A">
        <w:rPr>
          <w:rFonts w:ascii="Times New Roman" w:eastAsia="Times New Roman" w:hAnsi="Times New Roman" w:cs="Times New Roman"/>
          <w:color w:val="000000"/>
          <w:sz w:val="24"/>
          <w:szCs w:val="24"/>
          <w:lang w:val="en-CA"/>
        </w:rPr>
        <w:t xml:space="preserve"> </w:t>
      </w:r>
      <w:r>
        <w:rPr>
          <w:rFonts w:ascii="Times New Roman" w:eastAsia="Times New Roman" w:hAnsi="Times New Roman" w:cs="Times New Roman"/>
          <w:color w:val="000000"/>
          <w:sz w:val="24"/>
          <w:szCs w:val="24"/>
          <w:lang w:val="en-CA"/>
        </w:rPr>
        <w:t>by</w:t>
      </w:r>
      <w:r w:rsidR="0090104A">
        <w:rPr>
          <w:rFonts w:ascii="Times New Roman" w:eastAsia="Times New Roman" w:hAnsi="Times New Roman" w:cs="Times New Roman"/>
          <w:color w:val="000000"/>
          <w:sz w:val="24"/>
          <w:szCs w:val="24"/>
          <w:lang w:val="en-CA"/>
        </w:rPr>
        <w:t xml:space="preserve"> Soukhov et al., 2023</w:t>
      </w:r>
      <w:r w:rsidR="003A32C9">
        <w:rPr>
          <w:rFonts w:ascii="Times New Roman" w:eastAsia="Times New Roman" w:hAnsi="Times New Roman" w:cs="Times New Roman"/>
          <w:color w:val="000000"/>
          <w:sz w:val="24"/>
          <w:szCs w:val="24"/>
          <w:lang w:val="en-CA"/>
        </w:rPr>
        <w:t xml:space="preserve">. </w:t>
      </w:r>
      <w:r w:rsidR="003A32C9" w:rsidRPr="003A32C9">
        <w:rPr>
          <w:rFonts w:ascii="Times New Roman" w:eastAsia="Times New Roman" w:hAnsi="Times New Roman" w:cs="Times New Roman"/>
          <w:color w:val="000000"/>
          <w:sz w:val="24"/>
          <w:szCs w:val="24"/>
          <w:lang w:val="en-CA"/>
        </w:rPr>
        <w:t xml:space="preserve">To illustrate, Hansen-type accessibility is </w:t>
      </w:r>
      <w:r w:rsidR="003A32C9">
        <w:rPr>
          <w:rFonts w:ascii="Times New Roman" w:eastAsia="Times New Roman" w:hAnsi="Times New Roman" w:cs="Times New Roman"/>
          <w:color w:val="000000"/>
          <w:sz w:val="24"/>
          <w:szCs w:val="24"/>
          <w:lang w:val="en-CA"/>
        </w:rPr>
        <w:t xml:space="preserve">calculated for a population at </w:t>
      </w:r>
      <w:r w:rsidR="00E708B2">
        <w:rPr>
          <w:rFonts w:ascii="Times New Roman" w:eastAsia="Times New Roman" w:hAnsi="Times New Roman" w:cs="Times New Roman"/>
          <w:color w:val="000000"/>
          <w:sz w:val="24"/>
          <w:szCs w:val="24"/>
          <w:lang w:val="en-CA"/>
        </w:rPr>
        <w:t>an origin of 10,000 jobs and this</w:t>
      </w:r>
      <w:r w:rsidR="003A32C9">
        <w:rPr>
          <w:rFonts w:ascii="Times New Roman" w:eastAsia="Times New Roman" w:hAnsi="Times New Roman" w:cs="Times New Roman"/>
          <w:color w:val="000000"/>
          <w:sz w:val="24"/>
          <w:szCs w:val="24"/>
          <w:lang w:val="en-CA"/>
        </w:rPr>
        <w:t xml:space="preserve"> value </w:t>
      </w:r>
      <w:r w:rsidR="003A32C9" w:rsidRPr="003A32C9">
        <w:rPr>
          <w:rFonts w:ascii="Times New Roman" w:eastAsia="Times New Roman" w:hAnsi="Times New Roman" w:cs="Times New Roman"/>
          <w:color w:val="000000"/>
          <w:sz w:val="24"/>
          <w:szCs w:val="24"/>
          <w:lang w:val="en-CA"/>
        </w:rPr>
        <w:t xml:space="preserve">represents how many opportunities can </w:t>
      </w:r>
      <w:r w:rsidR="003A32C9">
        <w:rPr>
          <w:rFonts w:ascii="Times New Roman" w:eastAsia="Times New Roman" w:hAnsi="Times New Roman" w:cs="Times New Roman"/>
          <w:color w:val="000000"/>
          <w:sz w:val="24"/>
          <w:szCs w:val="24"/>
          <w:lang w:val="en-CA"/>
        </w:rPr>
        <w:t>be potentially interacted with</w:t>
      </w:r>
      <w:r w:rsidR="003A32C9" w:rsidRPr="003A32C9">
        <w:rPr>
          <w:rFonts w:ascii="Times New Roman" w:eastAsia="Times New Roman" w:hAnsi="Times New Roman" w:cs="Times New Roman"/>
          <w:color w:val="000000"/>
          <w:sz w:val="24"/>
          <w:szCs w:val="24"/>
          <w:lang w:val="en-CA"/>
        </w:rPr>
        <w:t>. But what does it mean for</w:t>
      </w:r>
      <w:r w:rsidR="003A32C9">
        <w:rPr>
          <w:rFonts w:ascii="Times New Roman" w:eastAsia="Times New Roman" w:hAnsi="Times New Roman" w:cs="Times New Roman"/>
          <w:color w:val="000000"/>
          <w:sz w:val="24"/>
          <w:szCs w:val="24"/>
          <w:lang w:val="en-CA"/>
        </w:rPr>
        <w:t xml:space="preserve"> transit-commuting</w:t>
      </w:r>
      <w:r w:rsidR="003A32C9" w:rsidRPr="003A32C9">
        <w:rPr>
          <w:rFonts w:ascii="Times New Roman" w:eastAsia="Times New Roman" w:hAnsi="Times New Roman" w:cs="Times New Roman"/>
          <w:color w:val="000000"/>
          <w:sz w:val="24"/>
          <w:szCs w:val="24"/>
          <w:lang w:val="en-CA"/>
        </w:rPr>
        <w:t xml:space="preserve"> </w:t>
      </w:r>
      <w:r w:rsidR="003A32C9">
        <w:rPr>
          <w:rFonts w:ascii="Times New Roman" w:eastAsia="Times New Roman" w:hAnsi="Times New Roman" w:cs="Times New Roman"/>
          <w:color w:val="000000"/>
          <w:sz w:val="24"/>
          <w:szCs w:val="24"/>
          <w:lang w:val="en-CA"/>
        </w:rPr>
        <w:t xml:space="preserve">population and car-commuting population in this </w:t>
      </w:r>
      <w:r w:rsidR="00E708B2">
        <w:rPr>
          <w:rFonts w:ascii="Times New Roman" w:eastAsia="Times New Roman" w:hAnsi="Times New Roman" w:cs="Times New Roman"/>
          <w:color w:val="000000"/>
          <w:sz w:val="24"/>
          <w:szCs w:val="24"/>
          <w:lang w:val="en-CA"/>
        </w:rPr>
        <w:t xml:space="preserve">origin? The car-commuting mode may be able to access more opportunities and this access removes opportunity access for the transit-commuting mode. The different travel costs between modes creates competition in access to opportunities that conventional accessibility measures do not capture. </w:t>
      </w:r>
    </w:p>
    <w:p w14:paraId="7B20D438" w14:textId="7A67503E" w:rsidR="00BA11F8" w:rsidRPr="00CF62DB" w:rsidRDefault="00E708B2" w:rsidP="00FD1476">
      <w:pPr>
        <w:jc w:val="both"/>
        <w:rPr>
          <w:rFonts w:ascii="Times New Roman" w:eastAsia="Times New Roman" w:hAnsi="Times New Roman" w:cs="Times New Roman"/>
          <w:color w:val="000000"/>
          <w:sz w:val="24"/>
          <w:szCs w:val="24"/>
          <w:lang w:val="en-CA"/>
        </w:rPr>
      </w:pPr>
      <w:r>
        <w:rPr>
          <w:rFonts w:ascii="Times New Roman" w:eastAsia="Times New Roman" w:hAnsi="Times New Roman" w:cs="Times New Roman"/>
          <w:color w:val="000000"/>
          <w:sz w:val="24"/>
          <w:szCs w:val="24"/>
          <w:lang w:val="en-CA"/>
        </w:rPr>
        <w:t>In this spirit, t</w:t>
      </w:r>
      <w:r w:rsidR="00BA11F8" w:rsidRPr="00CF62DB">
        <w:rPr>
          <w:rFonts w:ascii="Times New Roman" w:eastAsia="Times New Roman" w:hAnsi="Times New Roman" w:cs="Times New Roman"/>
          <w:color w:val="000000"/>
          <w:sz w:val="24"/>
          <w:szCs w:val="24"/>
          <w:lang w:val="en-CA"/>
        </w:rPr>
        <w:t xml:space="preserve">his paper </w:t>
      </w:r>
      <w:r w:rsidR="0096268E">
        <w:rPr>
          <w:rFonts w:ascii="Times New Roman" w:eastAsia="Times New Roman" w:hAnsi="Times New Roman" w:cs="Times New Roman"/>
          <w:color w:val="000000"/>
          <w:sz w:val="24"/>
          <w:szCs w:val="24"/>
          <w:lang w:val="en-CA"/>
        </w:rPr>
        <w:t>proposes</w:t>
      </w:r>
      <w:r w:rsidR="00BA11F8" w:rsidRPr="00CF62DB">
        <w:rPr>
          <w:rFonts w:ascii="Times New Roman" w:eastAsia="Times New Roman" w:hAnsi="Times New Roman" w:cs="Times New Roman"/>
          <w:color w:val="000000"/>
          <w:sz w:val="24"/>
          <w:szCs w:val="24"/>
          <w:lang w:val="en-CA"/>
        </w:rPr>
        <w:t xml:space="preserve"> an extension of spatial availability</w:t>
      </w:r>
      <w:r w:rsidR="008D0442">
        <w:rPr>
          <w:rFonts w:ascii="Times New Roman" w:eastAsia="Times New Roman" w:hAnsi="Times New Roman" w:cs="Times New Roman"/>
          <w:color w:val="000000"/>
          <w:sz w:val="24"/>
          <w:szCs w:val="24"/>
          <w:lang w:val="en-CA"/>
        </w:rPr>
        <w:t xml:space="preserve"> (Soukhov et al., 202</w:t>
      </w:r>
      <w:r w:rsidR="00241354">
        <w:rPr>
          <w:rFonts w:ascii="Times New Roman" w:eastAsia="Times New Roman" w:hAnsi="Times New Roman" w:cs="Times New Roman"/>
          <w:color w:val="000000"/>
          <w:sz w:val="24"/>
          <w:szCs w:val="24"/>
          <w:lang w:val="en-CA"/>
        </w:rPr>
        <w:t>3</w:t>
      </w:r>
      <w:r w:rsidR="008D0442">
        <w:rPr>
          <w:rFonts w:ascii="Times New Roman" w:eastAsia="Times New Roman" w:hAnsi="Times New Roman" w:cs="Times New Roman"/>
          <w:color w:val="000000"/>
          <w:sz w:val="24"/>
          <w:szCs w:val="24"/>
          <w:lang w:val="en-CA"/>
        </w:rPr>
        <w:t>)</w:t>
      </w:r>
      <w:r w:rsidR="00BA11F8" w:rsidRPr="00CF62DB">
        <w:rPr>
          <w:rFonts w:ascii="Times New Roman" w:eastAsia="Times New Roman" w:hAnsi="Times New Roman" w:cs="Times New Roman"/>
          <w:color w:val="000000"/>
          <w:sz w:val="24"/>
          <w:szCs w:val="24"/>
          <w:lang w:val="en-CA"/>
        </w:rPr>
        <w:t>, a singly-constrained competitive accessibility measure, for the context of multi-</w:t>
      </w:r>
      <w:r w:rsidR="00BA11F8" w:rsidRPr="00CF62DB">
        <w:rPr>
          <w:rFonts w:ascii="Times New Roman" w:eastAsia="Times New Roman" w:hAnsi="Times New Roman" w:cs="Times New Roman"/>
          <w:color w:val="000000"/>
          <w:sz w:val="24"/>
          <w:szCs w:val="24"/>
          <w:lang w:val="en-CA"/>
        </w:rPr>
        <w:lastRenderedPageBreak/>
        <w:t xml:space="preserve">modal accessibility analysis. We </w:t>
      </w:r>
      <w:r w:rsidR="0096268E">
        <w:rPr>
          <w:rFonts w:ascii="Times New Roman" w:eastAsia="Times New Roman" w:hAnsi="Times New Roman" w:cs="Times New Roman"/>
          <w:color w:val="000000"/>
          <w:sz w:val="24"/>
          <w:szCs w:val="24"/>
          <w:lang w:val="en-CA"/>
        </w:rPr>
        <w:t>propose to</w:t>
      </w:r>
      <w:r w:rsidR="00BA11F8" w:rsidRPr="00CF62DB">
        <w:rPr>
          <w:rFonts w:ascii="Times New Roman" w:eastAsia="Times New Roman" w:hAnsi="Times New Roman" w:cs="Times New Roman"/>
          <w:color w:val="000000"/>
          <w:sz w:val="24"/>
          <w:szCs w:val="24"/>
          <w:lang w:val="en-CA"/>
        </w:rPr>
        <w:t xml:space="preserve"> illustrate the features of spatial availability that lend itself to multi-modal analysis. We then </w:t>
      </w:r>
      <w:r w:rsidR="0096268E">
        <w:rPr>
          <w:rFonts w:ascii="Times New Roman" w:eastAsia="Times New Roman" w:hAnsi="Times New Roman" w:cs="Times New Roman"/>
          <w:color w:val="000000"/>
          <w:sz w:val="24"/>
          <w:szCs w:val="24"/>
          <w:lang w:val="en-CA"/>
        </w:rPr>
        <w:t xml:space="preserve">propose </w:t>
      </w:r>
      <w:r w:rsidR="00BA11F8" w:rsidRPr="00CF62DB">
        <w:rPr>
          <w:rFonts w:ascii="Times New Roman" w:eastAsia="Times New Roman" w:hAnsi="Times New Roman" w:cs="Times New Roman"/>
          <w:color w:val="000000"/>
          <w:sz w:val="24"/>
          <w:szCs w:val="24"/>
          <w:lang w:val="en-CA"/>
        </w:rPr>
        <w:t>demonstrate its use on the case study of Low Emission Zones in Madrid (Spain) and highlight how this policy intervention changes the accessibility of populations using different modes. In summary, spatial availability can be used to create and interpret multi-modal policy intervention scenarios unlike previous</w:t>
      </w:r>
      <w:r w:rsidR="0090104A">
        <w:rPr>
          <w:rFonts w:ascii="Times New Roman" w:eastAsia="Times New Roman" w:hAnsi="Times New Roman" w:cs="Times New Roman"/>
          <w:color w:val="000000"/>
          <w:sz w:val="24"/>
          <w:szCs w:val="24"/>
          <w:lang w:val="en-CA"/>
        </w:rPr>
        <w:t xml:space="preserve"> accessibility</w:t>
      </w:r>
      <w:r w:rsidR="00BA11F8" w:rsidRPr="00CF62DB">
        <w:rPr>
          <w:rFonts w:ascii="Times New Roman" w:eastAsia="Times New Roman" w:hAnsi="Times New Roman" w:cs="Times New Roman"/>
          <w:color w:val="000000"/>
          <w:sz w:val="24"/>
          <w:szCs w:val="24"/>
          <w:lang w:val="en-CA"/>
        </w:rPr>
        <w:t xml:space="preserve"> methods: this creation and interpretation can help regions envision a more sustainable and equitable access-to-opportunity landscape.</w:t>
      </w:r>
    </w:p>
    <w:p w14:paraId="305ABF07" w14:textId="3F1A611A" w:rsidR="00BA11F8" w:rsidRDefault="00BA11F8" w:rsidP="00E708B2">
      <w:pPr>
        <w:pStyle w:val="ListParagraph"/>
        <w:ind w:left="0"/>
        <w:rPr>
          <w:sz w:val="24"/>
          <w:szCs w:val="24"/>
        </w:rPr>
      </w:pPr>
      <w:r w:rsidRPr="00241354">
        <w:rPr>
          <w:rFonts w:eastAsia="Times New Roman" w:cs="Times New Roman"/>
          <w:b/>
          <w:bCs/>
          <w:color w:val="000000"/>
          <w:sz w:val="24"/>
          <w:szCs w:val="24"/>
        </w:rPr>
        <w:t>Keywords</w:t>
      </w:r>
      <w:r w:rsidRPr="00CF62DB">
        <w:rPr>
          <w:rFonts w:eastAsia="Times New Roman" w:cs="Times New Roman"/>
          <w:color w:val="000000"/>
          <w:sz w:val="24"/>
          <w:szCs w:val="24"/>
        </w:rPr>
        <w:t>:</w:t>
      </w:r>
      <w:r w:rsidRPr="00CF62DB">
        <w:rPr>
          <w:sz w:val="24"/>
          <w:szCs w:val="24"/>
        </w:rPr>
        <w:t xml:space="preserve"> multi-modal accessibility, equity analysis, policy scenario analysis</w:t>
      </w:r>
    </w:p>
    <w:p w14:paraId="720BF6D0" w14:textId="77777777" w:rsidR="00E708B2" w:rsidRPr="00CF62DB" w:rsidRDefault="00E708B2" w:rsidP="00E708B2">
      <w:pPr>
        <w:pStyle w:val="ListParagraph"/>
        <w:ind w:left="0"/>
        <w:rPr>
          <w:sz w:val="24"/>
          <w:szCs w:val="24"/>
        </w:rPr>
      </w:pPr>
    </w:p>
    <w:p w14:paraId="72F61E9B" w14:textId="580C95F0" w:rsidR="003401D3" w:rsidRPr="0090104A" w:rsidRDefault="003401D3">
      <w:pPr>
        <w:rPr>
          <w:rFonts w:ascii="Times New Roman" w:hAnsi="Times New Roman" w:cs="Times New Roman"/>
          <w:b/>
          <w:bCs/>
          <w:sz w:val="24"/>
          <w:szCs w:val="24"/>
          <w:lang w:val="en-CA"/>
        </w:rPr>
      </w:pPr>
      <w:r w:rsidRPr="0090104A">
        <w:rPr>
          <w:rFonts w:ascii="Times New Roman" w:hAnsi="Times New Roman" w:cs="Times New Roman"/>
          <w:b/>
          <w:bCs/>
          <w:sz w:val="24"/>
          <w:szCs w:val="24"/>
          <w:lang w:val="en-CA"/>
        </w:rPr>
        <w:t>REFERENCES</w:t>
      </w:r>
    </w:p>
    <w:p w14:paraId="75E0F3AC" w14:textId="7F87392E" w:rsidR="00E76E65" w:rsidRPr="0096268E" w:rsidRDefault="00E76E65" w:rsidP="0090104A">
      <w:pPr>
        <w:spacing w:after="0" w:line="23" w:lineRule="atLeast"/>
        <w:ind w:hanging="480"/>
        <w:rPr>
          <w:rFonts w:ascii="Times New Roman" w:eastAsia="Times New Roman" w:hAnsi="Times New Roman" w:cs="Times New Roman"/>
          <w:sz w:val="24"/>
          <w:szCs w:val="24"/>
          <w:lang w:val="es-MX" w:eastAsia="en-CA"/>
        </w:rPr>
      </w:pPr>
      <w:r w:rsidRPr="00E76E65">
        <w:rPr>
          <w:rFonts w:ascii="Times New Roman" w:eastAsia="Times New Roman" w:hAnsi="Times New Roman" w:cs="Times New Roman"/>
          <w:sz w:val="24"/>
          <w:szCs w:val="24"/>
          <w:lang w:val="en-CA" w:eastAsia="en-CA"/>
        </w:rPr>
        <w:t xml:space="preserve">Hansen, W. G. (1959). How Accessibility Shapes Land Use. </w:t>
      </w:r>
      <w:r w:rsidRPr="00E76E65">
        <w:rPr>
          <w:rFonts w:ascii="Times New Roman" w:eastAsia="Times New Roman" w:hAnsi="Times New Roman" w:cs="Times New Roman"/>
          <w:i/>
          <w:iCs/>
          <w:sz w:val="24"/>
          <w:szCs w:val="24"/>
          <w:lang w:val="en-CA" w:eastAsia="en-CA"/>
        </w:rPr>
        <w:t>Journal of the American Institute of Planners</w:t>
      </w:r>
      <w:r w:rsidRPr="00E76E65">
        <w:rPr>
          <w:rFonts w:ascii="Times New Roman" w:eastAsia="Times New Roman" w:hAnsi="Times New Roman" w:cs="Times New Roman"/>
          <w:sz w:val="24"/>
          <w:szCs w:val="24"/>
          <w:lang w:val="en-CA" w:eastAsia="en-CA"/>
        </w:rPr>
        <w:t xml:space="preserve">, </w:t>
      </w:r>
      <w:r w:rsidRPr="00E76E65">
        <w:rPr>
          <w:rFonts w:ascii="Times New Roman" w:eastAsia="Times New Roman" w:hAnsi="Times New Roman" w:cs="Times New Roman"/>
          <w:i/>
          <w:iCs/>
          <w:sz w:val="24"/>
          <w:szCs w:val="24"/>
          <w:lang w:val="en-CA" w:eastAsia="en-CA"/>
        </w:rPr>
        <w:t>25</w:t>
      </w:r>
      <w:r w:rsidRPr="00E76E65">
        <w:rPr>
          <w:rFonts w:ascii="Times New Roman" w:eastAsia="Times New Roman" w:hAnsi="Times New Roman" w:cs="Times New Roman"/>
          <w:sz w:val="24"/>
          <w:szCs w:val="24"/>
          <w:lang w:val="en-CA" w:eastAsia="en-CA"/>
        </w:rPr>
        <w:t xml:space="preserve">(2), 73–76. </w:t>
      </w:r>
      <w:hyperlink r:id="rId4" w:history="1">
        <w:r w:rsidRPr="0096268E">
          <w:rPr>
            <w:rFonts w:ascii="Times New Roman" w:eastAsia="Times New Roman" w:hAnsi="Times New Roman" w:cs="Times New Roman"/>
            <w:color w:val="0000FF"/>
            <w:sz w:val="24"/>
            <w:szCs w:val="24"/>
            <w:u w:val="single"/>
            <w:lang w:val="es-MX" w:eastAsia="en-CA"/>
          </w:rPr>
          <w:t>https://doi.org/10.1080/01944365908978307</w:t>
        </w:r>
      </w:hyperlink>
    </w:p>
    <w:p w14:paraId="361B2135" w14:textId="34FD0C8F" w:rsidR="003401D3" w:rsidRDefault="003401D3" w:rsidP="0090104A">
      <w:pPr>
        <w:spacing w:after="0" w:line="23" w:lineRule="atLeast"/>
        <w:ind w:hanging="480"/>
        <w:rPr>
          <w:rFonts w:ascii="Times New Roman" w:eastAsia="Times New Roman" w:hAnsi="Times New Roman" w:cs="Times New Roman"/>
          <w:sz w:val="24"/>
          <w:szCs w:val="24"/>
          <w:lang w:val="en-CA" w:eastAsia="en-CA"/>
        </w:rPr>
      </w:pPr>
      <w:r w:rsidRPr="0096268E">
        <w:rPr>
          <w:rFonts w:ascii="Times New Roman" w:eastAsia="Times New Roman" w:hAnsi="Times New Roman" w:cs="Times New Roman"/>
          <w:sz w:val="24"/>
          <w:szCs w:val="24"/>
          <w:lang w:val="es-MX" w:eastAsia="en-CA"/>
        </w:rPr>
        <w:t xml:space="preserve">Iglesias, V., </w:t>
      </w:r>
      <w:proofErr w:type="spellStart"/>
      <w:r w:rsidRPr="0096268E">
        <w:rPr>
          <w:rFonts w:ascii="Times New Roman" w:eastAsia="Times New Roman" w:hAnsi="Times New Roman" w:cs="Times New Roman"/>
          <w:sz w:val="24"/>
          <w:szCs w:val="24"/>
          <w:lang w:val="es-MX" w:eastAsia="en-CA"/>
        </w:rPr>
        <w:t>Giraldez</w:t>
      </w:r>
      <w:proofErr w:type="spellEnd"/>
      <w:r w:rsidRPr="0096268E">
        <w:rPr>
          <w:rFonts w:ascii="Times New Roman" w:eastAsia="Times New Roman" w:hAnsi="Times New Roman" w:cs="Times New Roman"/>
          <w:sz w:val="24"/>
          <w:szCs w:val="24"/>
          <w:lang w:val="es-MX" w:eastAsia="en-CA"/>
        </w:rPr>
        <w:t>, F., Tiznado-</w:t>
      </w:r>
      <w:proofErr w:type="spellStart"/>
      <w:r w:rsidRPr="0096268E">
        <w:rPr>
          <w:rFonts w:ascii="Times New Roman" w:eastAsia="Times New Roman" w:hAnsi="Times New Roman" w:cs="Times New Roman"/>
          <w:sz w:val="24"/>
          <w:szCs w:val="24"/>
          <w:lang w:val="es-MX" w:eastAsia="en-CA"/>
        </w:rPr>
        <w:t>Aitken</w:t>
      </w:r>
      <w:proofErr w:type="spellEnd"/>
      <w:r w:rsidRPr="0096268E">
        <w:rPr>
          <w:rFonts w:ascii="Times New Roman" w:eastAsia="Times New Roman" w:hAnsi="Times New Roman" w:cs="Times New Roman"/>
          <w:sz w:val="24"/>
          <w:szCs w:val="24"/>
          <w:lang w:val="es-MX" w:eastAsia="en-CA"/>
        </w:rPr>
        <w:t xml:space="preserve">, I., &amp; Muñoz, J. C. (2019). </w:t>
      </w:r>
      <w:r w:rsidRPr="003401D3">
        <w:rPr>
          <w:rFonts w:ascii="Times New Roman" w:eastAsia="Times New Roman" w:hAnsi="Times New Roman" w:cs="Times New Roman"/>
          <w:sz w:val="24"/>
          <w:szCs w:val="24"/>
          <w:lang w:val="en-CA" w:eastAsia="en-CA"/>
        </w:rPr>
        <w:t xml:space="preserve">How Uneven is the Urban Mobility Playing Field? Inequalities among Socioeconomic Groups in Santiago De Chile. </w:t>
      </w:r>
      <w:r w:rsidRPr="003401D3">
        <w:rPr>
          <w:rFonts w:ascii="Times New Roman" w:eastAsia="Times New Roman" w:hAnsi="Times New Roman" w:cs="Times New Roman"/>
          <w:i/>
          <w:iCs/>
          <w:sz w:val="24"/>
          <w:szCs w:val="24"/>
          <w:lang w:val="en-CA" w:eastAsia="en-CA"/>
        </w:rPr>
        <w:t>Transportation Research Record</w:t>
      </w:r>
      <w:r w:rsidRPr="003401D3">
        <w:rPr>
          <w:rFonts w:ascii="Times New Roman" w:eastAsia="Times New Roman" w:hAnsi="Times New Roman" w:cs="Times New Roman"/>
          <w:sz w:val="24"/>
          <w:szCs w:val="24"/>
          <w:lang w:val="en-CA" w:eastAsia="en-CA"/>
        </w:rPr>
        <w:t xml:space="preserve">, </w:t>
      </w:r>
      <w:r w:rsidRPr="003401D3">
        <w:rPr>
          <w:rFonts w:ascii="Times New Roman" w:eastAsia="Times New Roman" w:hAnsi="Times New Roman" w:cs="Times New Roman"/>
          <w:i/>
          <w:iCs/>
          <w:sz w:val="24"/>
          <w:szCs w:val="24"/>
          <w:lang w:val="en-CA" w:eastAsia="en-CA"/>
        </w:rPr>
        <w:t>2673</w:t>
      </w:r>
      <w:r w:rsidRPr="003401D3">
        <w:rPr>
          <w:rFonts w:ascii="Times New Roman" w:eastAsia="Times New Roman" w:hAnsi="Times New Roman" w:cs="Times New Roman"/>
          <w:sz w:val="24"/>
          <w:szCs w:val="24"/>
          <w:lang w:val="en-CA" w:eastAsia="en-CA"/>
        </w:rPr>
        <w:t xml:space="preserve">(11), 59–70. </w:t>
      </w:r>
      <w:hyperlink r:id="rId5" w:history="1">
        <w:r w:rsidRPr="003401D3">
          <w:rPr>
            <w:rFonts w:ascii="Times New Roman" w:eastAsia="Times New Roman" w:hAnsi="Times New Roman" w:cs="Times New Roman"/>
            <w:color w:val="0000FF"/>
            <w:sz w:val="24"/>
            <w:szCs w:val="24"/>
            <w:u w:val="single"/>
            <w:lang w:val="en-CA" w:eastAsia="en-CA"/>
          </w:rPr>
          <w:t>https://doi.org/10.1177/0361198119849588</w:t>
        </w:r>
      </w:hyperlink>
    </w:p>
    <w:p w14:paraId="6AD78E5B" w14:textId="0C504F54" w:rsidR="008D0442" w:rsidRDefault="008D0442" w:rsidP="0090104A">
      <w:pPr>
        <w:spacing w:after="0" w:line="23" w:lineRule="atLeast"/>
        <w:ind w:hanging="480"/>
        <w:rPr>
          <w:rFonts w:ascii="Times New Roman" w:eastAsia="Times New Roman" w:hAnsi="Times New Roman" w:cs="Times New Roman"/>
          <w:sz w:val="24"/>
          <w:szCs w:val="24"/>
          <w:lang w:val="en-CA" w:eastAsia="en-CA"/>
        </w:rPr>
      </w:pPr>
      <w:r w:rsidRPr="008D0442">
        <w:rPr>
          <w:rFonts w:ascii="Times New Roman" w:eastAsia="Times New Roman" w:hAnsi="Times New Roman" w:cs="Times New Roman"/>
          <w:sz w:val="24"/>
          <w:szCs w:val="24"/>
          <w:lang w:val="en-CA" w:eastAsia="en-CA"/>
        </w:rPr>
        <w:t xml:space="preserve">Merlin, L. A., &amp; Hu, L. (2017). Does competition matter in measures of job accessibility? Explaining employment in Los Angeles. </w:t>
      </w:r>
      <w:r w:rsidRPr="008D0442">
        <w:rPr>
          <w:rFonts w:ascii="Times New Roman" w:eastAsia="Times New Roman" w:hAnsi="Times New Roman" w:cs="Times New Roman"/>
          <w:i/>
          <w:iCs/>
          <w:sz w:val="24"/>
          <w:szCs w:val="24"/>
          <w:lang w:val="en-CA" w:eastAsia="en-CA"/>
        </w:rPr>
        <w:t>Journal of Transport Geography</w:t>
      </w:r>
      <w:r w:rsidRPr="008D0442">
        <w:rPr>
          <w:rFonts w:ascii="Times New Roman" w:eastAsia="Times New Roman" w:hAnsi="Times New Roman" w:cs="Times New Roman"/>
          <w:sz w:val="24"/>
          <w:szCs w:val="24"/>
          <w:lang w:val="en-CA" w:eastAsia="en-CA"/>
        </w:rPr>
        <w:t xml:space="preserve">, </w:t>
      </w:r>
      <w:r w:rsidRPr="008D0442">
        <w:rPr>
          <w:rFonts w:ascii="Times New Roman" w:eastAsia="Times New Roman" w:hAnsi="Times New Roman" w:cs="Times New Roman"/>
          <w:i/>
          <w:iCs/>
          <w:sz w:val="24"/>
          <w:szCs w:val="24"/>
          <w:lang w:val="en-CA" w:eastAsia="en-CA"/>
        </w:rPr>
        <w:t>64</w:t>
      </w:r>
      <w:r w:rsidRPr="008D0442">
        <w:rPr>
          <w:rFonts w:ascii="Times New Roman" w:eastAsia="Times New Roman" w:hAnsi="Times New Roman" w:cs="Times New Roman"/>
          <w:sz w:val="24"/>
          <w:szCs w:val="24"/>
          <w:lang w:val="en-CA" w:eastAsia="en-CA"/>
        </w:rPr>
        <w:t xml:space="preserve">, 77–88. </w:t>
      </w:r>
      <w:hyperlink r:id="rId6" w:history="1">
        <w:r w:rsidRPr="008D0442">
          <w:rPr>
            <w:rFonts w:ascii="Times New Roman" w:eastAsia="Times New Roman" w:hAnsi="Times New Roman" w:cs="Times New Roman"/>
            <w:color w:val="0000FF"/>
            <w:sz w:val="24"/>
            <w:szCs w:val="24"/>
            <w:u w:val="single"/>
            <w:lang w:val="en-CA" w:eastAsia="en-CA"/>
          </w:rPr>
          <w:t>https://doi.org/10.1016/j.jtrangeo.2017.08.009</w:t>
        </w:r>
      </w:hyperlink>
    </w:p>
    <w:p w14:paraId="0A9B136C" w14:textId="1026B47A" w:rsidR="007A1049" w:rsidRDefault="00B32E38" w:rsidP="0090104A">
      <w:pPr>
        <w:spacing w:after="0" w:line="23" w:lineRule="atLeast"/>
        <w:ind w:hanging="480"/>
        <w:rPr>
          <w:rFonts w:ascii="Times New Roman" w:eastAsia="Times New Roman" w:hAnsi="Times New Roman" w:cs="Times New Roman"/>
          <w:sz w:val="24"/>
          <w:szCs w:val="24"/>
          <w:lang w:val="en-CA" w:eastAsia="en-CA"/>
        </w:rPr>
      </w:pPr>
      <w:r w:rsidRPr="00B32E38">
        <w:rPr>
          <w:rFonts w:ascii="Times New Roman" w:eastAsia="Times New Roman" w:hAnsi="Times New Roman" w:cs="Times New Roman"/>
          <w:sz w:val="24"/>
          <w:szCs w:val="24"/>
          <w:lang w:val="en-CA" w:eastAsia="en-CA"/>
        </w:rPr>
        <w:t xml:space="preserve">Mooney, S. J., Hosford, K., Howe, B., Yan, A., Winters, M., </w:t>
      </w:r>
      <w:proofErr w:type="spellStart"/>
      <w:r w:rsidRPr="00B32E38">
        <w:rPr>
          <w:rFonts w:ascii="Times New Roman" w:eastAsia="Times New Roman" w:hAnsi="Times New Roman" w:cs="Times New Roman"/>
          <w:sz w:val="24"/>
          <w:szCs w:val="24"/>
          <w:lang w:val="en-CA" w:eastAsia="en-CA"/>
        </w:rPr>
        <w:t>Bassok</w:t>
      </w:r>
      <w:proofErr w:type="spellEnd"/>
      <w:r w:rsidRPr="00B32E38">
        <w:rPr>
          <w:rFonts w:ascii="Times New Roman" w:eastAsia="Times New Roman" w:hAnsi="Times New Roman" w:cs="Times New Roman"/>
          <w:sz w:val="24"/>
          <w:szCs w:val="24"/>
          <w:lang w:val="en-CA" w:eastAsia="en-CA"/>
        </w:rPr>
        <w:t xml:space="preserve">, A., &amp; Hirsch, J. A. (2019). Freedom from the station: Spatial equity in access to dockless bike share. </w:t>
      </w:r>
      <w:r w:rsidRPr="00B32E38">
        <w:rPr>
          <w:rFonts w:ascii="Times New Roman" w:eastAsia="Times New Roman" w:hAnsi="Times New Roman" w:cs="Times New Roman"/>
          <w:i/>
          <w:iCs/>
          <w:sz w:val="24"/>
          <w:szCs w:val="24"/>
          <w:lang w:val="en-CA" w:eastAsia="en-CA"/>
        </w:rPr>
        <w:t>Journal of Transport Geography</w:t>
      </w:r>
      <w:r w:rsidRPr="00B32E38">
        <w:rPr>
          <w:rFonts w:ascii="Times New Roman" w:eastAsia="Times New Roman" w:hAnsi="Times New Roman" w:cs="Times New Roman"/>
          <w:sz w:val="24"/>
          <w:szCs w:val="24"/>
          <w:lang w:val="en-CA" w:eastAsia="en-CA"/>
        </w:rPr>
        <w:t xml:space="preserve">, </w:t>
      </w:r>
      <w:r w:rsidRPr="00B32E38">
        <w:rPr>
          <w:rFonts w:ascii="Times New Roman" w:eastAsia="Times New Roman" w:hAnsi="Times New Roman" w:cs="Times New Roman"/>
          <w:i/>
          <w:iCs/>
          <w:sz w:val="24"/>
          <w:szCs w:val="24"/>
          <w:lang w:val="en-CA" w:eastAsia="en-CA"/>
        </w:rPr>
        <w:t>74</w:t>
      </w:r>
      <w:r w:rsidRPr="00B32E38">
        <w:rPr>
          <w:rFonts w:ascii="Times New Roman" w:eastAsia="Times New Roman" w:hAnsi="Times New Roman" w:cs="Times New Roman"/>
          <w:sz w:val="24"/>
          <w:szCs w:val="24"/>
          <w:lang w:val="en-CA" w:eastAsia="en-CA"/>
        </w:rPr>
        <w:t xml:space="preserve">, 91–96. </w:t>
      </w:r>
      <w:hyperlink r:id="rId7" w:history="1">
        <w:r w:rsidRPr="00B32E38">
          <w:rPr>
            <w:rFonts w:ascii="Times New Roman" w:eastAsia="Times New Roman" w:hAnsi="Times New Roman" w:cs="Times New Roman"/>
            <w:color w:val="0000FF"/>
            <w:sz w:val="24"/>
            <w:szCs w:val="24"/>
            <w:u w:val="single"/>
            <w:lang w:val="en-CA" w:eastAsia="en-CA"/>
          </w:rPr>
          <w:t>https://doi.org/10.1016/j.jtrangeo.2018.11.009</w:t>
        </w:r>
      </w:hyperlink>
    </w:p>
    <w:p w14:paraId="05E78ACA" w14:textId="4F62455C" w:rsidR="00081CCD" w:rsidRDefault="00081CCD" w:rsidP="0090104A">
      <w:pPr>
        <w:spacing w:after="0" w:line="23" w:lineRule="atLeast"/>
        <w:ind w:hanging="480"/>
        <w:rPr>
          <w:rFonts w:ascii="Times New Roman" w:eastAsia="Times New Roman" w:hAnsi="Times New Roman" w:cs="Times New Roman"/>
          <w:sz w:val="24"/>
          <w:szCs w:val="24"/>
          <w:lang w:val="en-CA" w:eastAsia="en-CA"/>
        </w:rPr>
      </w:pPr>
      <w:r w:rsidRPr="00081CCD">
        <w:rPr>
          <w:rFonts w:ascii="Times New Roman" w:eastAsia="Times New Roman" w:hAnsi="Times New Roman" w:cs="Times New Roman"/>
          <w:sz w:val="24"/>
          <w:szCs w:val="24"/>
          <w:lang w:val="en-CA" w:eastAsia="en-CA"/>
        </w:rPr>
        <w:t xml:space="preserve">Park, K., Rigolon, A., Choi, D., Lyons, T., &amp; Brewer, S. (2021). Transit to parks: An environmental justice study of transit access to large parks in the US West. </w:t>
      </w:r>
      <w:r w:rsidRPr="00081CCD">
        <w:rPr>
          <w:rFonts w:ascii="Times New Roman" w:eastAsia="Times New Roman" w:hAnsi="Times New Roman" w:cs="Times New Roman"/>
          <w:i/>
          <w:iCs/>
          <w:sz w:val="24"/>
          <w:szCs w:val="24"/>
          <w:lang w:val="en-CA" w:eastAsia="en-CA"/>
        </w:rPr>
        <w:t>URBAN FORESTRY &amp; URBAN GREENING</w:t>
      </w:r>
      <w:r w:rsidRPr="00081CCD">
        <w:rPr>
          <w:rFonts w:ascii="Times New Roman" w:eastAsia="Times New Roman" w:hAnsi="Times New Roman" w:cs="Times New Roman"/>
          <w:sz w:val="24"/>
          <w:szCs w:val="24"/>
          <w:lang w:val="en-CA" w:eastAsia="en-CA"/>
        </w:rPr>
        <w:t xml:space="preserve">, </w:t>
      </w:r>
      <w:r w:rsidRPr="00081CCD">
        <w:rPr>
          <w:rFonts w:ascii="Times New Roman" w:eastAsia="Times New Roman" w:hAnsi="Times New Roman" w:cs="Times New Roman"/>
          <w:i/>
          <w:iCs/>
          <w:sz w:val="24"/>
          <w:szCs w:val="24"/>
          <w:lang w:val="en-CA" w:eastAsia="en-CA"/>
        </w:rPr>
        <w:t>60</w:t>
      </w:r>
      <w:r w:rsidRPr="00081CCD">
        <w:rPr>
          <w:rFonts w:ascii="Times New Roman" w:eastAsia="Times New Roman" w:hAnsi="Times New Roman" w:cs="Times New Roman"/>
          <w:sz w:val="24"/>
          <w:szCs w:val="24"/>
          <w:lang w:val="en-CA" w:eastAsia="en-CA"/>
        </w:rPr>
        <w:t xml:space="preserve">. </w:t>
      </w:r>
      <w:hyperlink r:id="rId8" w:history="1">
        <w:r w:rsidRPr="00081CCD">
          <w:rPr>
            <w:rFonts w:ascii="Times New Roman" w:eastAsia="Times New Roman" w:hAnsi="Times New Roman" w:cs="Times New Roman"/>
            <w:color w:val="0000FF"/>
            <w:sz w:val="24"/>
            <w:szCs w:val="24"/>
            <w:u w:val="single"/>
            <w:lang w:val="en-CA" w:eastAsia="en-CA"/>
          </w:rPr>
          <w:t>https://doi.org/10.1016/j.ufug.2021.127055</w:t>
        </w:r>
      </w:hyperlink>
    </w:p>
    <w:p w14:paraId="37E66F62" w14:textId="489FCF1D" w:rsidR="00081CCD" w:rsidRPr="008D0442" w:rsidRDefault="00973B97" w:rsidP="0090104A">
      <w:pPr>
        <w:spacing w:after="0" w:line="23" w:lineRule="atLeast"/>
        <w:ind w:hanging="480"/>
        <w:rPr>
          <w:rFonts w:ascii="Times New Roman" w:eastAsia="Times New Roman" w:hAnsi="Times New Roman" w:cs="Times New Roman"/>
          <w:sz w:val="24"/>
          <w:szCs w:val="24"/>
          <w:lang w:val="en-CA" w:eastAsia="en-CA"/>
        </w:rPr>
      </w:pPr>
      <w:r w:rsidRPr="00973B97">
        <w:rPr>
          <w:rFonts w:ascii="Times New Roman" w:eastAsia="Times New Roman" w:hAnsi="Times New Roman" w:cs="Times New Roman"/>
          <w:sz w:val="24"/>
          <w:szCs w:val="24"/>
          <w:lang w:val="en-CA" w:eastAsia="en-CA"/>
        </w:rPr>
        <w:t xml:space="preserve">Páez, A., Farber, S., Mercado, R., </w:t>
      </w:r>
      <w:proofErr w:type="spellStart"/>
      <w:r w:rsidRPr="00973B97">
        <w:rPr>
          <w:rFonts w:ascii="Times New Roman" w:eastAsia="Times New Roman" w:hAnsi="Times New Roman" w:cs="Times New Roman"/>
          <w:sz w:val="24"/>
          <w:szCs w:val="24"/>
          <w:lang w:val="en-CA" w:eastAsia="en-CA"/>
        </w:rPr>
        <w:t>Roorda</w:t>
      </w:r>
      <w:proofErr w:type="spellEnd"/>
      <w:r w:rsidRPr="00973B97">
        <w:rPr>
          <w:rFonts w:ascii="Times New Roman" w:eastAsia="Times New Roman" w:hAnsi="Times New Roman" w:cs="Times New Roman"/>
          <w:sz w:val="24"/>
          <w:szCs w:val="24"/>
          <w:lang w:val="en-CA" w:eastAsia="en-CA"/>
        </w:rPr>
        <w:t xml:space="preserve">, M., &amp; Morency, C. (2013). Jobs and the Single Parent: An Analysis of Accessibility to Employment in Toronto. </w:t>
      </w:r>
      <w:r w:rsidRPr="00973B97">
        <w:rPr>
          <w:rFonts w:ascii="Times New Roman" w:eastAsia="Times New Roman" w:hAnsi="Times New Roman" w:cs="Times New Roman"/>
          <w:i/>
          <w:iCs/>
          <w:sz w:val="24"/>
          <w:szCs w:val="24"/>
          <w:lang w:val="en-CA" w:eastAsia="en-CA"/>
        </w:rPr>
        <w:t>Urban Geography</w:t>
      </w:r>
      <w:r w:rsidRPr="00973B97">
        <w:rPr>
          <w:rFonts w:ascii="Times New Roman" w:eastAsia="Times New Roman" w:hAnsi="Times New Roman" w:cs="Times New Roman"/>
          <w:sz w:val="24"/>
          <w:szCs w:val="24"/>
          <w:lang w:val="en-CA" w:eastAsia="en-CA"/>
        </w:rPr>
        <w:t xml:space="preserve">, </w:t>
      </w:r>
      <w:r w:rsidRPr="00973B97">
        <w:rPr>
          <w:rFonts w:ascii="Times New Roman" w:eastAsia="Times New Roman" w:hAnsi="Times New Roman" w:cs="Times New Roman"/>
          <w:i/>
          <w:iCs/>
          <w:sz w:val="24"/>
          <w:szCs w:val="24"/>
          <w:lang w:val="en-CA" w:eastAsia="en-CA"/>
        </w:rPr>
        <w:t>34</w:t>
      </w:r>
      <w:r w:rsidRPr="00973B97">
        <w:rPr>
          <w:rFonts w:ascii="Times New Roman" w:eastAsia="Times New Roman" w:hAnsi="Times New Roman" w:cs="Times New Roman"/>
          <w:sz w:val="24"/>
          <w:szCs w:val="24"/>
          <w:lang w:val="en-CA" w:eastAsia="en-CA"/>
        </w:rPr>
        <w:t xml:space="preserve">(6), 815–842. </w:t>
      </w:r>
      <w:hyperlink r:id="rId9" w:history="1">
        <w:r w:rsidRPr="00973B97">
          <w:rPr>
            <w:rFonts w:ascii="Times New Roman" w:eastAsia="Times New Roman" w:hAnsi="Times New Roman" w:cs="Times New Roman"/>
            <w:color w:val="0000FF"/>
            <w:sz w:val="24"/>
            <w:szCs w:val="24"/>
            <w:u w:val="single"/>
            <w:lang w:val="en-CA" w:eastAsia="en-CA"/>
          </w:rPr>
          <w:t>https://doi.org/10.1080/02723638.2013.778600</w:t>
        </w:r>
      </w:hyperlink>
    </w:p>
    <w:p w14:paraId="5E4423C4" w14:textId="30B551F3" w:rsidR="00241354" w:rsidRDefault="00241354" w:rsidP="0090104A">
      <w:pPr>
        <w:spacing w:after="0" w:line="23" w:lineRule="atLeast"/>
        <w:ind w:hanging="480"/>
        <w:rPr>
          <w:rFonts w:ascii="Times New Roman" w:eastAsia="Times New Roman" w:hAnsi="Times New Roman" w:cs="Times New Roman"/>
          <w:sz w:val="24"/>
          <w:szCs w:val="24"/>
          <w:lang w:val="en-CA" w:eastAsia="en-CA"/>
        </w:rPr>
      </w:pPr>
      <w:r w:rsidRPr="00241354">
        <w:rPr>
          <w:rFonts w:ascii="Times New Roman" w:eastAsia="Times New Roman" w:hAnsi="Times New Roman" w:cs="Times New Roman"/>
          <w:sz w:val="24"/>
          <w:szCs w:val="24"/>
          <w:lang w:val="en-CA" w:eastAsia="en-CA"/>
        </w:rPr>
        <w:t xml:space="preserve">Soukhov, A., Paez, A., Higgins, C. D., &amp; Mohamed, M. (2023). Introducing spatial availability, a singly-constrained measure of competitive accessibility | PLOS ONE. </w:t>
      </w:r>
      <w:r w:rsidRPr="00241354">
        <w:rPr>
          <w:rFonts w:ascii="Times New Roman" w:eastAsia="Times New Roman" w:hAnsi="Times New Roman" w:cs="Times New Roman"/>
          <w:i/>
          <w:iCs/>
          <w:sz w:val="24"/>
          <w:szCs w:val="24"/>
          <w:lang w:val="en-CA" w:eastAsia="en-CA"/>
        </w:rPr>
        <w:t>PLOS ONE</w:t>
      </w:r>
      <w:r w:rsidRPr="00241354">
        <w:rPr>
          <w:rFonts w:ascii="Times New Roman" w:eastAsia="Times New Roman" w:hAnsi="Times New Roman" w:cs="Times New Roman"/>
          <w:sz w:val="24"/>
          <w:szCs w:val="24"/>
          <w:lang w:val="en-CA" w:eastAsia="en-CA"/>
        </w:rPr>
        <w:t xml:space="preserve">, 1–30. </w:t>
      </w:r>
      <w:hyperlink w:history="1">
        <w:r w:rsidRPr="00241354">
          <w:rPr>
            <w:rFonts w:ascii="Times New Roman" w:eastAsia="Times New Roman" w:hAnsi="Times New Roman" w:cs="Times New Roman"/>
            <w:color w:val="0000FF"/>
            <w:sz w:val="24"/>
            <w:szCs w:val="24"/>
            <w:u w:val="single"/>
            <w:lang w:val="en-CA" w:eastAsia="en-CA"/>
          </w:rPr>
          <w:t>https:// doi.org/10.1371/journal.pone.0278468</w:t>
        </w:r>
      </w:hyperlink>
    </w:p>
    <w:p w14:paraId="204C242D" w14:textId="3FC0B09C" w:rsidR="007A1049" w:rsidRPr="00B32E38" w:rsidRDefault="007A1049" w:rsidP="0090104A">
      <w:pPr>
        <w:spacing w:after="0" w:line="23" w:lineRule="atLeast"/>
        <w:ind w:hanging="480"/>
        <w:rPr>
          <w:rFonts w:ascii="Times New Roman" w:eastAsia="Times New Roman" w:hAnsi="Times New Roman" w:cs="Times New Roman"/>
          <w:sz w:val="24"/>
          <w:szCs w:val="24"/>
          <w:lang w:val="en-CA" w:eastAsia="en-CA"/>
        </w:rPr>
      </w:pPr>
      <w:r w:rsidRPr="007A1049">
        <w:rPr>
          <w:rFonts w:ascii="Times New Roman" w:eastAsia="Times New Roman" w:hAnsi="Times New Roman" w:cs="Times New Roman"/>
          <w:sz w:val="24"/>
          <w:szCs w:val="24"/>
          <w:lang w:val="en-CA" w:eastAsia="en-CA"/>
        </w:rPr>
        <w:t xml:space="preserve">Sharma, G., &amp; Patil, G. R. (2021). Public transit accessibility approach to understand the equity for public healthcare services: A case study of Greater Mumbai. </w:t>
      </w:r>
      <w:r w:rsidRPr="007A1049">
        <w:rPr>
          <w:rFonts w:ascii="Times New Roman" w:eastAsia="Times New Roman" w:hAnsi="Times New Roman" w:cs="Times New Roman"/>
          <w:i/>
          <w:iCs/>
          <w:sz w:val="24"/>
          <w:szCs w:val="24"/>
          <w:lang w:val="en-CA" w:eastAsia="en-CA"/>
        </w:rPr>
        <w:t>Journal of Transport Geography</w:t>
      </w:r>
      <w:r w:rsidRPr="007A1049">
        <w:rPr>
          <w:rFonts w:ascii="Times New Roman" w:eastAsia="Times New Roman" w:hAnsi="Times New Roman" w:cs="Times New Roman"/>
          <w:sz w:val="24"/>
          <w:szCs w:val="24"/>
          <w:lang w:val="en-CA" w:eastAsia="en-CA"/>
        </w:rPr>
        <w:t xml:space="preserve">, </w:t>
      </w:r>
      <w:r w:rsidRPr="007A1049">
        <w:rPr>
          <w:rFonts w:ascii="Times New Roman" w:eastAsia="Times New Roman" w:hAnsi="Times New Roman" w:cs="Times New Roman"/>
          <w:i/>
          <w:iCs/>
          <w:sz w:val="24"/>
          <w:szCs w:val="24"/>
          <w:lang w:val="en-CA" w:eastAsia="en-CA"/>
        </w:rPr>
        <w:t>94</w:t>
      </w:r>
      <w:r w:rsidRPr="007A1049">
        <w:rPr>
          <w:rFonts w:ascii="Times New Roman" w:eastAsia="Times New Roman" w:hAnsi="Times New Roman" w:cs="Times New Roman"/>
          <w:sz w:val="24"/>
          <w:szCs w:val="24"/>
          <w:lang w:val="en-CA" w:eastAsia="en-CA"/>
        </w:rPr>
        <w:t xml:space="preserve">, 103123. </w:t>
      </w:r>
      <w:hyperlink r:id="rId10" w:history="1">
        <w:r w:rsidRPr="007A1049">
          <w:rPr>
            <w:rFonts w:ascii="Times New Roman" w:eastAsia="Times New Roman" w:hAnsi="Times New Roman" w:cs="Times New Roman"/>
            <w:color w:val="0000FF"/>
            <w:sz w:val="24"/>
            <w:szCs w:val="24"/>
            <w:u w:val="single"/>
            <w:lang w:val="en-CA" w:eastAsia="en-CA"/>
          </w:rPr>
          <w:t>https://doi.org/10.1016/j.jtrangeo.2021.103123</w:t>
        </w:r>
      </w:hyperlink>
    </w:p>
    <w:p w14:paraId="2FD7D2C5" w14:textId="77777777" w:rsidR="00B32E38" w:rsidRPr="007A1049" w:rsidRDefault="00B32E38" w:rsidP="0090104A">
      <w:pPr>
        <w:spacing w:after="0" w:line="23" w:lineRule="atLeast"/>
        <w:ind w:hanging="480"/>
        <w:rPr>
          <w:rFonts w:ascii="Times New Roman" w:eastAsia="Times New Roman" w:hAnsi="Times New Roman" w:cs="Times New Roman"/>
          <w:sz w:val="24"/>
          <w:szCs w:val="24"/>
          <w:lang w:val="en-CA" w:eastAsia="en-CA"/>
        </w:rPr>
      </w:pPr>
      <w:r w:rsidRPr="007A1049">
        <w:rPr>
          <w:rFonts w:ascii="Times New Roman" w:eastAsia="Times New Roman" w:hAnsi="Times New Roman" w:cs="Times New Roman"/>
          <w:sz w:val="24"/>
          <w:szCs w:val="24"/>
          <w:lang w:val="en-CA" w:eastAsia="en-CA"/>
        </w:rPr>
        <w:t xml:space="preserve">Ye, C., Zhu, Y., Yang, J., &amp; Fu, Q. (2018). Spatial equity in accessing secondary education: Evidence from a gravity-based model: Spatial equity in accessing secondary education. </w:t>
      </w:r>
      <w:r w:rsidRPr="007A1049">
        <w:rPr>
          <w:rFonts w:ascii="Times New Roman" w:eastAsia="Times New Roman" w:hAnsi="Times New Roman" w:cs="Times New Roman"/>
          <w:i/>
          <w:iCs/>
          <w:sz w:val="24"/>
          <w:szCs w:val="24"/>
          <w:lang w:val="en-CA" w:eastAsia="en-CA"/>
        </w:rPr>
        <w:t xml:space="preserve">The Canadian Geographer / Le </w:t>
      </w:r>
      <w:proofErr w:type="spellStart"/>
      <w:r w:rsidRPr="007A1049">
        <w:rPr>
          <w:rFonts w:ascii="Times New Roman" w:eastAsia="Times New Roman" w:hAnsi="Times New Roman" w:cs="Times New Roman"/>
          <w:i/>
          <w:iCs/>
          <w:sz w:val="24"/>
          <w:szCs w:val="24"/>
          <w:lang w:val="en-CA" w:eastAsia="en-CA"/>
        </w:rPr>
        <w:t>Géographe</w:t>
      </w:r>
      <w:proofErr w:type="spellEnd"/>
      <w:r w:rsidRPr="007A1049">
        <w:rPr>
          <w:rFonts w:ascii="Times New Roman" w:eastAsia="Times New Roman" w:hAnsi="Times New Roman" w:cs="Times New Roman"/>
          <w:i/>
          <w:iCs/>
          <w:sz w:val="24"/>
          <w:szCs w:val="24"/>
          <w:lang w:val="en-CA" w:eastAsia="en-CA"/>
        </w:rPr>
        <w:t xml:space="preserve"> </w:t>
      </w:r>
      <w:proofErr w:type="spellStart"/>
      <w:r w:rsidRPr="007A1049">
        <w:rPr>
          <w:rFonts w:ascii="Times New Roman" w:eastAsia="Times New Roman" w:hAnsi="Times New Roman" w:cs="Times New Roman"/>
          <w:i/>
          <w:iCs/>
          <w:sz w:val="24"/>
          <w:szCs w:val="24"/>
          <w:lang w:val="en-CA" w:eastAsia="en-CA"/>
        </w:rPr>
        <w:t>Canadien</w:t>
      </w:r>
      <w:proofErr w:type="spellEnd"/>
      <w:r w:rsidRPr="007A1049">
        <w:rPr>
          <w:rFonts w:ascii="Times New Roman" w:eastAsia="Times New Roman" w:hAnsi="Times New Roman" w:cs="Times New Roman"/>
          <w:sz w:val="24"/>
          <w:szCs w:val="24"/>
          <w:lang w:val="en-CA" w:eastAsia="en-CA"/>
        </w:rPr>
        <w:t xml:space="preserve">, </w:t>
      </w:r>
      <w:r w:rsidRPr="007A1049">
        <w:rPr>
          <w:rFonts w:ascii="Times New Roman" w:eastAsia="Times New Roman" w:hAnsi="Times New Roman" w:cs="Times New Roman"/>
          <w:i/>
          <w:iCs/>
          <w:sz w:val="24"/>
          <w:szCs w:val="24"/>
          <w:lang w:val="en-CA" w:eastAsia="en-CA"/>
        </w:rPr>
        <w:t>62</w:t>
      </w:r>
      <w:r w:rsidRPr="007A1049">
        <w:rPr>
          <w:rFonts w:ascii="Times New Roman" w:eastAsia="Times New Roman" w:hAnsi="Times New Roman" w:cs="Times New Roman"/>
          <w:sz w:val="24"/>
          <w:szCs w:val="24"/>
          <w:lang w:val="en-CA" w:eastAsia="en-CA"/>
        </w:rPr>
        <w:t xml:space="preserve">(4), 452–469. </w:t>
      </w:r>
      <w:hyperlink r:id="rId11" w:history="1">
        <w:r w:rsidRPr="007A1049">
          <w:rPr>
            <w:rFonts w:ascii="Times New Roman" w:eastAsia="Times New Roman" w:hAnsi="Times New Roman" w:cs="Times New Roman"/>
            <w:color w:val="0000FF"/>
            <w:sz w:val="24"/>
            <w:szCs w:val="24"/>
            <w:u w:val="single"/>
            <w:lang w:val="en-CA" w:eastAsia="en-CA"/>
          </w:rPr>
          <w:t>https://doi.org/10.1111/cag.12482</w:t>
        </w:r>
      </w:hyperlink>
    </w:p>
    <w:p w14:paraId="07A727E0" w14:textId="77777777" w:rsidR="00B32E38" w:rsidRPr="00CF62DB" w:rsidRDefault="00B32E38" w:rsidP="0090104A">
      <w:pPr>
        <w:spacing w:line="23" w:lineRule="atLeast"/>
        <w:rPr>
          <w:rFonts w:ascii="Times New Roman" w:hAnsi="Times New Roman" w:cs="Times New Roman"/>
          <w:sz w:val="24"/>
          <w:szCs w:val="24"/>
          <w:lang w:val="en-CA"/>
        </w:rPr>
      </w:pPr>
    </w:p>
    <w:sectPr w:rsidR="00B32E38" w:rsidRPr="00CF62DB" w:rsidSect="00D71C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A87"/>
    <w:rsid w:val="00072764"/>
    <w:rsid w:val="00076FF5"/>
    <w:rsid w:val="00081CCD"/>
    <w:rsid w:val="0015395F"/>
    <w:rsid w:val="001775DF"/>
    <w:rsid w:val="0018225C"/>
    <w:rsid w:val="00194B2C"/>
    <w:rsid w:val="001B342D"/>
    <w:rsid w:val="001C2B95"/>
    <w:rsid w:val="001D4451"/>
    <w:rsid w:val="00217666"/>
    <w:rsid w:val="0023000F"/>
    <w:rsid w:val="00241354"/>
    <w:rsid w:val="003401D3"/>
    <w:rsid w:val="0036413D"/>
    <w:rsid w:val="003962DC"/>
    <w:rsid w:val="003A32C9"/>
    <w:rsid w:val="003D5869"/>
    <w:rsid w:val="003F5602"/>
    <w:rsid w:val="004709E1"/>
    <w:rsid w:val="004908BC"/>
    <w:rsid w:val="0049499D"/>
    <w:rsid w:val="00512EC9"/>
    <w:rsid w:val="00542E30"/>
    <w:rsid w:val="006011AF"/>
    <w:rsid w:val="00662915"/>
    <w:rsid w:val="006755EE"/>
    <w:rsid w:val="006F4E3B"/>
    <w:rsid w:val="007A1049"/>
    <w:rsid w:val="007A2A87"/>
    <w:rsid w:val="007E32D1"/>
    <w:rsid w:val="00812CFC"/>
    <w:rsid w:val="0082756C"/>
    <w:rsid w:val="008446F2"/>
    <w:rsid w:val="0088745A"/>
    <w:rsid w:val="008D0442"/>
    <w:rsid w:val="0090104A"/>
    <w:rsid w:val="00931C4B"/>
    <w:rsid w:val="0096268E"/>
    <w:rsid w:val="00967E4C"/>
    <w:rsid w:val="00973B97"/>
    <w:rsid w:val="009A0B78"/>
    <w:rsid w:val="00A63374"/>
    <w:rsid w:val="00A87A5F"/>
    <w:rsid w:val="00AB2A3A"/>
    <w:rsid w:val="00AC4E7B"/>
    <w:rsid w:val="00B06CC1"/>
    <w:rsid w:val="00B26F37"/>
    <w:rsid w:val="00B32E38"/>
    <w:rsid w:val="00B8102A"/>
    <w:rsid w:val="00BA11F8"/>
    <w:rsid w:val="00BA363F"/>
    <w:rsid w:val="00BF2AAC"/>
    <w:rsid w:val="00C31FB1"/>
    <w:rsid w:val="00C35207"/>
    <w:rsid w:val="00C357ED"/>
    <w:rsid w:val="00C76229"/>
    <w:rsid w:val="00CA59A9"/>
    <w:rsid w:val="00CF62DB"/>
    <w:rsid w:val="00D71CD0"/>
    <w:rsid w:val="00DA2A86"/>
    <w:rsid w:val="00DF5B3D"/>
    <w:rsid w:val="00E3136E"/>
    <w:rsid w:val="00E6286D"/>
    <w:rsid w:val="00E708B2"/>
    <w:rsid w:val="00E76E65"/>
    <w:rsid w:val="00E76FBB"/>
    <w:rsid w:val="00E7794E"/>
    <w:rsid w:val="00EB1F59"/>
    <w:rsid w:val="00EC2C68"/>
    <w:rsid w:val="00F455A7"/>
    <w:rsid w:val="00FB3A81"/>
    <w:rsid w:val="00FD1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EDF2"/>
  <w15:docId w15:val="{4A5A845C-EB7E-42E3-B1D3-09877C6E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1F8"/>
    <w:pPr>
      <w:spacing w:after="120" w:line="240" w:lineRule="auto"/>
      <w:ind w:left="720"/>
      <w:contextualSpacing/>
      <w:jc w:val="both"/>
    </w:pPr>
    <w:rPr>
      <w:rFonts w:ascii="Times New Roman" w:eastAsiaTheme="minorHAnsi" w:hAnsi="Times New Roman"/>
      <w:lang w:val="en-CA" w:eastAsia="en-US"/>
    </w:rPr>
  </w:style>
  <w:style w:type="paragraph" w:styleId="BodyText">
    <w:name w:val="Body Text"/>
    <w:basedOn w:val="Normal"/>
    <w:link w:val="BodyTextChar"/>
    <w:rsid w:val="00E708B2"/>
    <w:pPr>
      <w:widowControl w:val="0"/>
      <w:tabs>
        <w:tab w:val="left" w:pos="-850"/>
        <w:tab w:val="left" w:pos="-1"/>
        <w:tab w:val="left" w:pos="566"/>
        <w:tab w:val="left" w:pos="849"/>
        <w:tab w:val="left" w:pos="1700"/>
        <w:tab w:val="left" w:pos="2550"/>
        <w:tab w:val="left" w:pos="3400"/>
        <w:tab w:val="left" w:pos="4250"/>
        <w:tab w:val="left" w:pos="5101"/>
        <w:tab w:val="left" w:pos="5952"/>
        <w:tab w:val="left" w:pos="6801"/>
        <w:tab w:val="left" w:pos="7652"/>
        <w:tab w:val="left" w:pos="8503"/>
      </w:tabs>
      <w:spacing w:after="0" w:line="240" w:lineRule="auto"/>
      <w:jc w:val="both"/>
    </w:pPr>
    <w:rPr>
      <w:rFonts w:ascii="Times New Roman" w:eastAsia="Times New Roman" w:hAnsi="Times New Roman" w:cs="Times New Roman"/>
      <w:snapToGrid w:val="0"/>
      <w:sz w:val="24"/>
      <w:szCs w:val="20"/>
      <w:lang w:val="en-GB" w:eastAsia="da-DK"/>
    </w:rPr>
  </w:style>
  <w:style w:type="character" w:customStyle="1" w:styleId="BodyTextChar">
    <w:name w:val="Body Text Char"/>
    <w:basedOn w:val="DefaultParagraphFont"/>
    <w:link w:val="BodyText"/>
    <w:rsid w:val="00E708B2"/>
    <w:rPr>
      <w:rFonts w:ascii="Times New Roman" w:eastAsia="Times New Roman" w:hAnsi="Times New Roman" w:cs="Times New Roman"/>
      <w:snapToGrid w:val="0"/>
      <w:sz w:val="24"/>
      <w:szCs w:val="20"/>
      <w:lang w:val="en-GB" w:eastAsia="da-DK"/>
    </w:rPr>
  </w:style>
  <w:style w:type="character" w:styleId="Hyperlink">
    <w:name w:val="Hyperlink"/>
    <w:basedOn w:val="DefaultParagraphFont"/>
    <w:uiPriority w:val="99"/>
    <w:semiHidden/>
    <w:unhideWhenUsed/>
    <w:rsid w:val="003401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0531">
      <w:bodyDiv w:val="1"/>
      <w:marLeft w:val="0"/>
      <w:marRight w:val="0"/>
      <w:marTop w:val="0"/>
      <w:marBottom w:val="0"/>
      <w:divBdr>
        <w:top w:val="none" w:sz="0" w:space="0" w:color="auto"/>
        <w:left w:val="none" w:sz="0" w:space="0" w:color="auto"/>
        <w:bottom w:val="none" w:sz="0" w:space="0" w:color="auto"/>
        <w:right w:val="none" w:sz="0" w:space="0" w:color="auto"/>
      </w:divBdr>
      <w:divsChild>
        <w:div w:id="1394431092">
          <w:marLeft w:val="480"/>
          <w:marRight w:val="0"/>
          <w:marTop w:val="0"/>
          <w:marBottom w:val="0"/>
          <w:divBdr>
            <w:top w:val="none" w:sz="0" w:space="0" w:color="auto"/>
            <w:left w:val="none" w:sz="0" w:space="0" w:color="auto"/>
            <w:bottom w:val="none" w:sz="0" w:space="0" w:color="auto"/>
            <w:right w:val="none" w:sz="0" w:space="0" w:color="auto"/>
          </w:divBdr>
          <w:divsChild>
            <w:div w:id="7818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3356">
      <w:bodyDiv w:val="1"/>
      <w:marLeft w:val="0"/>
      <w:marRight w:val="0"/>
      <w:marTop w:val="0"/>
      <w:marBottom w:val="0"/>
      <w:divBdr>
        <w:top w:val="none" w:sz="0" w:space="0" w:color="auto"/>
        <w:left w:val="none" w:sz="0" w:space="0" w:color="auto"/>
        <w:bottom w:val="none" w:sz="0" w:space="0" w:color="auto"/>
        <w:right w:val="none" w:sz="0" w:space="0" w:color="auto"/>
      </w:divBdr>
      <w:divsChild>
        <w:div w:id="1582522041">
          <w:marLeft w:val="480"/>
          <w:marRight w:val="0"/>
          <w:marTop w:val="0"/>
          <w:marBottom w:val="0"/>
          <w:divBdr>
            <w:top w:val="none" w:sz="0" w:space="0" w:color="auto"/>
            <w:left w:val="none" w:sz="0" w:space="0" w:color="auto"/>
            <w:bottom w:val="none" w:sz="0" w:space="0" w:color="auto"/>
            <w:right w:val="none" w:sz="0" w:space="0" w:color="auto"/>
          </w:divBdr>
          <w:divsChild>
            <w:div w:id="747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424">
      <w:bodyDiv w:val="1"/>
      <w:marLeft w:val="0"/>
      <w:marRight w:val="0"/>
      <w:marTop w:val="0"/>
      <w:marBottom w:val="0"/>
      <w:divBdr>
        <w:top w:val="none" w:sz="0" w:space="0" w:color="auto"/>
        <w:left w:val="none" w:sz="0" w:space="0" w:color="auto"/>
        <w:bottom w:val="none" w:sz="0" w:space="0" w:color="auto"/>
        <w:right w:val="none" w:sz="0" w:space="0" w:color="auto"/>
      </w:divBdr>
      <w:divsChild>
        <w:div w:id="129639680">
          <w:marLeft w:val="480"/>
          <w:marRight w:val="0"/>
          <w:marTop w:val="0"/>
          <w:marBottom w:val="0"/>
          <w:divBdr>
            <w:top w:val="none" w:sz="0" w:space="0" w:color="auto"/>
            <w:left w:val="none" w:sz="0" w:space="0" w:color="auto"/>
            <w:bottom w:val="none" w:sz="0" w:space="0" w:color="auto"/>
            <w:right w:val="none" w:sz="0" w:space="0" w:color="auto"/>
          </w:divBdr>
          <w:divsChild>
            <w:div w:id="4640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7066">
      <w:bodyDiv w:val="1"/>
      <w:marLeft w:val="0"/>
      <w:marRight w:val="0"/>
      <w:marTop w:val="0"/>
      <w:marBottom w:val="0"/>
      <w:divBdr>
        <w:top w:val="none" w:sz="0" w:space="0" w:color="auto"/>
        <w:left w:val="none" w:sz="0" w:space="0" w:color="auto"/>
        <w:bottom w:val="none" w:sz="0" w:space="0" w:color="auto"/>
        <w:right w:val="none" w:sz="0" w:space="0" w:color="auto"/>
      </w:divBdr>
      <w:divsChild>
        <w:div w:id="2109112253">
          <w:marLeft w:val="480"/>
          <w:marRight w:val="0"/>
          <w:marTop w:val="0"/>
          <w:marBottom w:val="0"/>
          <w:divBdr>
            <w:top w:val="none" w:sz="0" w:space="0" w:color="auto"/>
            <w:left w:val="none" w:sz="0" w:space="0" w:color="auto"/>
            <w:bottom w:val="none" w:sz="0" w:space="0" w:color="auto"/>
            <w:right w:val="none" w:sz="0" w:space="0" w:color="auto"/>
          </w:divBdr>
          <w:divsChild>
            <w:div w:id="12705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7327">
      <w:bodyDiv w:val="1"/>
      <w:marLeft w:val="0"/>
      <w:marRight w:val="0"/>
      <w:marTop w:val="0"/>
      <w:marBottom w:val="0"/>
      <w:divBdr>
        <w:top w:val="none" w:sz="0" w:space="0" w:color="auto"/>
        <w:left w:val="none" w:sz="0" w:space="0" w:color="auto"/>
        <w:bottom w:val="none" w:sz="0" w:space="0" w:color="auto"/>
        <w:right w:val="none" w:sz="0" w:space="0" w:color="auto"/>
      </w:divBdr>
      <w:divsChild>
        <w:div w:id="1939173068">
          <w:marLeft w:val="480"/>
          <w:marRight w:val="0"/>
          <w:marTop w:val="0"/>
          <w:marBottom w:val="0"/>
          <w:divBdr>
            <w:top w:val="none" w:sz="0" w:space="0" w:color="auto"/>
            <w:left w:val="none" w:sz="0" w:space="0" w:color="auto"/>
            <w:bottom w:val="none" w:sz="0" w:space="0" w:color="auto"/>
            <w:right w:val="none" w:sz="0" w:space="0" w:color="auto"/>
          </w:divBdr>
          <w:divsChild>
            <w:div w:id="13868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5434">
      <w:bodyDiv w:val="1"/>
      <w:marLeft w:val="0"/>
      <w:marRight w:val="0"/>
      <w:marTop w:val="0"/>
      <w:marBottom w:val="0"/>
      <w:divBdr>
        <w:top w:val="none" w:sz="0" w:space="0" w:color="auto"/>
        <w:left w:val="none" w:sz="0" w:space="0" w:color="auto"/>
        <w:bottom w:val="none" w:sz="0" w:space="0" w:color="auto"/>
        <w:right w:val="none" w:sz="0" w:space="0" w:color="auto"/>
      </w:divBdr>
      <w:divsChild>
        <w:div w:id="138305244">
          <w:marLeft w:val="480"/>
          <w:marRight w:val="0"/>
          <w:marTop w:val="0"/>
          <w:marBottom w:val="0"/>
          <w:divBdr>
            <w:top w:val="none" w:sz="0" w:space="0" w:color="auto"/>
            <w:left w:val="none" w:sz="0" w:space="0" w:color="auto"/>
            <w:bottom w:val="none" w:sz="0" w:space="0" w:color="auto"/>
            <w:right w:val="none" w:sz="0" w:space="0" w:color="auto"/>
          </w:divBdr>
          <w:divsChild>
            <w:div w:id="3992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6165">
      <w:bodyDiv w:val="1"/>
      <w:marLeft w:val="0"/>
      <w:marRight w:val="0"/>
      <w:marTop w:val="0"/>
      <w:marBottom w:val="0"/>
      <w:divBdr>
        <w:top w:val="none" w:sz="0" w:space="0" w:color="auto"/>
        <w:left w:val="none" w:sz="0" w:space="0" w:color="auto"/>
        <w:bottom w:val="none" w:sz="0" w:space="0" w:color="auto"/>
        <w:right w:val="none" w:sz="0" w:space="0" w:color="auto"/>
      </w:divBdr>
      <w:divsChild>
        <w:div w:id="1254316661">
          <w:marLeft w:val="480"/>
          <w:marRight w:val="0"/>
          <w:marTop w:val="0"/>
          <w:marBottom w:val="0"/>
          <w:divBdr>
            <w:top w:val="none" w:sz="0" w:space="0" w:color="auto"/>
            <w:left w:val="none" w:sz="0" w:space="0" w:color="auto"/>
            <w:bottom w:val="none" w:sz="0" w:space="0" w:color="auto"/>
            <w:right w:val="none" w:sz="0" w:space="0" w:color="auto"/>
          </w:divBdr>
          <w:divsChild>
            <w:div w:id="5005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8521">
      <w:bodyDiv w:val="1"/>
      <w:marLeft w:val="0"/>
      <w:marRight w:val="0"/>
      <w:marTop w:val="0"/>
      <w:marBottom w:val="0"/>
      <w:divBdr>
        <w:top w:val="none" w:sz="0" w:space="0" w:color="auto"/>
        <w:left w:val="none" w:sz="0" w:space="0" w:color="auto"/>
        <w:bottom w:val="none" w:sz="0" w:space="0" w:color="auto"/>
        <w:right w:val="none" w:sz="0" w:space="0" w:color="auto"/>
      </w:divBdr>
      <w:divsChild>
        <w:div w:id="1410038555">
          <w:marLeft w:val="480"/>
          <w:marRight w:val="0"/>
          <w:marTop w:val="0"/>
          <w:marBottom w:val="0"/>
          <w:divBdr>
            <w:top w:val="none" w:sz="0" w:space="0" w:color="auto"/>
            <w:left w:val="none" w:sz="0" w:space="0" w:color="auto"/>
            <w:bottom w:val="none" w:sz="0" w:space="0" w:color="auto"/>
            <w:right w:val="none" w:sz="0" w:space="0" w:color="auto"/>
          </w:divBdr>
          <w:divsChild>
            <w:div w:id="19437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2802">
      <w:bodyDiv w:val="1"/>
      <w:marLeft w:val="0"/>
      <w:marRight w:val="0"/>
      <w:marTop w:val="0"/>
      <w:marBottom w:val="0"/>
      <w:divBdr>
        <w:top w:val="none" w:sz="0" w:space="0" w:color="auto"/>
        <w:left w:val="none" w:sz="0" w:space="0" w:color="auto"/>
        <w:bottom w:val="none" w:sz="0" w:space="0" w:color="auto"/>
        <w:right w:val="none" w:sz="0" w:space="0" w:color="auto"/>
      </w:divBdr>
      <w:divsChild>
        <w:div w:id="786464219">
          <w:marLeft w:val="480"/>
          <w:marRight w:val="0"/>
          <w:marTop w:val="0"/>
          <w:marBottom w:val="0"/>
          <w:divBdr>
            <w:top w:val="none" w:sz="0" w:space="0" w:color="auto"/>
            <w:left w:val="none" w:sz="0" w:space="0" w:color="auto"/>
            <w:bottom w:val="none" w:sz="0" w:space="0" w:color="auto"/>
            <w:right w:val="none" w:sz="0" w:space="0" w:color="auto"/>
          </w:divBdr>
          <w:divsChild>
            <w:div w:id="394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3920">
      <w:bodyDiv w:val="1"/>
      <w:marLeft w:val="0"/>
      <w:marRight w:val="0"/>
      <w:marTop w:val="0"/>
      <w:marBottom w:val="0"/>
      <w:divBdr>
        <w:top w:val="none" w:sz="0" w:space="0" w:color="auto"/>
        <w:left w:val="none" w:sz="0" w:space="0" w:color="auto"/>
        <w:bottom w:val="none" w:sz="0" w:space="0" w:color="auto"/>
        <w:right w:val="none" w:sz="0" w:space="0" w:color="auto"/>
      </w:divBdr>
      <w:divsChild>
        <w:div w:id="820271327">
          <w:marLeft w:val="480"/>
          <w:marRight w:val="0"/>
          <w:marTop w:val="0"/>
          <w:marBottom w:val="0"/>
          <w:divBdr>
            <w:top w:val="none" w:sz="0" w:space="0" w:color="auto"/>
            <w:left w:val="none" w:sz="0" w:space="0" w:color="auto"/>
            <w:bottom w:val="none" w:sz="0" w:space="0" w:color="auto"/>
            <w:right w:val="none" w:sz="0" w:space="0" w:color="auto"/>
          </w:divBdr>
          <w:divsChild>
            <w:div w:id="20296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ufug.2021.12705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16/j.jtrangeo.2018.11.00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jtrangeo.2017.08.009" TargetMode="External"/><Relationship Id="rId11" Type="http://schemas.openxmlformats.org/officeDocument/2006/relationships/hyperlink" Target="https://doi.org/10.1111/cag.12482" TargetMode="External"/><Relationship Id="rId5" Type="http://schemas.openxmlformats.org/officeDocument/2006/relationships/hyperlink" Target="https://doi.org/10.1177/0361198119849588" TargetMode="External"/><Relationship Id="rId10" Type="http://schemas.openxmlformats.org/officeDocument/2006/relationships/hyperlink" Target="https://doi.org/10.1016/j.jtrangeo.2021.103123" TargetMode="External"/><Relationship Id="rId4" Type="http://schemas.openxmlformats.org/officeDocument/2006/relationships/hyperlink" Target="https://doi.org/10.1080/01944365908978307" TargetMode="External"/><Relationship Id="rId9" Type="http://schemas.openxmlformats.org/officeDocument/2006/relationships/hyperlink" Target="https://doi.org/10.1080/02723638.2013.7786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880</Words>
  <Characters>5016</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UPV</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shferlo</dc:creator>
  <cp:lastModifiedBy>Paez, Antonio</cp:lastModifiedBy>
  <cp:revision>34</cp:revision>
  <dcterms:created xsi:type="dcterms:W3CDTF">2022-06-23T20:47:00Z</dcterms:created>
  <dcterms:modified xsi:type="dcterms:W3CDTF">2023-06-06T14:14:00Z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92783a58842a1099c7ba22af525c88023627cff66e191837fb4d3085a9b85d0d</vt:lpwstr>
  </property>
</Properties>
</file>