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42.png" ContentType="image/png"/>
  <Override PartName="/word/media/rId39.png" ContentType="image/png"/>
  <Override PartName="/word/media/rId2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cost</w:t>
      </w:r>
      <w:r>
        <w:t xml:space="preserve"> </w:t>
      </w:r>
      <w:r>
        <w:t xml:space="preserve">of</w:t>
      </w:r>
      <w:r>
        <w:t xml:space="preserve"> </w:t>
      </w:r>
      <w:r>
        <w:t xml:space="preserve">school</w:t>
      </w:r>
      <w:r>
        <w:t xml:space="preserve"> </w:t>
      </w:r>
      <w:r>
        <w:t xml:space="preserve">consolidations:</w:t>
      </w:r>
      <w:r>
        <w:t xml:space="preserve"> </w:t>
      </w:r>
      <w:r>
        <w:t xml:space="preserve">impacts</w:t>
      </w:r>
      <w:r>
        <w:t xml:space="preserve"> </w:t>
      </w:r>
      <w:r>
        <w:t xml:space="preserve">of</w:t>
      </w:r>
      <w:r>
        <w:t xml:space="preserve"> </w:t>
      </w:r>
      <w:r>
        <w:t xml:space="preserve">reduced</w:t>
      </w:r>
      <w:r>
        <w:t xml:space="preserve"> </w:t>
      </w:r>
      <w:r>
        <w:t xml:space="preserve">accessibility</w:t>
      </w:r>
    </w:p>
    <w:p>
      <w:pPr>
        <w:pStyle w:val="Author"/>
      </w:pPr>
      <w:r>
        <w:t xml:space="preserve">Anastasia</w:t>
      </w:r>
      <w:r>
        <w:t xml:space="preserve"> </w:t>
      </w:r>
      <w:r>
        <w:t xml:space="preserve">Soukhov</w:t>
      </w:r>
    </w:p>
    <w:p>
      <w:pPr>
        <w:pStyle w:val="Author"/>
      </w:pPr>
      <w:r>
        <w:t xml:space="preserve">Antonio</w:t>
      </w:r>
      <w:r>
        <w:t xml:space="preserve"> </w:t>
      </w:r>
      <w:r>
        <w:t xml:space="preserve">Paez</w:t>
      </w:r>
    </w:p>
    <w:p>
      <w:pPr>
        <w:pStyle w:val="Abstract"/>
      </w:pPr>
      <w:r>
        <w:t xml:space="preserve">The</w:t>
      </w:r>
      <w:r>
        <w:t xml:space="preserve"> </w:t>
      </w:r>
      <w:r>
        <w:t xml:space="preserve">reduction</w:t>
      </w:r>
      <w:r>
        <w:t xml:space="preserve"> </w:t>
      </w:r>
      <w:r>
        <w:t xml:space="preserve">of</w:t>
      </w:r>
      <w:r>
        <w:t xml:space="preserve"> </w:t>
      </w:r>
      <w:r>
        <w:t xml:space="preserve">mobility-induced</w:t>
      </w:r>
      <w:r>
        <w:t xml:space="preserve"> </w:t>
      </w:r>
      <w:r>
        <w:t xml:space="preserve">GHG</w:t>
      </w:r>
      <w:r>
        <w:t xml:space="preserve"> </w:t>
      </w:r>
      <w:r>
        <w:t xml:space="preserve">emissions</w:t>
      </w:r>
      <w:r>
        <w:t xml:space="preserve"> </w:t>
      </w:r>
      <w:r>
        <w:t xml:space="preserve">is</w:t>
      </w:r>
      <w:r>
        <w:t xml:space="preserve"> </w:t>
      </w:r>
      <w:r>
        <w:t xml:space="preserve">a</w:t>
      </w:r>
      <w:r>
        <w:t xml:space="preserve"> </w:t>
      </w:r>
      <w:r>
        <w:t xml:space="preserve">top</w:t>
      </w:r>
      <w:r>
        <w:t xml:space="preserve"> </w:t>
      </w:r>
      <w:r>
        <w:t xml:space="preserve">priority</w:t>
      </w:r>
      <w:r>
        <w:t xml:space="preserve"> </w:t>
      </w:r>
      <w:r>
        <w:t xml:space="preserve">for</w:t>
      </w:r>
      <w:r>
        <w:t xml:space="preserve"> </w:t>
      </w:r>
      <w:r>
        <w:t xml:space="preserve">many</w:t>
      </w:r>
      <w:r>
        <w:t xml:space="preserve"> </w:t>
      </w:r>
      <w:r>
        <w:t xml:space="preserve">communities</w:t>
      </w:r>
      <w:r>
        <w:t xml:space="preserve"> </w:t>
      </w:r>
      <w:r>
        <w:t xml:space="preserve">around</w:t>
      </w:r>
      <w:r>
        <w:t xml:space="preserve"> </w:t>
      </w:r>
      <w:r>
        <w:t xml:space="preserve">the</w:t>
      </w:r>
      <w:r>
        <w:t xml:space="preserve"> </w:t>
      </w:r>
      <w:r>
        <w:t xml:space="preserve">world.</w:t>
      </w:r>
      <w:r>
        <w:t xml:space="preserve"> </w:t>
      </w:r>
      <w:r>
        <w:t xml:space="preserve">From</w:t>
      </w:r>
      <w:r>
        <w:t xml:space="preserve"> </w:t>
      </w:r>
      <w:r>
        <w:t xml:space="preserve">a</w:t>
      </w:r>
      <w:r>
        <w:t xml:space="preserve"> </w:t>
      </w:r>
      <w:r>
        <w:t xml:space="preserve">different</w:t>
      </w:r>
      <w:r>
        <w:t xml:space="preserve"> </w:t>
      </w:r>
      <w:r>
        <w:t xml:space="preserve">standpoint,</w:t>
      </w:r>
      <w:r>
        <w:t xml:space="preserve"> </w:t>
      </w:r>
      <w:r>
        <w:t xml:space="preserve">communities</w:t>
      </w:r>
      <w:r>
        <w:t xml:space="preserve"> </w:t>
      </w:r>
      <w:r>
        <w:t xml:space="preserve">are</w:t>
      </w:r>
      <w:r>
        <w:t xml:space="preserve"> </w:t>
      </w:r>
      <w:r>
        <w:t xml:space="preserve">consistently</w:t>
      </w:r>
      <w:r>
        <w:t xml:space="preserve"> </w:t>
      </w:r>
      <w:r>
        <w:t xml:space="preserve">under</w:t>
      </w:r>
      <w:r>
        <w:t xml:space="preserve"> </w:t>
      </w:r>
      <w:r>
        <w:t xml:space="preserve">pressure</w:t>
      </w:r>
      <w:r>
        <w:t xml:space="preserve"> </w:t>
      </w:r>
      <w:r>
        <w:t xml:space="preserve">to</w:t>
      </w:r>
      <w:r>
        <w:t xml:space="preserve"> </w:t>
      </w:r>
      <w:r>
        <w:t xml:space="preserve">increase</w:t>
      </w:r>
      <w:r>
        <w:t xml:space="preserve"> </w:t>
      </w:r>
      <w:r>
        <w:t xml:space="preserve">operational</w:t>
      </w:r>
      <w:r>
        <w:t xml:space="preserve"> </w:t>
      </w:r>
      <w:r>
        <w:t xml:space="preserve">cost-efficiency</w:t>
      </w:r>
      <w:r>
        <w:t xml:space="preserve"> </w:t>
      </w:r>
      <w:r>
        <w:t xml:space="preserve">savings,</w:t>
      </w:r>
      <w:r>
        <w:t xml:space="preserve"> </w:t>
      </w:r>
      <w:r>
        <w:t xml:space="preserve">including</w:t>
      </w:r>
      <w:r>
        <w:t xml:space="preserve"> </w:t>
      </w:r>
      <w:r>
        <w:t xml:space="preserve">the</w:t>
      </w:r>
      <w:r>
        <w:t xml:space="preserve"> </w:t>
      </w:r>
      <w:r>
        <w:t xml:space="preserve">consideration</w:t>
      </w:r>
      <w:r>
        <w:t xml:space="preserve"> </w:t>
      </w:r>
      <w:r>
        <w:t xml:space="preserve">of</w:t>
      </w:r>
      <w:r>
        <w:t xml:space="preserve"> </w:t>
      </w:r>
      <w:r>
        <w:t xml:space="preserve">spatially</w:t>
      </w:r>
      <w:r>
        <w:t xml:space="preserve"> </w:t>
      </w:r>
      <w:r>
        <w:t xml:space="preserve">consolidating</w:t>
      </w:r>
      <w:r>
        <w:t xml:space="preserve"> </w:t>
      </w:r>
      <w:r>
        <w:t xml:space="preserve">public</w:t>
      </w:r>
      <w:r>
        <w:t xml:space="preserve"> </w:t>
      </w:r>
      <w:r>
        <w:t xml:space="preserve">resource</w:t>
      </w:r>
      <w:r>
        <w:t xml:space="preserve"> </w:t>
      </w:r>
      <w:r>
        <w:t xml:space="preserve">provision.</w:t>
      </w:r>
      <w:r>
        <w:t xml:space="preserve"> </w:t>
      </w:r>
      <w:r>
        <w:t xml:space="preserve">This</w:t>
      </w:r>
      <w:r>
        <w:t xml:space="preserve"> </w:t>
      </w:r>
      <w:r>
        <w:t xml:space="preserve">is</w:t>
      </w:r>
      <w:r>
        <w:t xml:space="preserve"> </w:t>
      </w:r>
      <w:r>
        <w:t xml:space="preserve">the</w:t>
      </w:r>
      <w:r>
        <w:t xml:space="preserve"> </w:t>
      </w:r>
      <w:r>
        <w:t xml:space="preserve">case</w:t>
      </w:r>
      <w:r>
        <w:t xml:space="preserve"> </w:t>
      </w:r>
      <w:r>
        <w:t xml:space="preserve">for</w:t>
      </w:r>
      <w:r>
        <w:t xml:space="preserve"> </w:t>
      </w:r>
      <w:r>
        <w:t xml:space="preserve">public</w:t>
      </w:r>
      <w:r>
        <w:t xml:space="preserve"> </w:t>
      </w:r>
      <w:r>
        <w:t xml:space="preserve">schools,</w:t>
      </w:r>
      <w:r>
        <w:t xml:space="preserve"> </w:t>
      </w:r>
      <w:r>
        <w:t xml:space="preserve">where</w:t>
      </w:r>
      <w:r>
        <w:t xml:space="preserve"> </w:t>
      </w:r>
      <w:r>
        <w:t xml:space="preserve">governments</w:t>
      </w:r>
      <w:r>
        <w:t xml:space="preserve"> </w:t>
      </w:r>
      <w:r>
        <w:t xml:space="preserve">are</w:t>
      </w:r>
      <w:r>
        <w:t xml:space="preserve"> </w:t>
      </w:r>
      <w:r>
        <w:t xml:space="preserve">opting</w:t>
      </w:r>
      <w:r>
        <w:t xml:space="preserve"> </w:t>
      </w:r>
      <w:r>
        <w:t xml:space="preserve">to</w:t>
      </w:r>
      <w:r>
        <w:t xml:space="preserve"> </w:t>
      </w:r>
      <w:r>
        <w:t xml:space="preserve">close</w:t>
      </w:r>
      <w:r>
        <w:t xml:space="preserve"> </w:t>
      </w:r>
      <w:r>
        <w:t xml:space="preserve">under-capacity</w:t>
      </w:r>
      <w:r>
        <w:t xml:space="preserve"> </w:t>
      </w:r>
      <w:r>
        <w:t xml:space="preserve">schools</w:t>
      </w:r>
      <w:r>
        <w:t xml:space="preserve"> </w:t>
      </w:r>
      <w:r>
        <w:t xml:space="preserve">and</w:t>
      </w:r>
      <w:r>
        <w:t xml:space="preserve"> </w:t>
      </w:r>
      <w:r>
        <w:t xml:space="preserve">expand</w:t>
      </w:r>
      <w:r>
        <w:t xml:space="preserve"> </w:t>
      </w:r>
      <w:r>
        <w:t xml:space="preserve">existing</w:t>
      </w:r>
      <w:r>
        <w:t xml:space="preserve"> </w:t>
      </w:r>
      <w:r>
        <w:t xml:space="preserve">schools</w:t>
      </w:r>
      <w:r>
        <w:t xml:space="preserve"> </w:t>
      </w:r>
      <w:r>
        <w:t xml:space="preserve">to</w:t>
      </w:r>
      <w:r>
        <w:t xml:space="preserve"> </w:t>
      </w:r>
      <w:r>
        <w:t xml:space="preserve">accommodate</w:t>
      </w:r>
      <w:r>
        <w:t xml:space="preserve"> </w:t>
      </w:r>
      <w:r>
        <w:t xml:space="preserve">lost</w:t>
      </w:r>
      <w:r>
        <w:t xml:space="preserve"> </w:t>
      </w:r>
      <w:r>
        <w:t xml:space="preserve">capacity.</w:t>
      </w:r>
      <w:r>
        <w:t xml:space="preserve"> </w:t>
      </w:r>
      <w:r>
        <w:t xml:space="preserve">This</w:t>
      </w:r>
      <w:r>
        <w:t xml:space="preserve"> </w:t>
      </w:r>
      <w:r>
        <w:t xml:space="preserve">study</w:t>
      </w:r>
      <w:r>
        <w:t xml:space="preserve"> </w:t>
      </w:r>
      <w:r>
        <w:t xml:space="preserve">quantifies</w:t>
      </w:r>
      <w:r>
        <w:t xml:space="preserve"> </w:t>
      </w:r>
      <w:r>
        <w:t xml:space="preserve">the</w:t>
      </w:r>
      <w:r>
        <w:t xml:space="preserve"> </w:t>
      </w:r>
      <w:r>
        <w:t xml:space="preserve">travel</w:t>
      </w:r>
      <w:r>
        <w:t xml:space="preserve"> </w:t>
      </w:r>
      <w:r>
        <w:t xml:space="preserve">burdens</w:t>
      </w:r>
      <w:r>
        <w:t xml:space="preserve"> </w:t>
      </w:r>
      <w:r>
        <w:t xml:space="preserve">of</w:t>
      </w:r>
      <w:r>
        <w:t xml:space="preserve"> </w:t>
      </w:r>
      <w:r>
        <w:t xml:space="preserve">school</w:t>
      </w:r>
      <w:r>
        <w:t xml:space="preserve"> </w:t>
      </w:r>
      <w:r>
        <w:t xml:space="preserve">consolidation/closure</w:t>
      </w:r>
      <w:r>
        <w:t xml:space="preserve"> </w:t>
      </w:r>
      <w:r>
        <w:t xml:space="preserve">policy</w:t>
      </w:r>
      <w:r>
        <w:t xml:space="preserve"> </w:t>
      </w:r>
      <w:r>
        <w:t xml:space="preserve">through</w:t>
      </w:r>
      <w:r>
        <w:t xml:space="preserve"> </w:t>
      </w:r>
      <w:r>
        <w:t xml:space="preserve">the</w:t>
      </w:r>
      <w:r>
        <w:t xml:space="preserve"> </w:t>
      </w:r>
      <w:r>
        <w:t xml:space="preserve">case</w:t>
      </w:r>
      <w:r>
        <w:t xml:space="preserve"> </w:t>
      </w:r>
      <w:r>
        <w:t xml:space="preserve">of</w:t>
      </w:r>
      <w:r>
        <w:t xml:space="preserve"> </w:t>
      </w:r>
      <w:r>
        <w:t xml:space="preserve">Hamilton,</w:t>
      </w:r>
      <w:r>
        <w:t xml:space="preserve"> </w:t>
      </w:r>
      <w:r>
        <w:t xml:space="preserve">a</w:t>
      </w:r>
      <w:r>
        <w:t xml:space="preserve"> </w:t>
      </w:r>
      <w:r>
        <w:t xml:space="preserve">mid-sized</w:t>
      </w:r>
      <w:r>
        <w:t xml:space="preserve"> </w:t>
      </w:r>
      <w:r>
        <w:t xml:space="preserve">city</w:t>
      </w:r>
      <w:r>
        <w:t xml:space="preserve"> </w:t>
      </w:r>
      <w:r>
        <w:t xml:space="preserve">in</w:t>
      </w:r>
      <w:r>
        <w:t xml:space="preserve"> </w:t>
      </w:r>
      <w:r>
        <w:t xml:space="preserve">Ontario,</w:t>
      </w:r>
      <w:r>
        <w:t xml:space="preserve"> </w:t>
      </w:r>
      <w:r>
        <w:t xml:space="preserve">Canada.</w:t>
      </w:r>
      <w:r>
        <w:t xml:space="preserve"> </w:t>
      </w:r>
      <w:r>
        <w:t xml:space="preserve">Between</w:t>
      </w:r>
      <w:r>
        <w:t xml:space="preserve"> </w:t>
      </w:r>
      <w:r>
        <w:t xml:space="preserve">the</w:t>
      </w:r>
      <w:r>
        <w:t xml:space="preserve"> </w:t>
      </w:r>
      <w:r>
        <w:t xml:space="preserve">years</w:t>
      </w:r>
      <w:r>
        <w:t xml:space="preserve"> </w:t>
      </w:r>
      <w:r>
        <w:t xml:space="preserve">2011</w:t>
      </w:r>
      <w:r>
        <w:t xml:space="preserve"> </w:t>
      </w:r>
      <w:r>
        <w:t xml:space="preserve">and</w:t>
      </w:r>
      <w:r>
        <w:t xml:space="preserve"> </w:t>
      </w:r>
      <w:r>
        <w:t xml:space="preserve">2015,</w:t>
      </w:r>
      <w:r>
        <w:t xml:space="preserve"> </w:t>
      </w:r>
      <w:r>
        <w:t xml:space="preserve">7%</w:t>
      </w:r>
      <w:r>
        <w:t xml:space="preserve"> </w:t>
      </w:r>
      <w:r>
        <w:t xml:space="preserve">of</w:t>
      </w:r>
      <w:r>
        <w:t xml:space="preserve"> </w:t>
      </w:r>
      <w:r>
        <w:t xml:space="preserve">the</w:t>
      </w:r>
      <w:r>
        <w:t xml:space="preserve"> </w:t>
      </w:r>
      <w:r>
        <w:t xml:space="preserve">elementary</w:t>
      </w:r>
      <w:r>
        <w:t xml:space="preserve"> </w:t>
      </w:r>
      <w:r>
        <w:t xml:space="preserve">schools</w:t>
      </w:r>
      <w:r>
        <w:t xml:space="preserve"> </w:t>
      </w:r>
      <w:r>
        <w:t xml:space="preserve">closed</w:t>
      </w:r>
      <w:r>
        <w:t xml:space="preserve"> </w:t>
      </w:r>
      <w:r>
        <w:t xml:space="preserve">in</w:t>
      </w:r>
      <w:r>
        <w:t xml:space="preserve"> </w:t>
      </w:r>
      <w:r>
        <w:t xml:space="preserve">the</w:t>
      </w:r>
      <w:r>
        <w:t xml:space="preserve"> </w:t>
      </w:r>
      <w:r>
        <w:t xml:space="preserve">city.</w:t>
      </w:r>
      <w:r>
        <w:t xml:space="preserve"> </w:t>
      </w:r>
      <w:r>
        <w:t xml:space="preserve">Specifically,</w:t>
      </w:r>
      <w:r>
        <w:t xml:space="preserve"> </w:t>
      </w:r>
      <w:r>
        <w:t xml:space="preserve">we</w:t>
      </w:r>
      <w:r>
        <w:t xml:space="preserve"> </w:t>
      </w:r>
      <w:r>
        <w:t xml:space="preserve">quantify</w:t>
      </w:r>
      <w:r>
        <w:t xml:space="preserve"> </w:t>
      </w:r>
      <w:r>
        <w:t xml:space="preserve">how</w:t>
      </w:r>
      <w:r>
        <w:t xml:space="preserve"> </w:t>
      </w:r>
      <w:r>
        <w:t xml:space="preserve">these</w:t>
      </w:r>
      <w:r>
        <w:t xml:space="preserve"> </w:t>
      </w:r>
      <w:r>
        <w:t xml:space="preserve">closures</w:t>
      </w:r>
      <w:r>
        <w:t xml:space="preserve"> </w:t>
      </w:r>
      <w:r>
        <w:t xml:space="preserve">changed</w:t>
      </w:r>
      <w:r>
        <w:t xml:space="preserve"> </w:t>
      </w:r>
      <w:r>
        <w:t xml:space="preserve">the</w:t>
      </w:r>
      <w:r>
        <w:t xml:space="preserve"> </w:t>
      </w:r>
      <w:r>
        <w:t xml:space="preserve">accessibility</w:t>
      </w:r>
      <w:r>
        <w:t xml:space="preserve"> </w:t>
      </w:r>
      <w:r>
        <w:t xml:space="preserve">landscape</w:t>
      </w:r>
      <w:r>
        <w:t xml:space="preserve"> </w:t>
      </w:r>
      <w:r>
        <w:t xml:space="preserve">for</w:t>
      </w:r>
      <w:r>
        <w:t xml:space="preserve"> </w:t>
      </w:r>
      <w:r>
        <w:t xml:space="preserve">the</w:t>
      </w:r>
      <w:r>
        <w:t xml:space="preserve"> </w:t>
      </w:r>
      <w:r>
        <w:t xml:space="preserve">elementary</w:t>
      </w:r>
      <w:r>
        <w:t xml:space="preserve"> </w:t>
      </w:r>
      <w:r>
        <w:t xml:space="preserve">school</w:t>
      </w:r>
      <w:r>
        <w:t xml:space="preserve"> </w:t>
      </w:r>
      <w:r>
        <w:t xml:space="preserve">aged</w:t>
      </w:r>
      <w:r>
        <w:t xml:space="preserve"> </w:t>
      </w:r>
      <w:r>
        <w:t xml:space="preserve">population</w:t>
      </w:r>
      <w:r>
        <w:t xml:space="preserve"> </w:t>
      </w:r>
      <w:r>
        <w:t xml:space="preserve">by</w:t>
      </w:r>
      <w:r>
        <w:t xml:space="preserve"> </w:t>
      </w:r>
      <w:r>
        <w:t xml:space="preserve">using</w:t>
      </w:r>
      <w:r>
        <w:t xml:space="preserve"> </w:t>
      </w:r>
      <w:r>
        <w:t xml:space="preserve">spatial</w:t>
      </w:r>
      <w:r>
        <w:t xml:space="preserve"> </w:t>
      </w:r>
      <w:r>
        <w:t xml:space="preserve">availability,</w:t>
      </w:r>
      <w:r>
        <w:t xml:space="preserve"> </w:t>
      </w:r>
      <w:r>
        <w:t xml:space="preserve">a</w:t>
      </w:r>
      <w:r>
        <w:t xml:space="preserve"> </w:t>
      </w:r>
      <w:r>
        <w:t xml:space="preserve">novel</w:t>
      </w:r>
      <w:r>
        <w:t xml:space="preserve"> </w:t>
      </w:r>
      <w:r>
        <w:t xml:space="preserve">singly-constrained</w:t>
      </w:r>
      <w:r>
        <w:t xml:space="preserve"> </w:t>
      </w:r>
      <w:r>
        <w:t xml:space="preserve">accessibility</w:t>
      </w:r>
      <w:r>
        <w:t xml:space="preserve"> </w:t>
      </w:r>
      <w:r>
        <w:t xml:space="preserve">measure.</w:t>
      </w:r>
      <w:r>
        <w:t xml:space="preserve"> </w:t>
      </w:r>
      <w:r>
        <w:t xml:space="preserve">Spatial</w:t>
      </w:r>
      <w:r>
        <w:t xml:space="preserve"> </w:t>
      </w:r>
      <w:r>
        <w:t xml:space="preserve">availability</w:t>
      </w:r>
      <w:r>
        <w:t xml:space="preserve"> </w:t>
      </w:r>
      <w:r>
        <w:t xml:space="preserve">allows</w:t>
      </w:r>
      <w:r>
        <w:t xml:space="preserve"> </w:t>
      </w:r>
      <w:r>
        <w:t xml:space="preserve">for</w:t>
      </w:r>
      <w:r>
        <w:t xml:space="preserve"> </w:t>
      </w:r>
      <w:r>
        <w:t xml:space="preserve">an</w:t>
      </w:r>
      <w:r>
        <w:t xml:space="preserve"> </w:t>
      </w:r>
      <w:r>
        <w:t xml:space="preserve">interpretable</w:t>
      </w:r>
      <w:r>
        <w:t xml:space="preserve"> </w:t>
      </w:r>
      <w:r>
        <w:t xml:space="preserve">comparison</w:t>
      </w:r>
      <w:r>
        <w:t xml:space="preserve"> </w:t>
      </w:r>
      <w:r>
        <w:t xml:space="preserve">between</w:t>
      </w:r>
      <w:r>
        <w:t xml:space="preserve"> </w:t>
      </w:r>
      <w:r>
        <w:t xml:space="preserve">‘</w:t>
      </w:r>
      <w:r>
        <w:t xml:space="preserve">before</w:t>
      </w:r>
      <w:r>
        <w:t xml:space="preserve">’</w:t>
      </w:r>
      <w:r>
        <w:t xml:space="preserve"> </w:t>
      </w:r>
      <w:r>
        <w:t xml:space="preserve">and</w:t>
      </w:r>
      <w:r>
        <w:t xml:space="preserve"> </w:t>
      </w:r>
      <w:r>
        <w:t xml:space="preserve">‘</w:t>
      </w:r>
      <w:r>
        <w:t xml:space="preserve">after</w:t>
      </w:r>
      <w:r>
        <w:t xml:space="preserve">’</w:t>
      </w:r>
      <w:r>
        <w:t xml:space="preserve"> </w:t>
      </w:r>
      <w:r>
        <w:t xml:space="preserve">policy</w:t>
      </w:r>
      <w:r>
        <w:t xml:space="preserve"> </w:t>
      </w:r>
      <w:r>
        <w:t xml:space="preserve">implementation</w:t>
      </w:r>
      <w:r>
        <w:t xml:space="preserve"> </w:t>
      </w:r>
      <w:r>
        <w:t xml:space="preserve">because</w:t>
      </w:r>
      <w:r>
        <w:t xml:space="preserve"> </w:t>
      </w:r>
      <w:r>
        <w:t xml:space="preserve">of</w:t>
      </w:r>
      <w:r>
        <w:t xml:space="preserve"> </w:t>
      </w:r>
      <w:r>
        <w:t xml:space="preserve">its</w:t>
      </w:r>
      <w:r>
        <w:t xml:space="preserve"> </w:t>
      </w:r>
      <w:r>
        <w:t xml:space="preserve">unique</w:t>
      </w:r>
      <w:r>
        <w:t xml:space="preserve"> </w:t>
      </w:r>
      <w:r>
        <w:t xml:space="preserve">proportional</w:t>
      </w:r>
      <w:r>
        <w:t xml:space="preserve"> </w:t>
      </w:r>
      <w:r>
        <w:t xml:space="preserve">allocation</w:t>
      </w:r>
      <w:r>
        <w:t xml:space="preserve"> </w:t>
      </w:r>
      <w:r>
        <w:t xml:space="preserve">property.</w:t>
      </w:r>
      <w:r>
        <w:t xml:space="preserve"> </w:t>
      </w:r>
      <w:r>
        <w:t xml:space="preserve">Analysis</w:t>
      </w:r>
      <w:r>
        <w:t xml:space="preserve"> </w:t>
      </w:r>
      <w:r>
        <w:t xml:space="preserve">is</w:t>
      </w:r>
      <w:r>
        <w:t xml:space="preserve"> </w:t>
      </w:r>
      <w:r>
        <w:t xml:space="preserve">conducted</w:t>
      </w:r>
      <w:r>
        <w:t xml:space="preserve"> </w:t>
      </w:r>
      <w:r>
        <w:t xml:space="preserve">at</w:t>
      </w:r>
      <w:r>
        <w:t xml:space="preserve"> </w:t>
      </w:r>
      <w:r>
        <w:t xml:space="preserve">the</w:t>
      </w:r>
      <w:r>
        <w:t xml:space="preserve"> </w:t>
      </w:r>
      <w:r>
        <w:t xml:space="preserve">parcel-level,</w:t>
      </w:r>
      <w:r>
        <w:t xml:space="preserve"> </w:t>
      </w:r>
      <w:r>
        <w:t xml:space="preserve">all</w:t>
      </w:r>
      <w:r>
        <w:t xml:space="preserve"> </w:t>
      </w:r>
      <w:r>
        <w:t xml:space="preserve">school-seats</w:t>
      </w:r>
      <w:r>
        <w:t xml:space="preserve"> </w:t>
      </w:r>
      <w:r>
        <w:t xml:space="preserve">being</w:t>
      </w:r>
      <w:r>
        <w:t xml:space="preserve"> </w:t>
      </w:r>
      <w:r>
        <w:t xml:space="preserve">eligible</w:t>
      </w:r>
      <w:r>
        <w:t xml:space="preserve"> </w:t>
      </w:r>
      <w:r>
        <w:t xml:space="preserve">and</w:t>
      </w:r>
      <w:r>
        <w:t xml:space="preserve"> </w:t>
      </w:r>
      <w:r>
        <w:t xml:space="preserve">travel</w:t>
      </w:r>
      <w:r>
        <w:t xml:space="preserve"> </w:t>
      </w:r>
      <w:r>
        <w:t xml:space="preserve">behaviour</w:t>
      </w:r>
      <w:r>
        <w:t xml:space="preserve"> </w:t>
      </w:r>
      <w:r>
        <w:t xml:space="preserve">based</w:t>
      </w:r>
      <w:r>
        <w:t xml:space="preserve"> </w:t>
      </w:r>
      <w:r>
        <w:t xml:space="preserve">on</w:t>
      </w:r>
      <w:r>
        <w:t xml:space="preserve"> </w:t>
      </w:r>
      <w:r>
        <w:t xml:space="preserve">observved</w:t>
      </w:r>
      <w:r>
        <w:t xml:space="preserve"> </w:t>
      </w:r>
      <w:r>
        <w:t xml:space="preserve">home-to-school</w:t>
      </w:r>
      <w:r>
        <w:t xml:space="preserve"> </w:t>
      </w:r>
      <w:r>
        <w:t xml:space="preserve">patterns</w:t>
      </w:r>
      <w:r>
        <w:t xml:space="preserve"> </w:t>
      </w:r>
      <w:r>
        <w:t xml:space="preserve">for</w:t>
      </w:r>
      <w:r>
        <w:t xml:space="preserve"> </w:t>
      </w:r>
      <w:r>
        <w:t xml:space="preserve">motorzied</w:t>
      </w:r>
      <w:r>
        <w:t xml:space="preserve"> </w:t>
      </w:r>
      <w:r>
        <w:t xml:space="preserve">and</w:t>
      </w:r>
      <w:r>
        <w:t xml:space="preserve"> </w:t>
      </w:r>
      <w:r>
        <w:t xml:space="preserve">non-motorized</w:t>
      </w:r>
      <w:r>
        <w:t xml:space="preserve"> </w:t>
      </w:r>
      <w:r>
        <w:t xml:space="preserve">modes.</w:t>
      </w:r>
      <w:r>
        <w:t xml:space="preserve"> </w:t>
      </w:r>
      <w:r>
        <w:t xml:space="preserve">Analysis</w:t>
      </w:r>
      <w:r>
        <w:t xml:space="preserve"> </w:t>
      </w:r>
      <w:r>
        <w:t xml:space="preserve">on</w:t>
      </w:r>
      <w:r>
        <w:t xml:space="preserve"> </w:t>
      </w:r>
      <w:r>
        <w:t xml:space="preserve">system-wide</w:t>
      </w:r>
      <w:r>
        <w:t xml:space="preserve"> </w:t>
      </w:r>
      <w:r>
        <w:t xml:space="preserve">impacts</w:t>
      </w:r>
      <w:r>
        <w:t xml:space="preserve"> </w:t>
      </w:r>
      <w:r>
        <w:t xml:space="preserve">such</w:t>
      </w:r>
      <w:r>
        <w:t xml:space="preserve"> </w:t>
      </w:r>
      <w:r>
        <w:t xml:space="preserve">as</w:t>
      </w:r>
      <w:r>
        <w:t xml:space="preserve"> </w:t>
      </w:r>
      <w:r>
        <w:t xml:space="preserve">potential</w:t>
      </w:r>
      <w:r>
        <w:t xml:space="preserve"> </w:t>
      </w:r>
      <w:r>
        <w:t xml:space="preserve">GHG</w:t>
      </w:r>
      <w:r>
        <w:t xml:space="preserve"> </w:t>
      </w:r>
      <w:r>
        <w:t xml:space="preserve">emission</w:t>
      </w:r>
      <w:r>
        <w:t xml:space="preserve"> </w:t>
      </w:r>
      <w:r>
        <w:t xml:space="preserve">increases</w:t>
      </w:r>
      <w:r>
        <w:t xml:space="preserve"> </w:t>
      </w:r>
      <w:r>
        <w:t xml:space="preserve">and</w:t>
      </w:r>
      <w:r>
        <w:t xml:space="preserve"> </w:t>
      </w:r>
      <w:r>
        <w:t xml:space="preserve">walk</w:t>
      </w:r>
      <w:r>
        <w:t xml:space="preserve"> </w:t>
      </w:r>
      <w:r>
        <w:t xml:space="preserve">minutes</w:t>
      </w:r>
      <w:r>
        <w:t xml:space="preserve"> </w:t>
      </w:r>
      <w:r>
        <w:t xml:space="preserve">decreases</w:t>
      </w:r>
      <w:r>
        <w:t xml:space="preserve"> </w:t>
      </w:r>
      <w:r>
        <w:t xml:space="preserve">are</w:t>
      </w:r>
      <w:r>
        <w:t xml:space="preserve"> </w:t>
      </w:r>
      <w:r>
        <w:t xml:space="preserve">detailed.</w:t>
      </w:r>
      <w:r>
        <w:t xml:space="preserve"> </w:t>
      </w:r>
      <w:r>
        <w:t xml:space="preserve">Overall,</w:t>
      </w:r>
      <w:r>
        <w:t xml:space="preserve"> </w:t>
      </w:r>
      <w:r>
        <w:t xml:space="preserve">spatial</w:t>
      </w:r>
      <w:r>
        <w:t xml:space="preserve"> </w:t>
      </w:r>
      <w:r>
        <w:t xml:space="preserve">availability</w:t>
      </w:r>
      <w:r>
        <w:t xml:space="preserve"> </w:t>
      </w:r>
      <w:r>
        <w:t xml:space="preserve">decreased</w:t>
      </w:r>
      <w:r>
        <w:t xml:space="preserve"> </w:t>
      </w:r>
      <w:r>
        <w:t xml:space="preserve">in</w:t>
      </w:r>
      <w:r>
        <w:t xml:space="preserve"> </w:t>
      </w:r>
      <w:r>
        <w:t xml:space="preserve">the</w:t>
      </w:r>
      <w:r>
        <w:t xml:space="preserve"> </w:t>
      </w:r>
      <w:r>
        <w:t xml:space="preserve">city.</w:t>
      </w:r>
      <w:r>
        <w:t xml:space="preserve"> </w:t>
      </w:r>
      <w:r>
        <w:t xml:space="preserve">Though</w:t>
      </w:r>
      <w:r>
        <w:t xml:space="preserve"> </w:t>
      </w:r>
      <w:r>
        <w:t xml:space="preserve">the</w:t>
      </w:r>
      <w:r>
        <w:t xml:space="preserve"> </w:t>
      </w:r>
      <w:r>
        <w:t xml:space="preserve">school</w:t>
      </w:r>
      <w:r>
        <w:t xml:space="preserve"> </w:t>
      </w:r>
      <w:r>
        <w:t xml:space="preserve">conslidation</w:t>
      </w:r>
      <w:r>
        <w:t xml:space="preserve"> </w:t>
      </w:r>
      <w:r>
        <w:t xml:space="preserve">policy</w:t>
      </w:r>
      <w:r>
        <w:t xml:space="preserve"> </w:t>
      </w:r>
      <w:r>
        <w:t xml:space="preserve">resulted</w:t>
      </w:r>
      <w:r>
        <w:t xml:space="preserve"> </w:t>
      </w:r>
      <w:r>
        <w:t xml:space="preserve">in</w:t>
      </w:r>
      <w:r>
        <w:t xml:space="preserve"> </w:t>
      </w:r>
      <w:r>
        <w:t xml:space="preserve">short-term</w:t>
      </w:r>
      <w:r>
        <w:t xml:space="preserve"> </w:t>
      </w:r>
      <w:r>
        <w:t xml:space="preserve">operational</w:t>
      </w:r>
      <w:r>
        <w:t xml:space="preserve"> </w:t>
      </w:r>
      <w:r>
        <w:t xml:space="preserve">cost-savings,</w:t>
      </w:r>
      <w:r>
        <w:t xml:space="preserve"> </w:t>
      </w:r>
      <w:r>
        <w:t xml:space="preserve">families,</w:t>
      </w:r>
      <w:r>
        <w:t xml:space="preserve"> </w:t>
      </w:r>
      <w:r>
        <w:t xml:space="preserve">students,</w:t>
      </w:r>
      <w:r>
        <w:t xml:space="preserve"> </w:t>
      </w:r>
      <w:r>
        <w:t xml:space="preserve">and</w:t>
      </w:r>
      <w:r>
        <w:t xml:space="preserve"> </w:t>
      </w:r>
      <w:r>
        <w:t xml:space="preserve">the</w:t>
      </w:r>
      <w:r>
        <w:t xml:space="preserve"> </w:t>
      </w:r>
      <w:r>
        <w:t xml:space="preserve">environment</w:t>
      </w:r>
      <w:r>
        <w:t xml:space="preserve"> </w:t>
      </w:r>
      <w:r>
        <w:t xml:space="preserve">now</w:t>
      </w:r>
      <w:r>
        <w:t xml:space="preserve"> </w:t>
      </w:r>
      <w:r>
        <w:t xml:space="preserve">pay</w:t>
      </w:r>
      <w:r>
        <w:t xml:space="preserve"> </w:t>
      </w:r>
      <w:r>
        <w:t xml:space="preserve">the</w:t>
      </w:r>
      <w:r>
        <w:t xml:space="preserve"> </w:t>
      </w:r>
      <w:r>
        <w:t xml:space="preserve">price.</w:t>
      </w:r>
      <w:r>
        <w:t xml:space="preserve"> </w:t>
      </w:r>
      <w:r>
        <w:t xml:space="preserve">This</w:t>
      </w:r>
      <w:r>
        <w:t xml:space="preserve"> </w:t>
      </w:r>
      <w:r>
        <w:t xml:space="preserve">paper</w:t>
      </w:r>
      <w:r>
        <w:t xml:space="preserve"> </w:t>
      </w:r>
      <w:r>
        <w:t xml:space="preserve">showcases</w:t>
      </w:r>
      <w:r>
        <w:t xml:space="preserve"> </w:t>
      </w:r>
      <w:r>
        <w:t xml:space="preserve">how</w:t>
      </w:r>
      <w:r>
        <w:t xml:space="preserve"> </w:t>
      </w:r>
      <w:r>
        <w:t xml:space="preserve">spatial</w:t>
      </w:r>
      <w:r>
        <w:t xml:space="preserve"> </w:t>
      </w:r>
      <w:r>
        <w:t xml:space="preserve">availability</w:t>
      </w:r>
      <w:r>
        <w:t xml:space="preserve"> </w:t>
      </w:r>
      <w:r>
        <w:t xml:space="preserve">can</w:t>
      </w:r>
      <w:r>
        <w:t xml:space="preserve"> </w:t>
      </w:r>
      <w:r>
        <w:t xml:space="preserve">be</w:t>
      </w:r>
      <w:r>
        <w:t xml:space="preserve"> </w:t>
      </w:r>
      <w:r>
        <w:t xml:space="preserve">used</w:t>
      </w:r>
      <w:r>
        <w:t xml:space="preserve"> </w:t>
      </w:r>
      <w:r>
        <w:t xml:space="preserve">by</w:t>
      </w:r>
      <w:r>
        <w:t xml:space="preserve"> </w:t>
      </w:r>
      <w:r>
        <w:t xml:space="preserve">decision-</w:t>
      </w:r>
      <w:r>
        <w:t xml:space="preserve"> </w:t>
      </w:r>
      <w:r>
        <w:t xml:space="preserve">makers</w:t>
      </w:r>
      <w:r>
        <w:t xml:space="preserve"> </w:t>
      </w:r>
      <w:r>
        <w:t xml:space="preserve">to</w:t>
      </w:r>
      <w:r>
        <w:t xml:space="preserve"> </w:t>
      </w:r>
      <w:r>
        <w:t xml:space="preserve">quantify</w:t>
      </w:r>
      <w:r>
        <w:t xml:space="preserve"> </w:t>
      </w:r>
      <w:r>
        <w:t xml:space="preserve">spatial</w:t>
      </w:r>
      <w:r>
        <w:t xml:space="preserve"> </w:t>
      </w:r>
      <w:r>
        <w:t xml:space="preserve">and</w:t>
      </w:r>
      <w:r>
        <w:t xml:space="preserve"> </w:t>
      </w:r>
      <w:r>
        <w:t xml:space="preserve">travel</w:t>
      </w:r>
      <w:r>
        <w:t xml:space="preserve"> </w:t>
      </w:r>
      <w:r>
        <w:t xml:space="preserve">implications</w:t>
      </w:r>
      <w:r>
        <w:t xml:space="preserve"> </w:t>
      </w:r>
      <w:r>
        <w:t xml:space="preserve">in</w:t>
      </w:r>
      <w:r>
        <w:t xml:space="preserve"> </w:t>
      </w:r>
      <w:r>
        <w:t xml:space="preserve">policy.</w:t>
      </w:r>
    </w:p>
    <w:p>
      <w:pPr>
        <w:pStyle w:val="SourceCode"/>
      </w:pPr>
      <w:r>
        <w:rPr>
          <w:rStyle w:val="VerbatimChar"/>
        </w:rPr>
        <w:t xml:space="preserve">[1] 118855.3</w:t>
      </w:r>
    </w:p>
    <w:p>
      <w:pPr>
        <w:pStyle w:val="SourceCode"/>
      </w:pPr>
      <w:r>
        <w:rPr>
          <w:rStyle w:val="VerbatimChar"/>
        </w:rPr>
        <w:t xml:space="preserve">[1] 118855.3</w:t>
      </w:r>
    </w:p>
    <w:p>
      <w:pPr>
        <w:pStyle w:val="SourceCode"/>
      </w:pPr>
      <w:r>
        <w:rPr>
          <w:rStyle w:val="VerbatimChar"/>
        </w:rPr>
        <w:t xml:space="preserve">Reading layer `tts06_83_region' from data source </w:t>
      </w:r>
      <w:r>
        <w:br/>
      </w:r>
      <w:r>
        <w:rPr>
          <w:rStyle w:val="VerbatimChar"/>
        </w:rPr>
        <w:t xml:space="preserve">  `C:\Users\user\OneDrive - McMaster University\05. PhD Research\01_School-closures-accessibility-impacts\data-prep\data-inputs\TTS\tts06_83_region.shp' </w:t>
      </w:r>
      <w:r>
        <w:br/>
      </w:r>
      <w:r>
        <w:rPr>
          <w:rStyle w:val="VerbatimChar"/>
        </w:rPr>
        <w:t xml:space="preserve">  using driver `ESRI Shapefile'</w:t>
      </w:r>
      <w:r>
        <w:br/>
      </w:r>
      <w:r>
        <w:rPr>
          <w:rStyle w:val="VerbatimChar"/>
        </w:rPr>
        <w:t xml:space="preserve">Simple feature collection with 3764 features and 9 fields</w:t>
      </w:r>
      <w:r>
        <w:br/>
      </w:r>
      <w:r>
        <w:rPr>
          <w:rStyle w:val="VerbatimChar"/>
        </w:rPr>
        <w:t xml:space="preserve">Geometry type: MULTIPOLYGON</w:t>
      </w:r>
      <w:r>
        <w:br/>
      </w:r>
      <w:r>
        <w:rPr>
          <w:rStyle w:val="VerbatimChar"/>
        </w:rPr>
        <w:t xml:space="preserve">Dimension:     XY</w:t>
      </w:r>
      <w:r>
        <w:br/>
      </w:r>
      <w:r>
        <w:rPr>
          <w:rStyle w:val="VerbatimChar"/>
        </w:rPr>
        <w:t xml:space="preserve">Bounding box:  xmin: 510589 ymin: 4744298 xmax: 746856.2 ymax: 4983538</w:t>
      </w:r>
      <w:r>
        <w:br/>
      </w:r>
      <w:r>
        <w:rPr>
          <w:rStyle w:val="VerbatimChar"/>
        </w:rPr>
        <w:t xml:space="preserve">Projected CRS: NAD83 / UTM zone 17N</w:t>
      </w:r>
    </w:p>
    <w:p>
      <w:pPr>
        <w:pStyle w:val="SourceCode"/>
      </w:pPr>
      <w:r>
        <w:rPr>
          <w:rStyle w:val="VerbatimChar"/>
        </w:rPr>
        <w:t xml:space="preserve">Reading layer `tts06_pd_83' from data source </w:t>
      </w:r>
      <w:r>
        <w:br/>
      </w:r>
      <w:r>
        <w:rPr>
          <w:rStyle w:val="VerbatimChar"/>
        </w:rPr>
        <w:t xml:space="preserve">  `C:\Users\user\OneDrive - McMaster University\05. PhD Research\01_School-closures-accessibility-impacts\data-prep\data-inputs\TTS\tts06_pd_83.shp' </w:t>
      </w:r>
      <w:r>
        <w:br/>
      </w:r>
      <w:r>
        <w:rPr>
          <w:rStyle w:val="VerbatimChar"/>
        </w:rPr>
        <w:t xml:space="preserve">  using driver `ESRI Shapefile'</w:t>
      </w:r>
      <w:r>
        <w:br/>
      </w:r>
      <w:r>
        <w:rPr>
          <w:rStyle w:val="VerbatimChar"/>
        </w:rPr>
        <w:t xml:space="preserve">Simple feature collection with 105 features and 3 fields</w:t>
      </w:r>
      <w:r>
        <w:br/>
      </w:r>
      <w:r>
        <w:rPr>
          <w:rStyle w:val="VerbatimChar"/>
        </w:rPr>
        <w:t xml:space="preserve">Geometry type: MULTIPOLYGON</w:t>
      </w:r>
      <w:r>
        <w:br/>
      </w:r>
      <w:r>
        <w:rPr>
          <w:rStyle w:val="VerbatimChar"/>
        </w:rPr>
        <w:t xml:space="preserve">Dimension:     XY</w:t>
      </w:r>
      <w:r>
        <w:br/>
      </w:r>
      <w:r>
        <w:rPr>
          <w:rStyle w:val="VerbatimChar"/>
        </w:rPr>
        <w:t xml:space="preserve">Bounding box:  xmin: 510589 ymin: 4744298 xmax: 746856.2 ymax: 4983538</w:t>
      </w:r>
      <w:r>
        <w:br/>
      </w:r>
      <w:r>
        <w:rPr>
          <w:rStyle w:val="VerbatimChar"/>
        </w:rPr>
        <w:t xml:space="preserve">Projected CRS: NAD83 / UTM zone 17N</w:t>
      </w:r>
    </w:p>
    <w:bookmarkStart w:id="21" w:name="introduction"/>
    <w:p>
      <w:pPr>
        <w:pStyle w:val="Heading1"/>
      </w:pPr>
      <w:r>
        <w:t xml:space="preserve">Introduction</w:t>
      </w:r>
    </w:p>
    <w:p>
      <w:pPr>
        <w:pStyle w:val="FirstParagraph"/>
      </w:pPr>
      <w:r>
        <w:t xml:space="preserve">Communities are by nature in flux: economic and demographic shifts, rural and urban configurations, and political pressures stoke changes in community characteristics. These forces spur the re-organization and consolidation of public facilities in communities around the world where changes to service provision may improve the quality of service for some but not for all</w:t>
      </w:r>
      <w:r>
        <w:t xml:space="preserve"> </w:t>
      </w:r>
      <w:r>
        <w:t xml:space="preserve">(Christiaanse 2020; Rosik, Puławska-Obiedowska, and Goliszek 2021)</w:t>
      </w:r>
      <w:r>
        <w:t xml:space="preserve">. Oftentimes, top-down consolidation decisions that are driven by operational cost-savings do not taken into consideration the full extent of benefit loss.</w:t>
      </w:r>
    </w:p>
    <w:p>
      <w:pPr>
        <w:pStyle w:val="BodyText"/>
      </w:pPr>
      <w:r>
        <w:t xml:space="preserve">From this perspective, journey-to-school trips are tremendously important: this trip purpose is the largest contributor of carbon emissions from personal travel after journey-to-work trips</w:t>
      </w:r>
      <w:r>
        <w:t xml:space="preserve"> </w:t>
      </w:r>
      <w:r>
        <w:t xml:space="preserve">(Rong et al. 2022; Pantelaki, Claudia Caspani, and Maggi 2024)</w:t>
      </w:r>
      <w:r>
        <w:t xml:space="preserve">. In many communities globally, school locations are closing</w:t>
      </w:r>
      <w:r>
        <w:t xml:space="preserve"> </w:t>
      </w:r>
      <w:r>
        <w:t xml:space="preserve">(Sageman 2022)</w:t>
      </w:r>
      <w:r>
        <w:t xml:space="preserve"> </w:t>
      </w:r>
      <w:r>
        <w:t xml:space="preserve">and trips made to school are increasingly motorized</w:t>
      </w:r>
      <w:r>
        <w:t xml:space="preserve"> </w:t>
      </w:r>
      <w:r>
        <w:t xml:space="preserve">(Rong et al. 2022)</w:t>
      </w:r>
      <w:r>
        <w:t xml:space="preserve">. Nonetheless, school closure policies have been pursued by governments to optimize per-student operational cost-efficiency</w:t>
      </w:r>
      <w:r>
        <w:t xml:space="preserve"> </w:t>
      </w:r>
      <w:r>
        <w:t xml:space="preserve">(Rong et al. 2022)</w:t>
      </w:r>
      <w:r>
        <w:t xml:space="preserve"> </w:t>
      </w:r>
      <w:r>
        <w:t xml:space="preserve">but spatial and travel implications have often been overlooked by decision makers</w:t>
      </w:r>
      <w:r>
        <w:t xml:space="preserve"> </w:t>
      </w:r>
      <w:r>
        <w:t xml:space="preserve">(Bierbaum, Karner, and Barajas 2021; Lee and Lubienski 2017)</w:t>
      </w:r>
      <w:r>
        <w:t xml:space="preserve">. For instance, 65% of comprehensive schools (e.g. grades 1 through 9) in rural Finland since 1990 closed</w:t>
      </w:r>
      <w:r>
        <w:t xml:space="preserve"> </w:t>
      </w:r>
      <w:r>
        <w:t xml:space="preserve">(Autti and Hyry-Beihammer 2014)</w:t>
      </w:r>
      <w:r>
        <w:t xml:space="preserve">, 10% of elementary schools (kindergarten through grade 8) in Chicago, USA in 2013</w:t>
      </w:r>
      <w:r>
        <w:t xml:space="preserve"> </w:t>
      </w:r>
      <w:r>
        <w:t xml:space="preserve">(Lee and Lubienski 2017)</w:t>
      </w:r>
      <w:r>
        <w:t xml:space="preserve">, and 7% of primary and lower secondary schools (kindergarten through grade 9) were closed in Denmark between 2010-2011</w:t>
      </w:r>
      <w:r>
        <w:t xml:space="preserve"> </w:t>
      </w:r>
      <w:r>
        <w:t xml:space="preserve">(Beuchert et al. 2018)</w:t>
      </w:r>
      <w:r>
        <w:t xml:space="preserve">.</w:t>
      </w:r>
    </w:p>
    <w:p>
      <w:pPr>
        <w:pStyle w:val="BodyText"/>
      </w:pPr>
      <w:r>
        <w:t xml:space="preserve">In this study we focus on the spatial travel implications of school closure and consolidation policies. The quantification of lost potential active transportation trips and associated carbon emissions, due to school closure, and the unequal impact attributed to the increased reliance on a motorized commute is scarce in the literature. In this way, our contribution is both methodological and empirical. We quantify the accessibility changes before- and after the first wave of school closure/consolidations implemented in Hamilton, a mid-size city (~570,000 pop) with rural, suburban and urban characteristics in Ontario, Canada</w:t>
      </w:r>
      <w:r>
        <w:t xml:space="preserve"> </w:t>
      </w:r>
      <w:r>
        <w:t xml:space="preserve">(Government of Canada 2022)</w:t>
      </w:r>
      <w:r>
        <w:t xml:space="preserve">.</w:t>
      </w:r>
    </w:p>
    <w:p>
      <w:pPr>
        <w:pStyle w:val="BodyText"/>
      </w:pPr>
      <w:r>
        <w:t xml:space="preserve">In 2013, the City of Hamilton’s largest English school board the Hamilton-Wentworth District School Board (HWDSB), serving the majority of students in the city, released their Long Term Facilities Master Plan</w:t>
      </w:r>
      <w:r>
        <w:t xml:space="preserve"> </w:t>
      </w:r>
      <w:r>
        <w:t xml:space="preserve">(HWDSB 2013)</w:t>
      </w:r>
      <w:r>
        <w:t xml:space="preserve">. To ensure</w:t>
      </w:r>
      <w:r>
        <w:t xml:space="preserve"> </w:t>
      </w:r>
      <w:r>
        <w:t xml:space="preserve">“</w:t>
      </w:r>
      <w:r>
        <w:t xml:space="preserve">equitable, affordable and sustainable learning facilities</w:t>
      </w:r>
      <w:r>
        <w:t xml:space="preserve">”</w:t>
      </w:r>
      <w:r>
        <w:t xml:space="preserve">, the Master Plan indicated that 80% of it’s elementary schools (i.e., schools attended by students aged 5 to 13) would be subject to accommodation strategies, including a</w:t>
      </w:r>
      <w:r>
        <w:t xml:space="preserve"> </w:t>
      </w:r>
      <w:r>
        <w:t xml:space="preserve">“</w:t>
      </w:r>
      <w:r>
        <w:t xml:space="preserve">Accommodation Review</w:t>
      </w:r>
      <w:r>
        <w:t xml:space="preserve">”</w:t>
      </w:r>
      <w:r>
        <w:t xml:space="preserve"> </w:t>
      </w:r>
      <w:r>
        <w:t xml:space="preserve">whose outcome is possibly closure/consolidation</w:t>
      </w:r>
      <w:r>
        <w:t xml:space="preserve"> </w:t>
      </w:r>
      <w:r>
        <w:t xml:space="preserve">(HWDSB 2013; Craggs 2013; Seasons 2014b)</w:t>
      </w:r>
      <w:r>
        <w:t xml:space="preserve">. These decisions were in part motivated by operational savings based on a projected reduction in student population and under-utilized school capacity</w:t>
      </w:r>
      <w:r>
        <w:t xml:space="preserve"> </w:t>
      </w:r>
      <w:r>
        <w:t xml:space="preserve">(Craggs 2012)</w:t>
      </w:r>
      <w:r>
        <w:t xml:space="preserve">. However, the case of Hamilton and the HWDSB is unlike others in the province: the HWDSB underwent an unprecedented number of Accommodation Reviews relative to other school boards</w:t>
      </w:r>
      <w:r>
        <w:t xml:space="preserve"> </w:t>
      </w:r>
      <w:r>
        <w:t xml:space="preserve">(Seasons 2014a)</w:t>
      </w:r>
      <w:r>
        <w:t xml:space="preserve">. Though the Accommodation Review guidelines outline a community-focused process to deliberate a school’s future viability to students, the community and the economy</w:t>
      </w:r>
      <w:r>
        <w:t xml:space="preserve"> </w:t>
      </w:r>
      <w:r>
        <w:t xml:space="preserve">(Seasons 2014b; Ministry of Education 2006)</w:t>
      </w:r>
      <w:r>
        <w:t xml:space="preserve">, concerned residences felt a fulsome breakdown of costs to repair schools were not made consistently available</w:t>
      </w:r>
      <w:r>
        <w:t xml:space="preserve"> </w:t>
      </w:r>
      <w:r>
        <w:t xml:space="preserve">(Kleinhuis 2013)</w:t>
      </w:r>
      <w:r>
        <w:t xml:space="preserve">. Further, others pointed to flaud incentive structures motivating the HWDSB:</w:t>
      </w:r>
      <w:r>
        <w:t xml:space="preserve"> </w:t>
      </w:r>
      <w:r>
        <w:t xml:space="preserve">“</w:t>
      </w:r>
      <w:r>
        <w:t xml:space="preserve">By closing three schools the HWDSB would have a strong case with the Ministry of Education to receive full funding for a new school</w:t>
      </w:r>
      <w:r>
        <w:t xml:space="preserve">”</w:t>
      </w:r>
      <w:r>
        <w:t xml:space="preserve"> </w:t>
      </w:r>
      <w:r>
        <w:t xml:space="preserve">(Kleinhuis 2013)</w:t>
      </w:r>
      <w:r>
        <w:t xml:space="preserve">. Along with insufficient funding to maintain schools in a state of good repair</w:t>
      </w:r>
      <w:r>
        <w:t xml:space="preserve"> </w:t>
      </w:r>
      <w:r>
        <w:t xml:space="preserve">(Auditor General of Ontario 2015)</w:t>
      </w:r>
      <w:r>
        <w:t xml:space="preserve">, the operational savings as a case for school closures is a long-standing critique of the school</w:t>
      </w:r>
      <w:r>
        <w:t xml:space="preserve"> </w:t>
      </w:r>
      <w:r>
        <w:t xml:space="preserve">“</w:t>
      </w:r>
      <w:r>
        <w:t xml:space="preserve">funding formula</w:t>
      </w:r>
      <w:r>
        <w:t xml:space="preserve">”</w:t>
      </w:r>
      <w:r>
        <w:t xml:space="preserve"> </w:t>
      </w:r>
      <w:r>
        <w:t xml:space="preserve">established by the conservative provincial government in 1998</w:t>
      </w:r>
      <w:r>
        <w:t xml:space="preserve"> </w:t>
      </w:r>
      <w:r>
        <w:t xml:space="preserve">(Mackenzie 2018)</w:t>
      </w:r>
      <w:r>
        <w:t xml:space="preserve">. In a backdrop of budget cuts, the funding formula pits financing of school maintenance and student needs against the financial compensation of staff and powers of local school boards (as they no longer have the ability to levee property taxes)</w:t>
      </w:r>
      <w:r>
        <w:t xml:space="preserve"> </w:t>
      </w:r>
      <w:r>
        <w:t xml:space="preserve">(Mackenzie 2018)</w:t>
      </w:r>
      <w:r>
        <w:t xml:space="preserve">.</w:t>
      </w:r>
    </w:p>
    <w:p>
      <w:pPr>
        <w:pStyle w:val="BodyText"/>
      </w:pPr>
      <w:r>
        <w:t xml:space="preserve">In the first wave of school accommodation reviews between 2013 and 2016, 12 elementary schools closed. From between 2011 (before the school closures) to 2016, these closures represented a 7% and 4% decline in elementary school locations and capacity, respectively, across the city though overall student population and households in the city did not significantly change between 2011 and 2016 ( 58,265 (2011) and 58,865 (2016)).</w:t>
      </w:r>
    </w:p>
    <w:p>
      <w:pPr>
        <w:pStyle w:val="BodyText"/>
      </w:pPr>
      <w:r>
        <w:t xml:space="preserve">From the perspective of public money no longer spent as a result of reduced school operational costs, who and in what way does the Hamilton community pay for these savings by means of accessibility and accessibility-related impacts? In this paper, we hypothesize that that this policy negatively impacted the trips-to-school for many students in addition to decreasing potential active-trip opportunities and increasing emissions. Spatial availability, a singly-constrained competitive accessibility measure</w:t>
      </w:r>
      <w:r>
        <w:t xml:space="preserve"> </w:t>
      </w:r>
      <w:r>
        <w:t xml:space="preserve">(Soukhov et al. 2023; Soukhov et al. 2024)</w:t>
      </w:r>
      <w:r>
        <w:t xml:space="preserve">, is used to quantify the before- and after- accessibility and associated impacts for the city of Hamilton and the elementary school-aged student population as a result of a province-wide school closure and consolidation policy.</w:t>
      </w:r>
    </w:p>
    <w:p>
      <w:pPr>
        <w:pStyle w:val="BodyText"/>
      </w:pPr>
      <w:r>
        <w:t xml:space="preserve">This paper contributes the following: how does the (1) spatial availability, (2) loss in walk minutes and (3) associated carbon emissions change for home-to-school trips after a city closes and consolidates schools? Further, this work examines what communities, based on low-income prevalence, experienced the greatest losses as a result of this policy. The methods introduced in this paper can be used by decision-makers to evaluate the spatial and transport-related impacts of public service provision policy.</w:t>
      </w:r>
    </w:p>
    <w:p>
      <w:pPr>
        <w:pStyle w:val="BodyText"/>
      </w:pPr>
      <w:r>
        <w:t xml:space="preserve">The remainder of the paper is organized as follows. Section 2 details the data and methods, particularly multimodal spatial availability, a singly-constrained competitive accessibility measure that considers demand for school-seats by students and friction of distance, as well associated data sources for the inputs into spatial availability. Section 3 showcases the results of the impact that the school consolidation policy had on Hamilton’s school spatial availability landscape. Section 4 discusses the results and estimates potential walk minutes lost, where trip-related GHG emissions may have increased, and equity implications for the policy. Section 5 concludes the paper with key remarks. Furthermore, to increase the diffusion of this analysis, all work is completed in a R environment and all associated code and data will be open and reproducible within the lead author’s</w:t>
      </w:r>
      <w:r>
        <w:t xml:space="preserve"> </w:t>
      </w:r>
      <w:hyperlink r:id="rId20">
        <w:r>
          <w:rPr>
            <w:rStyle w:val="Hyperlink"/>
          </w:rPr>
          <w:t xml:space="preserve">GitHub repository</w:t>
        </w:r>
      </w:hyperlink>
      <w:r>
        <w:t xml:space="preserve">.</w:t>
      </w:r>
    </w:p>
    <w:bookmarkEnd w:id="21"/>
    <w:bookmarkStart w:id="38" w:name="data-and-methods"/>
    <w:p>
      <w:pPr>
        <w:pStyle w:val="Heading1"/>
      </w:pPr>
      <w:r>
        <w:t xml:space="preserve">Data and Methods</w:t>
      </w:r>
    </w:p>
    <w:p>
      <w:pPr>
        <w:pStyle w:val="FirstParagraph"/>
      </w:pPr>
      <w:r>
        <w:t xml:space="preserve">Our focus is to evaluate the impact that the school consolidations between 2011 and 2016 had on the multimodal school spatial availability and travel-related GHG emission landscape of the city of Hamilton.</w:t>
      </w:r>
    </w:p>
    <w:p>
      <w:pPr>
        <w:pStyle w:val="BodyText"/>
      </w:pPr>
      <w:r>
        <w:t xml:space="preserve">To facilitate comparison, two scenarios are generated. The first and second reflect estimated as-is conditions in 2011 and 2016 assuming the respective school configurations, average student population and low-income prevalence of households, residential parcel locations, and estimated modal travel times in both years. The difference between these scenarios are quantified in terms of accessibility, emission and equity implications and discussed in context with the school consolidation policy.</w:t>
      </w:r>
    </w:p>
    <w:p>
      <w:pPr>
        <w:pStyle w:val="BodyText"/>
      </w:pPr>
      <w:r>
        <w:t xml:space="preserve">Data is retrieved at different spatial granularity from the following six data sources.</w:t>
      </w:r>
    </w:p>
    <w:bookmarkStart w:id="25" w:name="schools"/>
    <w:p>
      <w:pPr>
        <w:pStyle w:val="Heading2"/>
      </w:pPr>
      <w:r>
        <w:t xml:space="preserve">Schools</w:t>
      </w:r>
    </w:p>
    <w:p>
      <w:pPr>
        <w:pStyle w:val="FirstParagraph"/>
      </w:pPr>
      <w:r>
        <w:rPr>
          <w:bCs/>
          <w:b/>
        </w:rPr>
        <w:t xml:space="preserve">Firstly</w:t>
      </w:r>
      <w:r>
        <w:t xml:space="preserve">, schools and associated school catchments are retrieve from the school boards. In Hamilton, the majority of student-aged population attends a school in one of the two English public school boards. One board is referred to as</w:t>
      </w:r>
      <w:r>
        <w:t xml:space="preserve"> </w:t>
      </w:r>
      <w:r>
        <w:rPr>
          <w:iCs/>
          <w:i/>
        </w:rPr>
        <w:t xml:space="preserve">public</w:t>
      </w:r>
      <w:r>
        <w:t xml:space="preserve"> </w:t>
      </w:r>
      <w:r>
        <w:t xml:space="preserve">(i.e., Hamilton Wentworth District School Board (HWDSB)) in our work and the other is referred to as</w:t>
      </w:r>
      <w:r>
        <w:t xml:space="preserve"> </w:t>
      </w:r>
      <w:r>
        <w:rPr>
          <w:iCs/>
          <w:i/>
        </w:rPr>
        <w:t xml:space="preserve">public-catholic</w:t>
      </w:r>
      <w:r>
        <w:t xml:space="preserve"> </w:t>
      </w:r>
      <w:r>
        <w:t xml:space="preserve">(Hamilton Wentworth Catholic District School Board (HWCDSB)). These catchments indicate what residential property is assigned to what school, by default. Families can decide to attend schools out of catchment, in fact 21%-23%</w:t>
      </w:r>
      <w:r>
        <w:t xml:space="preserve"> </w:t>
      </w:r>
      <w:r>
        <w:t xml:space="preserve"> </w:t>
      </w:r>
      <w:r>
        <w:t xml:space="preserve">of motorized Hamilton-based Hamilton school trips are out of catchment according to the regional travel survey, the Transportation Tomorrow Survey (TTS) in 2011 and 2016</w:t>
      </w:r>
      <w:r>
        <w:t xml:space="preserve"> </w:t>
      </w:r>
      <w:r>
        <w:t xml:space="preserve">(Data Management Group 2018)</w:t>
      </w:r>
      <w:r>
        <w:t xml:space="preserve">. The elementary school locations and catchments are provided by the HWDSB and HWCDSB for the 2010-2011 and 2015-2016 academic years and visualised in</w:t>
      </w:r>
      <w:r>
        <w:t xml:space="preserve"> </w:t>
      </w:r>
      <w:r>
        <w:rPr>
          <w:bCs/>
          <w:b/>
        </w:rPr>
        <w:t xml:space="preserve">?@fig-Fig1</w:t>
      </w:r>
      <w:r>
        <w:t xml:space="preserve">.</w:t>
      </w:r>
    </w:p>
    <w:p>
      <w:pPr>
        <w:pStyle w:val="BodyText"/>
      </w:pPr>
      <w:r>
        <w:t xml:space="preserve">Formally, elementary schools are defined as schools that provide instruction to any combination of grades between kindergarten to grade 8 (i.e. typically children aged 5 to 14). As such, elementary includes middle schools that only instruct grades 6 to 8 (</w:t>
      </w:r>
      <w:r>
        <w:rPr>
          <w:iCs/>
          <w:i/>
        </w:rPr>
        <w:t xml:space="preserve">Mid</w:t>
      </w:r>
      <w:r>
        <w:t xml:space="preserve">), primary schools which only instruct kindergarten to grade 5 or 6 (</w:t>
      </w:r>
      <w:r>
        <w:rPr>
          <w:iCs/>
          <w:i/>
        </w:rPr>
        <w:t xml:space="preserve">JrElem</w:t>
      </w:r>
      <w:r>
        <w:t xml:space="preserve">), and all grade elementary schools (</w:t>
      </w:r>
      <w:r>
        <w:rPr>
          <w:iCs/>
          <w:i/>
        </w:rPr>
        <w:t xml:space="preserve">Elem</w:t>
      </w:r>
      <w:r>
        <w:t xml:space="preserve">) which instruct all grades from kindergarten to grade 8. The maximum number of students that may be enrolled in a school is calculated by the provincial Ministry of Education; this value is referred to as the on-the-ground capacity (</w:t>
      </w:r>
      <w:r>
        <w:rPr>
          <w:iCs/>
          <w:i/>
        </w:rPr>
        <w:t xml:space="preserve">OTGC</w:t>
      </w:r>
      <w:r>
        <w:t xml:space="preserve">) and is assigned to each school. The current/historic OTGC province-wide has been made publicly unavailable</w:t>
      </w:r>
      <w:r>
        <w:t xml:space="preserve"> </w:t>
      </w:r>
      <w:r>
        <w:t xml:space="preserve">(Ontario 2017)</w:t>
      </w:r>
      <w:r>
        <w:t xml:space="preserve">. However, for schools that underwent the full Accommodation Review process, the OTGC for a given year can be scraped from the generated publicly available School Information Profiles. A regression model was derived to estimate the OTGC for schools with no OTGC based on 1) the school’s footprint (</w:t>
      </w:r>
      <w:r>
        <w:rPr>
          <w:iCs/>
          <w:i/>
        </w:rPr>
        <w:t xml:space="preserve">F</w:t>
      </w:r>
      <w:r>
        <w:t xml:space="preserve">) in units of (</w:t>
      </w:r>
      <w:r>
        <w:rPr>
          <w:rStyle w:val="VerbatimChar"/>
        </w:rPr>
        <w:t xml:space="preserve">m^2</w:t>
      </w:r>
      <w:r>
        <w:t xml:space="preserve">), 2) school’s shortest Euclidean distance from the centroid of Hamilton’s central business district area (</w:t>
      </w:r>
      <w:r>
        <w:rPr>
          <w:iCs/>
          <w:i/>
        </w:rPr>
        <w:t xml:space="preserve">DistCBD</w:t>
      </w:r>
      <w:r>
        <w:t xml:space="preserve">) defined in units of (m), and 3) coefficients associated with a binary variable indicating the type of school grade instruction (</w:t>
      </w:r>
      <w:r>
        <w:rPr>
          <w:iCs/>
          <w:i/>
        </w:rPr>
        <w:t xml:space="preserve">Mid</w:t>
      </w:r>
      <w:r>
        <w:t xml:space="preserve">,</w:t>
      </w:r>
      <w:r>
        <w:t xml:space="preserve"> </w:t>
      </w:r>
      <w:r>
        <w:rPr>
          <w:iCs/>
          <w:i/>
        </w:rPr>
        <w:t xml:space="preserve">JrElem</w:t>
      </w:r>
      <w:r>
        <w:t xml:space="preserve">,</w:t>
      </w:r>
      <w:r>
        <w:t xml:space="preserve"> </w:t>
      </w:r>
      <w:r>
        <w:rPr>
          <w:iCs/>
          <w:i/>
        </w:rPr>
        <w:t xml:space="preserve">Elem</w:t>
      </w:r>
      <w:r>
        <w:t xml:space="preserve">). The building footprint from an archived spatial data set</w:t>
      </w:r>
      <w:r>
        <w:t xml:space="preserve"> </w:t>
      </w:r>
      <w:r>
        <w:t xml:space="preserve">(Spatial 2015)</w:t>
      </w:r>
      <w:r>
        <w:t xml:space="preserve"> </w:t>
      </w:r>
      <w:r>
        <w:t xml:space="preserve">and the 2016 footprints were retrieved from OSM</w:t>
      </w:r>
      <w:r>
        <w:t xml:space="preserve"> </w:t>
      </w:r>
      <w:r>
        <w:t xml:space="preserve">(OpenStreetMap 2021)</w:t>
      </w:r>
      <w:r>
        <w:t xml:space="preserve">. The center of the CBD is defined as a significant intersection in Hamilton Downtown Business Improvement Area</w:t>
      </w:r>
      <w:r>
        <w:t xml:space="preserve"> </w:t>
      </w:r>
      <w:r>
        <w:t xml:space="preserve">(Hamilton 2014)</w:t>
      </w:r>
      <w:r>
        <w:t xml:space="preserve">. This point serves as a pseudo-proxy for age of school construction as the oldest buildings are located within the Hamilton Downtown boundary</w:t>
      </w:r>
      <w:r>
        <w:t xml:space="preserve"> </w:t>
      </w:r>
      <w:r>
        <w:t xml:space="preserve">(Merrall 2021)</w:t>
      </w:r>
      <w:r>
        <w:t xml:space="preserve"> </w:t>
      </w:r>
      <w:r>
        <w:t xml:space="preserve">and the age of schools is unavailable.</w:t>
      </w:r>
    </w:p>
    <w:p>
      <w:pPr>
        <w:pStyle w:val="BodyText"/>
      </w:pPr>
      <w:r>
        <w:t xml:space="preserve">Equation (</w:t>
      </w:r>
      <w:r>
        <w:t xml:space="preserve">) and (</w:t>
      </w:r>
      <w:r>
        <w:t xml:space="preserve">) describes the estimated OTGC for public schools and catholic schools respectively. School status and OTGC summed by catchment is also visualised in</w:t>
      </w:r>
      <w:r>
        <w:t xml:space="preserve"> </w:t>
      </w:r>
      <w:r>
        <w:rPr>
          <w:bCs/>
          <w:b/>
        </w:rPr>
        <w:t xml:space="preserve">?@fig-Fig1</w:t>
      </w:r>
      <w:r>
        <w:t xml:space="preserve">. See the Table</w:t>
      </w:r>
      <w:r>
        <w:t xml:space="preserve"> </w:t>
      </w:r>
      <w:r>
        <w:t xml:space="preserve"> </w:t>
      </w:r>
      <w:r>
        <w:t xml:space="preserve">in the Appendix for the associated regression results.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111500"/>
                  <wp:effectExtent b="0" l="0" r="0" t="0"/>
                  <wp:docPr descr="" title="" id="23" name="Picture"/>
                  <a:graphic>
                    <a:graphicData uri="http://schemas.openxmlformats.org/drawingml/2006/picture">
                      <pic:pic>
                        <pic:nvPicPr>
                          <pic:cNvPr descr="Figures/catchment_schools_plot.png" id="24" name="Picture"/>
                          <pic:cNvPicPr>
                            <a:picLocks noChangeArrowheads="1" noChangeAspect="1"/>
                          </pic:cNvPicPr>
                        </pic:nvPicPr>
                        <pic:blipFill>
                          <a:blip r:embed="rId22"/>
                          <a:stretch>
                            <a:fillRect/>
                          </a:stretch>
                        </pic:blipFill>
                        <pic:spPr bwMode="auto">
                          <a:xfrm>
                            <a:off x="0" y="0"/>
                            <a:ext cx="5334000" cy="3111500"/>
                          </a:xfrm>
                          <a:prstGeom prst="rect">
                            <a:avLst/>
                          </a:prstGeom>
                          <a:noFill/>
                          <a:ln w="9525">
                            <a:noFill/>
                            <a:headEnd/>
                            <a:tailEnd/>
                          </a:ln>
                        </pic:spPr>
                      </pic:pic>
                    </a:graphicData>
                  </a:graphic>
                </wp:inline>
              </w:drawing>
            </w:r>
          </w:p>
          <w:p>
            <w:pPr>
              <w:jc w:val="center"/>
            </w:pPr>
            <w:pPr>
              <w:jc w:val="start"/>
              <w:spacing w:before="200"/>
              <w:pStyle w:val="ImageCaption"/>
            </w:pPr>
            <w:r>
              <w:t xml:space="preserve">The school catchments, estimated on the ground capacities of schools summed per catchment, and school status for both public and public catholic school boards for year 2011 and 2016. OTGC is presented by quartiles.</w:t>
            </w:r>
          </w:p>
        </w:tc>
      </w:tr>
    </w:tbl>
    <w:bookmarkEnd w:id="25"/>
    <w:bookmarkStart w:id="29" w:name="X0a871324af499a9b56019f500d1213cf70ceb0a"/>
    <w:p>
      <w:pPr>
        <w:pStyle w:val="Heading2"/>
      </w:pPr>
      <w:r>
        <w:t xml:space="preserve">Students, residential locations and low-income prevelance</w:t>
      </w:r>
    </w:p>
    <w:p>
      <w:pPr>
        <w:pStyle w:val="FirstParagraph"/>
      </w:pPr>
      <w:r>
        <w:t xml:space="preserve">Secondly, student population and proportion of household low-income after tax (LIM-AT) prevalence is retrieved from the 2011 and 2016 Canadian Census</w:t>
      </w:r>
      <w:r>
        <w:t xml:space="preserve"> </w:t>
      </w:r>
      <w:r>
        <w:t xml:space="preserve">(Canada 2011, 2016)</w:t>
      </w:r>
      <w:r>
        <w:t xml:space="preserve">. The census releases population data by age group category and as pertinent to this paper, 5 to 9 year olds and 10 to 14 year olds. As more relevant to this paper, the LIM-AT prevelance for households with children under 18 (there is no LIM-AT prevelance tabulated for households with exclusively elementary aged children) is retrained. LIM-AT is refers to the proportion of private households that are below the median after-tax income</w:t>
      </w:r>
      <w:r>
        <w:t xml:space="preserve"> </w:t>
      </w:r>
      <w:r>
        <w:t xml:space="preserve">(Government of Canada 2017)</w:t>
      </w:r>
      <w:r>
        <w:t xml:space="preserve">. These census variables are taken at the finest spatial unit of analysis disseminated by the Canadian census publicly available, the spatial dissemination area (DA). They are retrieved using the {cancensus} R package</w:t>
      </w:r>
      <w:r>
        <w:t xml:space="preserve"> </w:t>
      </w:r>
      <w:r>
        <w:t xml:space="preserve">(Bergmann, Shkolnik, and Jacobs 2021)</w:t>
      </w:r>
      <w:r>
        <w:t xml:space="preserve">. DAs are designed by Statistics Canada with the aim of population uniformity hence DAs greatly vary in area but represent between approximately 400 and 700 (1st and 3rd quartile) in total population. The population aged 5 to 14 and the proportion of LIM-AT are visualised in the first and last row in</w:t>
      </w:r>
      <w:r>
        <w:t xml:space="preserve"> </w:t>
      </w:r>
      <w:r>
        <w:rPr>
          <w:bCs/>
          <w:b/>
        </w:rPr>
        <w:t xml:space="preserve">?@fig-Fig2</w:t>
      </w:r>
      <w:r>
        <w:t xml:space="preserve">.</w:t>
      </w:r>
    </w:p>
    <w:p>
      <w:pPr>
        <w:pStyle w:val="BodyText"/>
      </w:pPr>
      <w:r>
        <w:t xml:space="preserve">Thirdly, centroids of residential parcels in 2011 and 2016 are used to represent residential locations</w:t>
      </w:r>
      <w:r>
        <w:t xml:space="preserve"> </w:t>
      </w:r>
      <w:r>
        <w:t xml:space="preserve">(Teranet 2009)</w:t>
      </w:r>
      <w:r>
        <w:t xml:space="preserve">. There are 134,340 and 139,467 residential locations in 2011 and 2016 respectively, representing 203,806 and 211,596 households (according to the Canadian Census</w:t>
      </w:r>
      <w:r>
        <w:t xml:space="preserve"> </w:t>
      </w:r>
      <w:r>
        <w:t xml:space="preserve">(Canada 2011, 2016)</w:t>
      </w:r>
      <w:r>
        <w:t xml:space="preserve">). As the number of children per residential location is unavailable publicly, the average number of 5 to 14 year olds for each DA is divided by the number of residential households in that DA. Then the potential number of children at each residential location is calculated by multiplying this DA rate. As the</w:t>
      </w:r>
      <w:r>
        <w:t xml:space="preserve"> </w:t>
      </w:r>
      <w:r>
        <w:t xml:space="preserve">(Teranet 2009)</w:t>
      </w:r>
      <w:r>
        <w:t xml:space="preserve"> </w:t>
      </w:r>
      <w:r>
        <w:t xml:space="preserve">dataset is proprietary, the the middle row in</w:t>
      </w:r>
      <w:r>
        <w:t xml:space="preserve"> </w:t>
      </w:r>
      <w:r>
        <w:rPr>
          <w:bCs/>
          <w:b/>
        </w:rPr>
        <w:t xml:space="preserve">?@fig-Fig2</w:t>
      </w:r>
      <w:r>
        <w:t xml:space="preserve"> </w:t>
      </w:r>
      <w:r>
        <w:t xml:space="preserve">visualises an aggregation of the information: the average rate of 5-14 year olds per residential household at the DA level.</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111500"/>
                  <wp:effectExtent b="0" l="0" r="0" t="0"/>
                  <wp:docPr descr="" title="" id="27" name="Picture"/>
                  <a:graphic>
                    <a:graphicData uri="http://schemas.openxmlformats.org/drawingml/2006/picture">
                      <pic:pic>
                        <pic:nvPicPr>
                          <pic:cNvPr descr="Figures/stud_pop_rate_LIM_plot.png" id="28" name="Picture"/>
                          <pic:cNvPicPr>
                            <a:picLocks noChangeArrowheads="1" noChangeAspect="1"/>
                          </pic:cNvPicPr>
                        </pic:nvPicPr>
                        <pic:blipFill>
                          <a:blip r:embed="rId26"/>
                          <a:stretch>
                            <a:fillRect/>
                          </a:stretch>
                        </pic:blipFill>
                        <pic:spPr bwMode="auto">
                          <a:xfrm>
                            <a:off x="0" y="0"/>
                            <a:ext cx="5334000" cy="3111500"/>
                          </a:xfrm>
                          <a:prstGeom prst="rect">
                            <a:avLst/>
                          </a:prstGeom>
                          <a:noFill/>
                          <a:ln w="9525">
                            <a:noFill/>
                            <a:headEnd/>
                            <a:tailEnd/>
                          </a:ln>
                        </pic:spPr>
                      </pic:pic>
                    </a:graphicData>
                  </a:graphic>
                </wp:inline>
              </w:drawing>
            </w:r>
          </w:p>
          <w:p>
            <w:pPr>
              <w:jc w:val="center"/>
            </w:pPr>
            <w:pPr>
              <w:jc w:val="start"/>
              <w:spacing w:before="200"/>
              <w:pStyle w:val="ImageCaption"/>
            </w:pPr>
            <w:r>
              <w:t xml:space="preserve">The magnitude (top row) and rate per residential unit (middle row) of elementary aged student population per DA in 2011 and 2016. The proportion of low-income households with children under 18 years old is also shown (bottom row). All scales are represented in quartiles.</w:t>
            </w:r>
          </w:p>
        </w:tc>
      </w:tr>
    </w:tbl>
    <w:bookmarkEnd w:id="29"/>
    <w:bookmarkStart w:id="36" w:name="estimated-travel-times-and-emissions"/>
    <w:p>
      <w:pPr>
        <w:pStyle w:val="Heading2"/>
      </w:pPr>
      <w:r>
        <w:t xml:space="preserve">Estimated travel times and emissions</w:t>
      </w:r>
    </w:p>
    <w:p>
      <w:pPr>
        <w:pStyle w:val="FirstParagraph"/>
      </w:pPr>
      <w:r>
        <w:t xml:space="preserve">The fourth data source is an estimated travel time matrices from all residential locations to all elementary schools for both motorized (car) and non-motorized (walking) travel. The travel times are estimated using the R-package {r5r}</w:t>
      </w:r>
      <w:r>
        <w:t xml:space="preserve"> </w:t>
      </w:r>
      <w:r>
        <w:t xml:space="preserve">(Pereira et al. 2021)</w:t>
      </w:r>
      <w:r>
        <w:t xml:space="preserve">, a package that interfaces with the java-based R5 routing engine developed separately by Conveyal</w:t>
      </w:r>
      <w:r>
        <w:t xml:space="preserve"> </w:t>
      </w:r>
      <w:r>
        <w:t xml:space="preserve">(Conveyal [2015] 2022)</w:t>
      </w:r>
      <w:r>
        <w:t xml:space="preserve">. For both modes, the inputs assume a maximum travel time threshold of 60 minutes and the free-flow OpenStreetMap road network of Hamilton (retrieved using Geofabrick</w:t>
      </w:r>
      <w:r>
        <w:t xml:space="preserve"> </w:t>
      </w:r>
      <w:r>
        <w:t xml:space="preserve">(Geofabrik 2022)</w:t>
      </w:r>
      <w:r>
        <w:t xml:space="preserve"> </w:t>
      </w:r>
      <w:r>
        <w:t xml:space="preserve">and manually edited to only include the Hamilton boundary). Further, walk travel times that are only less than 27 min minutes were retained. This travel time is approximately equivalent to 1.6 km which is the minimum distance that is required from a school within-catchment to qualify for a school bus</w:t>
      </w:r>
      <w:r>
        <w:t xml:space="preserve"> </w:t>
      </w:r>
      <w:r>
        <w:t xml:space="preserve">(HWDSB 2019)</w:t>
      </w:r>
      <w:r>
        <w:t xml:space="preserve">.</w:t>
      </w:r>
      <w:r>
        <w:t xml:space="preserve"> </w:t>
      </w:r>
    </w:p>
    <w:p>
      <w:pPr>
        <w:pStyle w:val="BodyText"/>
      </w:pPr>
      <w:r>
        <w:t xml:space="preserve">It is assumed that children can go to any elementary school, but certain schools are more likely to be attended depending on their proximity to their residential location. Based on this assumption, the fifth data source is empirical data regarding the mode-used and origin-destination locations of home-to-school trips from the 2011 and 2016 TTS</w:t>
      </w:r>
      <w:r>
        <w:t xml:space="preserve"> </w:t>
      </w:r>
      <w:r>
        <w:t xml:space="preserve">(Data Management Group 2018)</w:t>
      </w:r>
      <w:r>
        <w:t xml:space="preserve">. The TTS is representative travel survey conducted in the Greater Golden Horseshoe Area in Ontario every 5 years. The trip-level travel data extract for this paper represent 13,715 and 12,878 motorized trips (mode used includes private care passenger, school bus, taxi, and transit) and 2,736 and 1,430 non-motorized trips (mode used includes walk and cycling) for 5 to 13 year olds from home to school in 2011 and 2016 respectively. Data is available at the spatial resolution of Traffic Analysis Zones (TAZ). TAZ are spatial units created for the purpose of the TTS; a few DAs typically nest within each TAZ. {r5r} is used to estimated motorized and non-motorized travel from all TAZ centroids to all TAZ centroids and these estimated travel times are tied to the OD trips. The travel times and the intensity of modal home-to-school flows are visualised in</w:t>
      </w:r>
      <w:r>
        <w:t xml:space="preserve"> </w:t>
      </w:r>
      <w:r>
        <w:rPr>
          <w:bCs/>
          <w:b/>
        </w:rPr>
        <w:t xml:space="preserve">?@fig-Fig3</w:t>
      </w:r>
      <w:r>
        <w:t xml:space="preserve"> </w:t>
      </w:r>
      <w:r>
        <w:t xml:space="preserve">along with the boundaries of the TAZ and DAs. As can be seen in</w:t>
      </w:r>
      <w:r>
        <w:t xml:space="preserve"> </w:t>
      </w:r>
      <w:r>
        <w:rPr>
          <w:bCs/>
          <w:b/>
        </w:rPr>
        <w:t xml:space="preserve">?@fig-Fig3</w:t>
      </w:r>
      <w:r>
        <w:t xml:space="preserve">, not all TAZ capture an elementary school trip by both modes. For this reason, the proportion of modal-split is aggregated at the community level. Hamilton (Ancaster 85%-95%, Dundas 89%-100%, Flamborough 91%-97%, Glanbrook 92%-95%, Hamilton Central 80%-87%, and Stoney Creek 82%-88%).</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111500"/>
                  <wp:effectExtent b="0" l="0" r="0" t="0"/>
                  <wp:docPr descr="" title="" id="31" name="Picture"/>
                  <a:graphic>
                    <a:graphicData uri="http://schemas.openxmlformats.org/drawingml/2006/picture">
                      <pic:pic>
                        <pic:nvPicPr>
                          <pic:cNvPr descr="Figures/OD_flow_plot.png" id="32" name="Picture"/>
                          <pic:cNvPicPr>
                            <a:picLocks noChangeArrowheads="1" noChangeAspect="1"/>
                          </pic:cNvPicPr>
                        </pic:nvPicPr>
                        <pic:blipFill>
                          <a:blip r:embed="rId30"/>
                          <a:stretch>
                            <a:fillRect/>
                          </a:stretch>
                        </pic:blipFill>
                        <pic:spPr bwMode="auto">
                          <a:xfrm>
                            <a:off x="0" y="0"/>
                            <a:ext cx="5334000" cy="3111500"/>
                          </a:xfrm>
                          <a:prstGeom prst="rect">
                            <a:avLst/>
                          </a:prstGeom>
                          <a:noFill/>
                          <a:ln w="9525">
                            <a:noFill/>
                            <a:headEnd/>
                            <a:tailEnd/>
                          </a:ln>
                        </pic:spPr>
                      </pic:pic>
                    </a:graphicData>
                  </a:graphic>
                </wp:inline>
              </w:drawing>
            </w:r>
          </w:p>
          <w:p>
            <w:pPr>
              <w:jc w:val="center"/>
            </w:pPr>
            <w:pPr>
              <w:jc w:val="start"/>
              <w:spacing w:before="200"/>
              <w:pStyle w:val="ImageCaption"/>
            </w:pPr>
            <w:r>
              <w:t xml:space="preserve">The origin-destination flows from home-based motorized and non-motorized school trips for students between 5-13 years old as retrieved from TTS 2011 and 2016 mapped atop proportion of TAZ non/motorized modal share, DA boundaries, and community boundaries.</w:t>
            </w:r>
          </w:p>
        </w:tc>
      </w:tr>
    </w:tbl>
    <w:p>
      <w:pPr>
        <w:pStyle w:val="BodyText"/>
      </w:pPr>
      <w:r>
        <w:t xml:space="preserve">Furthermore, as a sixth data source, an estimated travel time matrix for walk and car travel modes is calculated using {r5r} and the geographical centroids of the TTS origin-destination flows. For both modes, the inputs assume a maximum travel time threshold of 60 minutes and the free-flow OpenStreetMap road network of Hamilton</w:t>
      </w:r>
      <w:r>
        <w:t xml:space="preserve"> </w:t>
      </w:r>
      <w:r>
        <w:t xml:space="preserve">(Geofabrik 2022)</w:t>
      </w:r>
      <w:r>
        <w:t xml:space="preserve">. The walk travel times are filtered to only include travel times under 27 minutes. These travel time matrices along with the origin-destination flows are used to create modal trip length distribution (TLD) functions. A TLD is a useful technique to calibrate impedance functions as they are a representation of the likelihood that a proportion of trips are taken at a specific travel cost</w:t>
      </w:r>
      <w:r>
        <w:t xml:space="preserve"> </w:t>
      </w:r>
      <w:r>
        <w:t xml:space="preserve">(Horbachov and Svichynskyi 2018; Batista, Leclercq, and Geroliminis 2019)</w:t>
      </w:r>
      <w:r>
        <w:t xml:space="preserve">. The empirical TLD is fit to a density distribution using maximum likelihood and moment matching techniques and the Nelder-Mead and Brent methods for direct optimization available within the {fitdistrplus} R package</w:t>
      </w:r>
      <w:r>
        <w:t xml:space="preserve"> </w:t>
      </w:r>
      <w:r>
        <w:t xml:space="preserve">(Delignette-Muller and Dutang 2015)</w:t>
      </w:r>
      <w:r>
        <w:t xml:space="preserve">. Based on goodness-of-fit criteria and diagnostics (included in Appendix), the gamma and exponential distribution is selected for the motorized and non-motorized modal distributions respectively. The gamma distribution is defined by the shape (</w:t>
      </w:r>
      <m:oMath>
        <m:r>
          <m:t>α</m:t>
        </m:r>
      </m:oMath>
      <w:r>
        <w:t xml:space="preserve">) parameter of 1.939 (2011) and 2.046 (2016) and the rate (</w:t>
      </w:r>
      <m:oMath>
        <m:r>
          <m:t>β</m:t>
        </m:r>
      </m:oMath>
      <w:r>
        <w:t xml:space="preserve">) of 0.233 (2011) and 0.236 (2016). The exponential distribution is defined by the rate (</w:t>
      </w:r>
      <m:oMath>
        <m:r>
          <m:t>β</m:t>
        </m:r>
      </m:oMath>
      <w:r>
        <w:t xml:space="preserve">) parameter of 0.092 (2011) and 0.1 (2016). The TLDs for the motorized and non-motorized trips are shown in</w:t>
      </w:r>
      <w:r>
        <w:t xml:space="preserve"> </w:t>
      </w:r>
      <w:r>
        <w:rPr>
          <w:bCs/>
          <w:b/>
        </w:rPr>
        <w:t xml:space="preserve">?@fig-Fig4</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111500"/>
                  <wp:effectExtent b="0" l="0" r="0" t="0"/>
                  <wp:docPr descr="" title="" id="34" name="Picture"/>
                  <a:graphic>
                    <a:graphicData uri="http://schemas.openxmlformats.org/drawingml/2006/picture">
                      <pic:pic>
                        <pic:nvPicPr>
                          <pic:cNvPr descr="Figures/TLD_empirical_wtheo_curve_plot.png" id="35" name="Picture"/>
                          <pic:cNvPicPr>
                            <a:picLocks noChangeArrowheads="1" noChangeAspect="1"/>
                          </pic:cNvPicPr>
                        </pic:nvPicPr>
                        <pic:blipFill>
                          <a:blip r:embed="rId33"/>
                          <a:stretch>
                            <a:fillRect/>
                          </a:stretch>
                        </pic:blipFill>
                        <pic:spPr bwMode="auto">
                          <a:xfrm>
                            <a:off x="0" y="0"/>
                            <a:ext cx="5334000" cy="3111500"/>
                          </a:xfrm>
                          <a:prstGeom prst="rect">
                            <a:avLst/>
                          </a:prstGeom>
                          <a:noFill/>
                          <a:ln w="9525">
                            <a:noFill/>
                            <a:headEnd/>
                            <a:tailEnd/>
                          </a:ln>
                        </pic:spPr>
                      </pic:pic>
                    </a:graphicData>
                  </a:graphic>
                </wp:inline>
              </w:drawing>
            </w:r>
          </w:p>
          <w:p>
            <w:pPr>
              <w:jc w:val="center"/>
            </w:pPr>
            <w:pPr>
              <w:jc w:val="start"/>
              <w:spacing w:before="200"/>
              <w:pStyle w:val="ImageCaption"/>
            </w:pPr>
            <w:r>
              <w:t xml:space="preserve">The empirical and theoretical motorized and non-motorized impedance functions.</w:t>
            </w:r>
          </w:p>
        </w:tc>
      </w:tr>
    </w:tbl>
    <w:p>
      <w:pPr>
        <w:pStyle w:val="BodyText"/>
      </w:pPr>
      <w:r>
        <w:t xml:space="preserve">The sixth and final data source relates to motorized GHG well-to-wheel estimations. It assumed that all non-motorized trips produce no emissions and those that are motorized take the average emission factor of 0.1 kg CO2e per minute travel. This emission factor is assumed base on an average speed of 40 km/h, the 2,380 g</w:t>
      </w:r>
      <w:r>
        <w:t xml:space="preserve"> </w:t>
      </w:r>
      <m:oMath>
        <m:r>
          <m:t>C</m:t>
        </m:r>
        <m:sSub>
          <m:e>
            <m:r>
              <m:t>O</m:t>
            </m:r>
          </m:e>
          <m:sub>
            <m:r>
              <m:t>2</m:t>
            </m:r>
          </m:sub>
        </m:sSub>
        <m:r>
          <m:t>e</m:t>
        </m:r>
      </m:oMath>
      <w:r>
        <w:t xml:space="preserve"> </w:t>
      </w:r>
      <w:r>
        <w:t xml:space="preserve">produced when 1 L of gasoline is combusted and an internal combustion engine passenger vehicle fuel efficiency of 7 g/100km as discussed in</w:t>
      </w:r>
      <w:r>
        <w:t xml:space="preserve"> </w:t>
      </w:r>
      <w:r>
        <w:t xml:space="preserve">Soukhov and Mohamed (2022)</w:t>
      </w:r>
      <w:r>
        <w:t xml:space="preserve">.</w:t>
      </w:r>
    </w:p>
    <w:bookmarkEnd w:id="36"/>
    <w:bookmarkStart w:id="37" w:name="Xf5465aadf6a108796f25f7b2bd8b91fc5114753"/>
    <w:p>
      <w:pPr>
        <w:pStyle w:val="Heading2"/>
      </w:pPr>
      <w:r>
        <w:t xml:space="preserve">Putting it all together: multimodal spatial availability</w:t>
      </w:r>
    </w:p>
    <w:p>
      <w:pPr>
        <w:pStyle w:val="FirstParagraph"/>
      </w:pPr>
      <w:r>
        <w:t xml:space="preserve">Accessibility is defined as</w:t>
      </w:r>
      <w:r>
        <w:t xml:space="preserve"> </w:t>
      </w:r>
      <w:r>
        <w:t xml:space="preserve">“</w:t>
      </w:r>
      <w:r>
        <w:t xml:space="preserve">access to opportunities</w:t>
      </w:r>
      <w:r>
        <w:t xml:space="preserve">”</w:t>
      </w:r>
      <w:r>
        <w:t xml:space="preserve"> </w:t>
      </w:r>
      <w:r>
        <w:t xml:space="preserve">or the</w:t>
      </w:r>
      <w:r>
        <w:t xml:space="preserve"> </w:t>
      </w:r>
      <w:r>
        <w:t xml:space="preserve">“</w:t>
      </w:r>
      <w:r>
        <w:t xml:space="preserve">potential for spatial interaction</w:t>
      </w:r>
      <w:r>
        <w:t xml:space="preserve">”</w:t>
      </w:r>
      <w:r>
        <w:t xml:space="preserve">. It is classically presented as the gravity-based measure popularized by</w:t>
      </w:r>
      <w:r>
        <w:t xml:space="preserve"> </w:t>
      </w:r>
      <w:r>
        <w:t xml:space="preserve">Hansen (1959)</w:t>
      </w:r>
      <w:r>
        <w:t xml:space="preserve"> </w:t>
      </w:r>
      <w:r>
        <w:t xml:space="preserve">and takes the following general multi-modal formulation (Equation (</w:t>
      </w:r>
      <w:r>
        <w:t xml:space="preserve">)):</w:t>
      </w:r>
    </w:p>
    <w:p>
      <w:pPr>
        <w:pStyle w:val="BodyText"/>
      </w:pPr>
      <w:r>
        <w:t xml:space="preserve">where:</w:t>
      </w:r>
    </w:p>
    <w:p>
      <w:pPr>
        <w:numPr>
          <w:ilvl w:val="0"/>
          <w:numId w:val="1001"/>
        </w:numPr>
        <w:pStyle w:val="Compact"/>
      </w:pPr>
      <m:oMath>
        <m:r>
          <m:t>m</m:t>
        </m:r>
      </m:oMath>
      <w:r>
        <w:t xml:space="preserve"> </w:t>
      </w:r>
      <w:r>
        <w:t xml:space="preserve">is a set of modes.</w:t>
      </w:r>
    </w:p>
    <w:p>
      <w:pPr>
        <w:numPr>
          <w:ilvl w:val="0"/>
          <w:numId w:val="1001"/>
        </w:numPr>
        <w:pStyle w:val="Compact"/>
      </w:pPr>
      <m:oMath>
        <m:sSubSup>
          <m:e>
            <m:r>
              <m:t>c</m:t>
            </m:r>
          </m:e>
          <m:sub>
            <m:r>
              <m:t>i</m:t>
            </m:r>
            <m:r>
              <m:t>j</m:t>
            </m:r>
          </m:sub>
          <m:sup>
            <m:r>
              <m:t>m</m:t>
            </m:r>
          </m:sup>
        </m:sSubSup>
      </m:oMath>
      <w:r>
        <w:t xml:space="preserve"> </w:t>
      </w:r>
      <w:r>
        <w:t xml:space="preserve">is a measure of the cost of moving between</w:t>
      </w:r>
      <w:r>
        <w:t xml:space="preserve"> </w:t>
      </w:r>
      <m:oMath>
        <m:r>
          <m:t>i</m:t>
        </m:r>
      </m:oMath>
      <w:r>
        <w:t xml:space="preserve"> </w:t>
      </w:r>
      <w:r>
        <w:t xml:space="preserve">and</w:t>
      </w:r>
      <w:r>
        <w:t xml:space="preserve"> </w:t>
      </w:r>
      <m:oMath>
        <m:r>
          <m:t>j</m:t>
        </m:r>
      </m:oMath>
      <w:r>
        <w:t xml:space="preserve"> </w:t>
      </w:r>
      <w:r>
        <w:t xml:space="preserve">for each</w:t>
      </w:r>
      <w:r>
        <w:t xml:space="preserve"> </w:t>
      </w:r>
      <m:oMath>
        <m:r>
          <m:t>m</m:t>
        </m:r>
      </m:oMath>
      <w:r>
        <w:t xml:space="preserve">.</w:t>
      </w:r>
    </w:p>
    <w:p>
      <w:pPr>
        <w:numPr>
          <w:ilvl w:val="0"/>
          <w:numId w:val="1001"/>
        </w:numPr>
        <w:pStyle w:val="Compact"/>
      </w:pPr>
      <m:oMath>
        <m:sSup>
          <m:e>
            <m:r>
              <m:t>f</m:t>
            </m:r>
          </m:e>
          <m:sup>
            <m:r>
              <m:t>m</m:t>
            </m:r>
          </m:sup>
        </m:sSup>
        <m:d>
          <m:dPr>
            <m:begChr m:val="("/>
            <m:endChr m:val=")"/>
            <m:sepChr m:val=""/>
            <m:grow/>
          </m:dPr>
          <m:e>
            <m:r>
              <m:rPr>
                <m:sty m:val="p"/>
              </m:rPr>
              <m:t>⋅</m:t>
            </m:r>
          </m:e>
        </m:d>
      </m:oMath>
      <w:r>
        <w:t xml:space="preserve"> </w:t>
      </w:r>
      <w:r>
        <w:t xml:space="preserve">is an impedance function of</w:t>
      </w:r>
      <w:r>
        <w:t xml:space="preserve"> </w:t>
      </w:r>
      <m:oMath>
        <m:sSubSup>
          <m:e>
            <m:r>
              <m:t>c</m:t>
            </m:r>
          </m:e>
          <m:sub>
            <m:r>
              <m:t>i</m:t>
            </m:r>
            <m:r>
              <m:t>j</m:t>
            </m:r>
          </m:sub>
          <m:sup>
            <m:r>
              <m:t>m</m:t>
            </m:r>
          </m:sup>
        </m:sSubSup>
      </m:oMath>
      <w:r>
        <w:t xml:space="preserve"> </w:t>
      </w:r>
      <w:r>
        <w:t xml:space="preserve">for each</w:t>
      </w:r>
      <w:r>
        <w:t xml:space="preserve"> </w:t>
      </w:r>
      <m:oMath>
        <m:r>
          <m:t>m</m:t>
        </m:r>
      </m:oMath>
      <w:r>
        <w:t xml:space="preserve">; it can take the form of any monotonically decreasing function chosen based on positive or normative criteria</w:t>
      </w:r>
      <w:r>
        <w:t xml:space="preserve"> </w:t>
      </w:r>
      <w:r>
        <w:t xml:space="preserve">(Paez, Scott, and Morency 2012)</w:t>
      </w:r>
      <w:r>
        <w:t xml:space="preserve">.</w:t>
      </w:r>
    </w:p>
    <w:p>
      <w:pPr>
        <w:numPr>
          <w:ilvl w:val="0"/>
          <w:numId w:val="1001"/>
        </w:numPr>
        <w:pStyle w:val="Compact"/>
      </w:pPr>
      <m:oMath>
        <m:r>
          <m:t>i</m:t>
        </m:r>
      </m:oMath>
      <w:r>
        <w:t xml:space="preserve"> </w:t>
      </w:r>
      <w:r>
        <w:t xml:space="preserve">is a set of origin locations (</w:t>
      </w:r>
      <m:oMath>
        <m:r>
          <m:t>i</m:t>
        </m:r>
        <m:r>
          <m:rPr>
            <m:sty m:val="p"/>
          </m:rPr>
          <m:t>=</m:t>
        </m:r>
        <m:r>
          <m:t>1</m:t>
        </m:r>
        <m:r>
          <m:rPr>
            <m:sty m:val="p"/>
          </m:rPr>
          <m:t>,</m:t>
        </m:r>
        <m:r>
          <m:rPr>
            <m:sty m:val="p"/>
          </m:rPr>
          <m:t>⋯</m:t>
        </m:r>
        <m:r>
          <m:rPr>
            <m:sty m:val="p"/>
          </m:rPr>
          <m:t>,</m:t>
        </m:r>
        <m:r>
          <m:t>N</m:t>
        </m:r>
      </m:oMath>
      <w:r>
        <w:t xml:space="preserve">).</w:t>
      </w:r>
    </w:p>
    <w:p>
      <w:pPr>
        <w:numPr>
          <w:ilvl w:val="0"/>
          <w:numId w:val="1001"/>
        </w:numPr>
        <w:pStyle w:val="Compact"/>
      </w:pPr>
      <m:oMath>
        <m:r>
          <m:t>j</m:t>
        </m:r>
      </m:oMath>
      <w:r>
        <w:t xml:space="preserve"> </w:t>
      </w:r>
      <w:r>
        <w:t xml:space="preserve">is a set of destination locations (</w:t>
      </w:r>
      <m:oMath>
        <m:r>
          <m:t>j</m:t>
        </m:r>
        <m:r>
          <m:rPr>
            <m:sty m:val="p"/>
          </m:rPr>
          <m:t>=</m:t>
        </m:r>
        <m:r>
          <m:t>1</m:t>
        </m:r>
        <m:r>
          <m:rPr>
            <m:sty m:val="p"/>
          </m:rPr>
          <m:t>,</m:t>
        </m:r>
        <m:r>
          <m:rPr>
            <m:sty m:val="p"/>
          </m:rPr>
          <m:t>⋯</m:t>
        </m:r>
        <m:r>
          <m:rPr>
            <m:sty m:val="p"/>
          </m:rPr>
          <m:t>,</m:t>
        </m:r>
        <m:r>
          <m:t>J</m:t>
        </m:r>
      </m:oMath>
      <w:r>
        <w:t xml:space="preserve">).</w:t>
      </w:r>
    </w:p>
    <w:p>
      <w:pPr>
        <w:numPr>
          <w:ilvl w:val="0"/>
          <w:numId w:val="1001"/>
        </w:numPr>
        <w:pStyle w:val="Compact"/>
      </w:pPr>
      <m:oMath>
        <m:sSub>
          <m:e>
            <m:r>
              <m:t>O</m:t>
            </m:r>
          </m:e>
          <m:sub>
            <m:r>
              <m:t>j</m:t>
            </m:r>
          </m:sub>
        </m:sSub>
      </m:oMath>
      <w:r>
        <w:t xml:space="preserve"> </w:t>
      </w:r>
      <w:r>
        <w:t xml:space="preserve">is the number of opportunities at location</w:t>
      </w:r>
      <w:r>
        <w:t xml:space="preserve"> </w:t>
      </w:r>
      <m:oMath>
        <m:r>
          <m:t>j</m:t>
        </m:r>
      </m:oMath>
      <w:r>
        <w:t xml:space="preserve">.</w:t>
      </w:r>
    </w:p>
    <w:p>
      <w:pPr>
        <w:numPr>
          <w:ilvl w:val="0"/>
          <w:numId w:val="1001"/>
        </w:numPr>
        <w:pStyle w:val="Compact"/>
      </w:pPr>
      <m:oMath>
        <m:r>
          <m:t>S</m:t>
        </m:r>
      </m:oMath>
      <w:r>
        <w:t xml:space="preserve"> </w:t>
      </w:r>
      <w:r>
        <w:t xml:space="preserve">is Hansen-type accessibility as weighted sum of opportunities.</w:t>
      </w:r>
    </w:p>
    <w:p>
      <w:pPr>
        <w:pStyle w:val="FirstParagraph"/>
      </w:pPr>
      <w:r>
        <w:t xml:space="preserve">As indicators of urban structure, Hansen-type measures are informative, but the meaning of 10,000 accessible school-seats is harder to pin down: how many opportunities must any single student have access to? Furthermore, in scenario comparisons, the interpretation of the percentage change in accessible school-seats is unclear. The interpretability of Hansen-type accessibility has been discussed in numerous studies, including recently by</w:t>
      </w:r>
      <w:r>
        <w:t xml:space="preserve"> </w:t>
      </w:r>
      <w:r>
        <w:t xml:space="preserve">Hu and Downs (2019)</w:t>
      </w:r>
      <w:r>
        <w:t xml:space="preserve">,</w:t>
      </w:r>
      <w:r>
        <w:t xml:space="preserve"> </w:t>
      </w:r>
      <w:r>
        <w:t xml:space="preserve">Kelobonye et al. (2020)</w:t>
      </w:r>
      <w:r>
        <w:t xml:space="preserve">, and in greater depth by</w:t>
      </w:r>
      <w:r>
        <w:t xml:space="preserve"> </w:t>
      </w:r>
      <w:r>
        <w:t xml:space="preserve">Merlin and Hu (2017)</w:t>
      </w:r>
      <w:r>
        <w:t xml:space="preserve"> </w:t>
      </w:r>
      <w:r>
        <w:t xml:space="preserve">along with</w:t>
      </w:r>
      <w:r>
        <w:t xml:space="preserve"> </w:t>
      </w:r>
      <w:r>
        <w:t xml:space="preserve">Soukhov et al. (2023)</w:t>
      </w:r>
      <w:r>
        <w:t xml:space="preserve"> </w:t>
      </w:r>
      <w:r>
        <w:t xml:space="preserve">and</w:t>
      </w:r>
      <w:r>
        <w:t xml:space="preserve"> </w:t>
      </w:r>
      <w:r>
        <w:t xml:space="preserve">Soukhov et al. (2024)</w:t>
      </w:r>
      <w:r>
        <w:t xml:space="preserve">. The interpretation of accessibility is suggested to depend on how many people demand the opportunity, especially for exclusive opportunity-types like schools-seats (i.e., one school-seat is for one student).</w:t>
      </w:r>
    </w:p>
    <w:p>
      <w:pPr>
        <w:pStyle w:val="BodyText"/>
      </w:pPr>
      <w:r>
        <w:t xml:space="preserve">In this paper, we benefit from new development in accessibility research, particularly the multimodal spatial availability measure</w:t>
      </w:r>
      <w:r>
        <w:t xml:space="preserve"> </w:t>
      </w:r>
      <w:r>
        <w:t xml:space="preserve">(Soukhov et al. 2023; Soukhov et al. 2024)</w:t>
      </w:r>
      <w:r>
        <w:t xml:space="preserve">. Spatial availability is a singly-constrained accessibility measure that accounts for competition by students using different modes for exclusive opportunities, such as school seats. The measure’s single constraint ensures that the marginals at the destination are met and thus the number of estimated school seats (opportunities) are preserved and allocated proportionally to the mode-using student population. This proportional allocation of opportunities yields an interpretable and meaningful measure of opportunity access, particularly when comparing across modes, at the spatial resolution of a residential parcel, and multiple time periods. See</w:t>
      </w:r>
      <w:r>
        <w:t xml:space="preserve"> </w:t>
      </w:r>
      <w:r>
        <w:t xml:space="preserve">Soukhov et al. (2024)</w:t>
      </w:r>
      <w:r>
        <w:t xml:space="preserve"> </w:t>
      </w:r>
      <w:r>
        <w:t xml:space="preserve">for further discussion, multimodal spatial availability</w:t>
      </w:r>
      <w:r>
        <w:t xml:space="preserve"> </w:t>
      </w:r>
      <m:oMath>
        <m:sSubSup>
          <m:e>
            <m:r>
              <m:t>V</m:t>
            </m:r>
          </m:e>
          <m:sub>
            <m:r>
              <m:t>i</m:t>
            </m:r>
          </m:sub>
          <m:sup>
            <m:r>
              <m:t>m</m:t>
            </m:r>
          </m:sup>
        </m:sSubSup>
      </m:oMath>
      <w:r>
        <w:t xml:space="preserve"> </w:t>
      </w:r>
      <w:r>
        <w:t xml:space="preserve">is defined as given by Equation (</w:t>
      </w:r>
      <w:r>
        <w:t xml:space="preserve">).</w:t>
      </w:r>
    </w:p>
    <w:p>
      <w:pPr>
        <w:pStyle w:val="BodyText"/>
      </w:pPr>
      <w:r>
        <w:t xml:space="preserve">where:</w:t>
      </w:r>
    </w:p>
    <w:p>
      <w:pPr>
        <w:numPr>
          <w:ilvl w:val="0"/>
          <w:numId w:val="1002"/>
        </w:numPr>
        <w:pStyle w:val="Compact"/>
      </w:pPr>
      <m:oMath>
        <m:sSubSup>
          <m:e>
            <m:r>
              <m:t>F</m:t>
            </m:r>
          </m:e>
          <m:sub>
            <m:r>
              <m:t>i</m:t>
            </m:r>
            <m:r>
              <m:t>j</m:t>
            </m:r>
          </m:sub>
          <m:sup>
            <m:r>
              <m:t>t</m:t>
            </m:r>
            <m:r>
              <m:t>m</m:t>
            </m:r>
          </m:sup>
        </m:sSubSup>
      </m:oMath>
      <w:r>
        <w:t xml:space="preserve"> </w:t>
      </w:r>
      <w:r>
        <w:t xml:space="preserve">is a balancing factor that depends on the population and cost of movement in the system as part of the gravity modelling framework and is captured in Equation (</w:t>
      </w:r>
      <w:r>
        <w:t xml:space="preserve">) for mode</w:t>
      </w:r>
      <w:r>
        <w:t xml:space="preserve"> </w:t>
      </w:r>
      <m:oMath>
        <m:r>
          <m:t>m</m:t>
        </m:r>
      </m:oMath>
      <w:r>
        <w:t xml:space="preserve">.</w:t>
      </w:r>
    </w:p>
    <w:p>
      <w:pPr>
        <w:numPr>
          <w:ilvl w:val="0"/>
          <w:numId w:val="1002"/>
        </w:numPr>
        <w:pStyle w:val="Compact"/>
      </w:pPr>
      <m:oMath>
        <m:sSub>
          <m:e>
            <m:r>
              <m:t>O</m:t>
            </m:r>
          </m:e>
          <m:sub>
            <m:r>
              <m:t>j</m:t>
            </m:r>
          </m:sub>
        </m:sSub>
      </m:oMath>
      <w:r>
        <w:t xml:space="preserve"> </w:t>
      </w:r>
      <w:r>
        <w:t xml:space="preserve">is the number of opportunities at</w:t>
      </w:r>
      <w:r>
        <w:t xml:space="preserve"> </w:t>
      </w:r>
      <m:oMath>
        <m:r>
          <m:t>j</m:t>
        </m:r>
      </m:oMath>
      <w:r>
        <w:t xml:space="preserve">.</w:t>
      </w:r>
    </w:p>
    <w:p>
      <w:pPr>
        <w:numPr>
          <w:ilvl w:val="0"/>
          <w:numId w:val="1002"/>
        </w:numPr>
        <w:pStyle w:val="Compact"/>
      </w:pPr>
      <m:oMath>
        <m:sSubSup>
          <m:e>
            <m:r>
              <m:t>V</m:t>
            </m:r>
          </m:e>
          <m:sub>
            <m:r>
              <m:t>i</m:t>
            </m:r>
          </m:sub>
          <m:sup>
            <m:r>
              <m:t>m</m:t>
            </m:r>
          </m:sup>
        </m:sSubSup>
      </m:oMath>
      <w:r>
        <w:t xml:space="preserve"> </w:t>
      </w:r>
      <w:r>
        <w:t xml:space="preserve">is the number of spatially available opportunities from the perspective of</w:t>
      </w:r>
      <w:r>
        <w:t xml:space="preserve"> </w:t>
      </w:r>
      <m:oMath>
        <m:r>
          <m:t>i</m:t>
        </m:r>
      </m:oMath>
      <w:r>
        <w:t xml:space="preserve"> </w:t>
      </w:r>
      <w:r>
        <w:t xml:space="preserve">for mode</w:t>
      </w:r>
      <w:r>
        <w:t xml:space="preserve"> </w:t>
      </w:r>
      <m:oMath>
        <m:r>
          <m:t>m</m:t>
        </m:r>
      </m:oMath>
      <w:r>
        <w:t xml:space="preserve">.</w:t>
      </w:r>
    </w:p>
    <w:p>
      <w:pPr>
        <w:pStyle w:val="FirstParagraph"/>
      </w:pPr>
      <m:oMath>
        <m:sSubSup>
          <m:e>
            <m:r>
              <m:t>F</m:t>
            </m:r>
          </m:e>
          <m:sub>
            <m:r>
              <m:t>i</m:t>
            </m:r>
            <m:r>
              <m:t>j</m:t>
            </m:r>
          </m:sub>
          <m:sup>
            <m:r>
              <m:t>t</m:t>
            </m:r>
            <m:r>
              <m:t>m</m:t>
            </m:r>
          </m:sup>
        </m:sSubSup>
      </m:oMath>
      <w:r>
        <w:t xml:space="preserve"> </w:t>
      </w:r>
      <w:r>
        <w:t xml:space="preserve">can be understood as the joint probability of allocating opportunities, where</w:t>
      </w:r>
      <w:r>
        <w:t xml:space="preserve"> </w:t>
      </w:r>
      <m:oMath>
        <m:sSubSup>
          <m:e>
            <m:r>
              <m:t>F</m:t>
            </m:r>
          </m:e>
          <m:sub>
            <m:r>
              <m:t>i</m:t>
            </m:r>
          </m:sub>
          <m:sup>
            <m:r>
              <m:t>p</m:t>
            </m:r>
            <m:r>
              <m:t>m</m:t>
            </m:r>
          </m:sup>
        </m:sSubSup>
      </m:oMath>
      <w:r>
        <w:t xml:space="preserve"> </w:t>
      </w:r>
      <w:r>
        <w:t xml:space="preserve">is the population-based balancing factor that grants a larger share of opportunities to larger</w:t>
      </w:r>
      <w:r>
        <w:t xml:space="preserve"> </w:t>
      </w:r>
      <m:oMath>
        <m:r>
          <m:t>m</m:t>
        </m:r>
      </m:oMath>
      <w:r>
        <w:t xml:space="preserve"> </w:t>
      </w:r>
      <w:r>
        <w:t xml:space="preserve">population spatial units and</w:t>
      </w:r>
      <w:r>
        <w:t xml:space="preserve"> </w:t>
      </w:r>
      <m:oMath>
        <m:sSubSup>
          <m:e>
            <m:r>
              <m:t>F</m:t>
            </m:r>
          </m:e>
          <m:sub>
            <m:r>
              <m:t>i</m:t>
            </m:r>
            <m:r>
              <m:t>j</m:t>
            </m:r>
          </m:sub>
          <m:sup>
            <m:r>
              <m:t>c</m:t>
            </m:r>
            <m:r>
              <m:t>m</m:t>
            </m:r>
          </m:sup>
        </m:sSubSup>
      </m:oMath>
      <w:r>
        <w:t xml:space="preserve"> </w:t>
      </w:r>
      <w:r>
        <w:t xml:space="preserve">is the impedance-based balancing factor that grants a larger share of the opportunities to less</w:t>
      </w:r>
      <w:r>
        <w:t xml:space="preserve"> </w:t>
      </w:r>
      <m:oMath>
        <m:r>
          <m:t>m</m:t>
        </m:r>
      </m:oMath>
      <w:r>
        <w:t xml:space="preserve">-travel costly centers. Together</w:t>
      </w:r>
      <w:r>
        <w:t xml:space="preserve"> </w:t>
      </w:r>
      <m:oMath>
        <m:sSubSup>
          <m:e>
            <m:r>
              <m:t>F</m:t>
            </m:r>
          </m:e>
          <m:sub>
            <m:r>
              <m:t>i</m:t>
            </m:r>
            <m:r>
              <m:t>j</m:t>
            </m:r>
          </m:sub>
          <m:sup>
            <m:r>
              <m:t>t</m:t>
            </m:r>
            <m:r>
              <m:t>m</m:t>
            </m:r>
          </m:sup>
        </m:sSubSup>
      </m:oMath>
      <w:r>
        <w:t xml:space="preserve"> </w:t>
      </w:r>
      <w:r>
        <w:t xml:space="preserve">ensures proportional allocation such that opportunities</w:t>
      </w:r>
      <w:r>
        <w:t xml:space="preserve"> </w:t>
      </w:r>
      <m:oMath>
        <m:r>
          <m:t>O</m:t>
        </m:r>
      </m:oMath>
      <w:r>
        <w:t xml:space="preserve"> </w:t>
      </w:r>
      <w:r>
        <w:t xml:space="preserve">(like school-seats) are preserved for the whole region (i.e.,</w:t>
      </w:r>
      <w:r>
        <w:t xml:space="preserve"> </w:t>
      </w:r>
      <m:oMath>
        <m:r>
          <m:t>O</m:t>
        </m:r>
        <m:r>
          <m:rPr>
            <m:sty m:val="p"/>
          </m:rPr>
          <m:t>=</m:t>
        </m:r>
        <m:nary>
          <m:naryPr>
            <m:chr m:val="∑"/>
            <m:limLoc m:val="undOvr"/>
            <m:subHide m:val="0"/>
            <m:supHide m:val="1"/>
          </m:naryPr>
          <m:sub>
            <m:r>
              <m:t>j</m:t>
            </m:r>
          </m:sub>
          <m:sup>
            <m:r>
              <m:t>​</m:t>
            </m:r>
          </m:sup>
          <m:e>
            <m:sSub>
              <m:e>
                <m:r>
                  <m:t>O</m:t>
                </m:r>
              </m:e>
              <m:sub>
                <m:r>
                  <m:t>j</m:t>
                </m:r>
              </m:sub>
            </m:sSub>
          </m:e>
        </m:nary>
        <m:r>
          <m:rPr>
            <m:sty m:val="p"/>
          </m:rPr>
          <m:t>=</m:t>
        </m:r>
        <m:nary>
          <m:naryPr>
            <m:chr m:val="∑"/>
            <m:limLoc m:val="undOvr"/>
            <m:subHide m:val="0"/>
            <m:supHide m:val="1"/>
          </m:naryPr>
          <m:sub>
            <m:r>
              <m:t>i</m:t>
            </m:r>
          </m:sub>
          <m:sup>
            <m:r>
              <m:t>​</m:t>
            </m:r>
          </m:sup>
          <m:e>
            <m:sSub>
              <m:e>
                <m:r>
                  <m:t>V</m:t>
                </m:r>
              </m:e>
              <m:sub>
                <m:r>
                  <m:t>i</m:t>
                </m:r>
              </m:sub>
            </m:sSub>
          </m:e>
        </m:nary>
        <m:r>
          <m:rPr>
            <m:sty m:val="p"/>
          </m:rPr>
          <m:t>=</m:t>
        </m:r>
        <m:nary>
          <m:naryPr>
            <m:chr m:val="∑"/>
            <m:limLoc m:val="undOvr"/>
            <m:subHide m:val="0"/>
            <m:supHide m:val="1"/>
          </m:naryPr>
          <m:sub>
            <m:r>
              <m:t>m</m:t>
            </m:r>
          </m:sub>
          <m:sup>
            <m:r>
              <m:t>​</m:t>
            </m:r>
          </m:sup>
          <m:e>
            <m:nary>
              <m:naryPr>
                <m:chr m:val="∑"/>
                <m:limLoc m:val="undOvr"/>
                <m:subHide m:val="0"/>
                <m:supHide m:val="1"/>
              </m:naryPr>
              <m:sub>
                <m:r>
                  <m:t>i</m:t>
                </m:r>
              </m:sub>
              <m:sup>
                <m:r>
                  <m:t>​</m:t>
                </m:r>
              </m:sup>
              <m:e>
                <m:sSubSup>
                  <m:e>
                    <m:r>
                      <m:t>V</m:t>
                    </m:r>
                  </m:e>
                  <m:sub>
                    <m:r>
                      <m:t>i</m:t>
                    </m:r>
                  </m:sub>
                  <m:sup>
                    <m:r>
                      <m:t>m</m:t>
                    </m:r>
                  </m:sup>
                </m:sSubSup>
              </m:e>
            </m:nary>
          </m:e>
        </m:nary>
      </m:oMath>
      <w:r>
        <w:t xml:space="preserve"> </w:t>
      </w:r>
      <w:r>
        <w:t xml:space="preserve">) and is reflected in Equation (</w:t>
      </w:r>
      <w:r>
        <w:t xml:space="preserve">):</w:t>
      </w:r>
    </w:p>
    <w:p>
      <w:pPr>
        <w:pStyle w:val="BodyText"/>
      </w:pPr>
      <w:r>
        <w:t xml:space="preserve">where:</w:t>
      </w:r>
    </w:p>
    <w:p>
      <w:pPr>
        <w:numPr>
          <w:ilvl w:val="0"/>
          <w:numId w:val="1003"/>
        </w:numPr>
        <w:pStyle w:val="Compact"/>
      </w:pPr>
      <w:r>
        <w:t xml:space="preserve">The factor for allocation by population for each</w:t>
      </w:r>
      <w:r>
        <w:t xml:space="preserve"> </w:t>
      </w:r>
      <m:oMath>
        <m:r>
          <m:t>m</m:t>
        </m:r>
      </m:oMath>
      <w:r>
        <w:t xml:space="preserve"> </w:t>
      </w:r>
      <w:r>
        <w:t xml:space="preserve">at each</w:t>
      </w:r>
      <w:r>
        <w:t xml:space="preserve"> </w:t>
      </w:r>
      <m:oMath>
        <m:r>
          <m:t>i</m:t>
        </m:r>
      </m:oMath>
      <w:r>
        <w:t xml:space="preserve"> </w:t>
      </w:r>
      <w:r>
        <w:t xml:space="preserve">is</w:t>
      </w:r>
      <w:r>
        <w:t xml:space="preserve"> </w:t>
      </w:r>
      <m:oMath>
        <m:sSubSup>
          <m:e>
            <m:r>
              <m:t>F</m:t>
            </m:r>
          </m:e>
          <m:sub>
            <m:r>
              <m:t>i</m:t>
            </m:r>
          </m:sub>
          <m:sup>
            <m:r>
              <m:t>p</m:t>
            </m:r>
            <m:r>
              <m:t>m</m:t>
            </m:r>
          </m:sup>
        </m:sSubSup>
        <m:r>
          <m:rPr>
            <m:sty m:val="p"/>
          </m:rPr>
          <m:t>=</m:t>
        </m:r>
        <m:f>
          <m:fPr>
            <m:type m:val="bar"/>
          </m:fPr>
          <m:num>
            <m:sSubSup>
              <m:e>
                <m:r>
                  <m:t>P</m:t>
                </m:r>
              </m:e>
              <m:sub>
                <m:r>
                  <m:t>i</m:t>
                </m:r>
              </m:sub>
              <m:sup>
                <m:r>
                  <m:t>m</m:t>
                </m:r>
              </m:sup>
            </m:sSubSup>
          </m:num>
          <m:den>
            <m:nary>
              <m:naryPr>
                <m:chr m:val="∑"/>
                <m:limLoc m:val="undOvr"/>
                <m:subHide m:val="0"/>
                <m:supHide m:val="1"/>
              </m:naryPr>
              <m:sub>
                <m:r>
                  <m:t>m</m:t>
                </m:r>
              </m:sub>
              <m:sup>
                <m:r>
                  <m:t>​</m:t>
                </m:r>
              </m:sup>
              <m:e>
                <m:nary>
                  <m:naryPr>
                    <m:chr m:val="∑"/>
                    <m:limLoc m:val="undOvr"/>
                    <m:subHide m:val="0"/>
                    <m:supHide m:val="1"/>
                  </m:naryPr>
                  <m:sub>
                    <m:r>
                      <m:t>i</m:t>
                    </m:r>
                  </m:sub>
                  <m:sup>
                    <m:r>
                      <m:t>​</m:t>
                    </m:r>
                  </m:sup>
                  <m:e>
                    <m:sSubSup>
                      <m:e>
                        <m:r>
                          <m:t>P</m:t>
                        </m:r>
                      </m:e>
                      <m:sub>
                        <m:r>
                          <m:t>i</m:t>
                        </m:r>
                      </m:sub>
                      <m:sup>
                        <m:r>
                          <m:t>m</m:t>
                        </m:r>
                      </m:sup>
                    </m:sSubSup>
                  </m:e>
                </m:nary>
              </m:e>
            </m:nary>
          </m:den>
        </m:f>
      </m:oMath>
    </w:p>
    <w:p>
      <w:pPr>
        <w:numPr>
          <w:ilvl w:val="0"/>
          <w:numId w:val="1003"/>
        </w:numPr>
        <w:pStyle w:val="Compact"/>
      </w:pPr>
      <w:r>
        <w:t xml:space="preserve">The factor for allocation by travel cost for each</w:t>
      </w:r>
      <w:r>
        <w:t xml:space="preserve"> </w:t>
      </w:r>
      <m:oMath>
        <m:r>
          <m:t>m</m:t>
        </m:r>
      </m:oMath>
      <w:r>
        <w:t xml:space="preserve"> </w:t>
      </w:r>
      <w:r>
        <w:t xml:space="preserve">at each</w:t>
      </w:r>
      <w:r>
        <w:t xml:space="preserve"> </w:t>
      </w:r>
      <m:oMath>
        <m:r>
          <m:t>i</m:t>
        </m:r>
      </m:oMath>
      <w:r>
        <w:t xml:space="preserve"> </w:t>
      </w:r>
      <w:r>
        <w:t xml:space="preserve">and</w:t>
      </w:r>
      <w:r>
        <w:t xml:space="preserve"> </w:t>
      </w:r>
      <m:oMath>
        <m:r>
          <m:t>j</m:t>
        </m:r>
      </m:oMath>
      <w:r>
        <w:t xml:space="preserve"> </w:t>
      </w:r>
      <w:r>
        <w:t xml:space="preserve">is</w:t>
      </w:r>
      <w:r>
        <w:t xml:space="preserve"> </w:t>
      </w:r>
      <m:oMath>
        <m:sSubSup>
          <m:e>
            <m:r>
              <m:t>F</m:t>
            </m:r>
          </m:e>
          <m:sub>
            <m:r>
              <m:t>i</m:t>
            </m:r>
            <m:r>
              <m:t>j</m:t>
            </m:r>
          </m:sub>
          <m:sup>
            <m:r>
              <m:t>c</m:t>
            </m:r>
            <m:r>
              <m:t>m</m:t>
            </m:r>
          </m:sup>
        </m:sSubSup>
        <m:r>
          <m:rPr>
            <m:sty m:val="p"/>
          </m:rPr>
          <m:t>=</m:t>
        </m:r>
        <m:f>
          <m:fPr>
            <m:type m:val="bar"/>
          </m:fPr>
          <m:num>
            <m:sSup>
              <m:e>
                <m:r>
                  <m:t>f</m:t>
                </m:r>
              </m:e>
              <m:sup>
                <m:r>
                  <m:t>m</m:t>
                </m:r>
              </m:sup>
            </m:sSup>
            <m:d>
              <m:dPr>
                <m:begChr m:val="("/>
                <m:endChr m:val=")"/>
                <m:sepChr m:val=""/>
                <m:grow/>
              </m:dPr>
              <m:e>
                <m:sSubSup>
                  <m:e>
                    <m:r>
                      <m:t>c</m:t>
                    </m:r>
                  </m:e>
                  <m:sub>
                    <m:r>
                      <m:t>i</m:t>
                    </m:r>
                    <m:r>
                      <m:t>j</m:t>
                    </m:r>
                  </m:sub>
                  <m:sup>
                    <m:r>
                      <m:t>m</m:t>
                    </m:r>
                  </m:sup>
                </m:sSubSup>
              </m:e>
            </m:d>
          </m:num>
          <m:den>
            <m:nary>
              <m:naryPr>
                <m:chr m:val="∑"/>
                <m:limLoc m:val="undOvr"/>
                <m:subHide m:val="0"/>
                <m:supHide m:val="1"/>
              </m:naryPr>
              <m:sub>
                <m:r>
                  <m:t>m</m:t>
                </m:r>
              </m:sub>
              <m:sup>
                <m:r>
                  <m:t>​</m:t>
                </m:r>
              </m:sup>
              <m:e>
                <m:nary>
                  <m:naryPr>
                    <m:chr m:val="∑"/>
                    <m:limLoc m:val="undOvr"/>
                    <m:subHide m:val="0"/>
                    <m:supHide m:val="1"/>
                  </m:naryPr>
                  <m:sub>
                    <m:r>
                      <m:t>i</m:t>
                    </m:r>
                  </m:sub>
                  <m:sup>
                    <m:r>
                      <m:t>​</m:t>
                    </m:r>
                  </m:sup>
                  <m:e>
                    <m:sSup>
                      <m:e>
                        <m:r>
                          <m:t>f</m:t>
                        </m:r>
                      </m:e>
                      <m:sup>
                        <m:r>
                          <m:t>m</m:t>
                        </m:r>
                      </m:sup>
                    </m:sSup>
                  </m:e>
                </m:nary>
              </m:e>
            </m:nary>
            <m:d>
              <m:dPr>
                <m:begChr m:val="("/>
                <m:endChr m:val=")"/>
                <m:sepChr m:val=""/>
                <m:grow/>
              </m:dPr>
              <m:e>
                <m:sSubSup>
                  <m:e>
                    <m:r>
                      <m:t>c</m:t>
                    </m:r>
                  </m:e>
                  <m:sub>
                    <m:r>
                      <m:t>i</m:t>
                    </m:r>
                    <m:r>
                      <m:t>j</m:t>
                    </m:r>
                  </m:sub>
                  <m:sup>
                    <m:r>
                      <m:t>m</m:t>
                    </m:r>
                  </m:sup>
                </m:sSubSup>
              </m:e>
            </m:d>
          </m:den>
        </m:f>
      </m:oMath>
    </w:p>
    <w:p>
      <w:pPr>
        <w:pStyle w:val="FirstParagraph"/>
      </w:pPr>
      <w:r>
        <w:t xml:space="preserve">It should be noted, that the population-based allocation factors</w:t>
      </w:r>
      <w:r>
        <w:t xml:space="preserve"> </w:t>
      </w:r>
      <m:oMath>
        <m:sSubSup>
          <m:e>
            <m:r>
              <m:t>F</m:t>
            </m:r>
          </m:e>
          <m:sub>
            <m:r>
              <m:t>i</m:t>
            </m:r>
          </m:sub>
          <m:sup>
            <m:r>
              <m:t>p</m:t>
            </m:r>
            <m:r>
              <m:t>m</m:t>
            </m:r>
          </m:sup>
        </m:sSubSup>
      </m:oMath>
      <w:r>
        <w:t xml:space="preserve"> </w:t>
      </w:r>
      <w:r>
        <w:t xml:space="preserve">when summed over all spatial units in the region always equals to 1 (i.e.,</w:t>
      </w:r>
      <w:r>
        <w:t xml:space="preserve"> </w:t>
      </w:r>
      <m:oMath>
        <m:nary>
          <m:naryPr>
            <m:chr m:val="∑"/>
            <m:limLoc m:val="undOvr"/>
            <m:subHide m:val="0"/>
            <m:supHide m:val="1"/>
          </m:naryPr>
          <m:sub>
            <m:r>
              <m:t>m</m:t>
            </m:r>
          </m:sub>
          <m:sup>
            <m:r>
              <m:t>​</m:t>
            </m:r>
          </m:sup>
          <m:e>
            <m:nary>
              <m:naryPr>
                <m:chr m:val="∑"/>
                <m:limLoc m:val="undOvr"/>
                <m:subHide m:val="0"/>
                <m:supHide m:val="1"/>
              </m:naryPr>
              <m:sub>
                <m:r>
                  <m:t>i</m:t>
                </m:r>
              </m:sub>
              <m:sup>
                <m:r>
                  <m:t>​</m:t>
                </m:r>
              </m:sup>
              <m:e>
                <m:sSubSup>
                  <m:e>
                    <m:r>
                      <m:t>F</m:t>
                    </m:r>
                  </m:e>
                  <m:sub>
                    <m:r>
                      <m:t>i</m:t>
                    </m:r>
                  </m:sub>
                  <m:sup>
                    <m:r>
                      <m:t>p</m:t>
                    </m:r>
                    <m:r>
                      <m:t>m</m:t>
                    </m:r>
                  </m:sup>
                </m:sSubSup>
              </m:e>
            </m:nary>
          </m:e>
        </m:nary>
        <m:r>
          <m:rPr>
            <m:sty m:val="p"/>
          </m:rPr>
          <m:t>=</m:t>
        </m:r>
        <m:r>
          <m:t>1</m:t>
        </m:r>
      </m:oMath>
      <w:r>
        <w:t xml:space="preserve">), likewise for impedance-based allocation factors</w:t>
      </w:r>
      <w:r>
        <w:t xml:space="preserve"> </w:t>
      </w:r>
      <m:oMath>
        <m:sSubSup>
          <m:e>
            <m:r>
              <m:t>F</m:t>
            </m:r>
          </m:e>
          <m:sub>
            <m:r>
              <m:t>i</m:t>
            </m:r>
          </m:sub>
          <m:sup>
            <m:r>
              <m:t>c</m:t>
            </m:r>
            <m:r>
              <m:t>m</m:t>
            </m:r>
          </m:sup>
        </m:sSubSup>
      </m:oMath>
      <w:r>
        <w:t xml:space="preserve"> </w:t>
      </w:r>
      <w:r>
        <w:t xml:space="preserve">(i.e.,</w:t>
      </w:r>
      <w:r>
        <w:t xml:space="preserve"> </w:t>
      </w:r>
      <m:oMath>
        <m:nary>
          <m:naryPr>
            <m:chr m:val="∑"/>
            <m:limLoc m:val="undOvr"/>
            <m:subHide m:val="0"/>
            <m:supHide m:val="1"/>
          </m:naryPr>
          <m:sub>
            <m:r>
              <m:t>m</m:t>
            </m:r>
          </m:sub>
          <m:sup>
            <m:r>
              <m:t>​</m:t>
            </m:r>
          </m:sup>
          <m:e>
            <m:nary>
              <m:naryPr>
                <m:chr m:val="∑"/>
                <m:limLoc m:val="undOvr"/>
                <m:subHide m:val="0"/>
                <m:supHide m:val="1"/>
              </m:naryPr>
              <m:sub>
                <m:r>
                  <m:t>i</m:t>
                </m:r>
              </m:sub>
              <m:sup>
                <m:r>
                  <m:t>​</m:t>
                </m:r>
              </m:sup>
              <m:e>
                <m:sSubSup>
                  <m:e>
                    <m:r>
                      <m:t>F</m:t>
                    </m:r>
                  </m:e>
                  <m:sub>
                    <m:r>
                      <m:t>i</m:t>
                    </m:r>
                    <m:r>
                      <m:t>j</m:t>
                    </m:r>
                  </m:sub>
                  <m:sup>
                    <m:r>
                      <m:t>c</m:t>
                    </m:r>
                    <m:r>
                      <m:t>m</m:t>
                    </m:r>
                  </m:sup>
                </m:sSubSup>
              </m:e>
            </m:nary>
          </m:e>
        </m:nary>
        <m:r>
          <m:rPr>
            <m:sty m:val="p"/>
          </m:rPr>
          <m:t>=</m:t>
        </m:r>
        <m:r>
          <m:t>1</m:t>
        </m:r>
      </m:oMath>
      <w:r>
        <w:t xml:space="preserve">).</w:t>
      </w:r>
    </w:p>
    <w:p>
      <w:pPr>
        <w:pStyle w:val="BodyText"/>
      </w:pPr>
      <w:r>
        <w:t xml:space="preserve">Hansen-type accessibility is not designed to preserve the number of opportunities in the region, it simply counts the potential opportunities that those in a zone can interact with (weighted by the friction of distance). Also as discussed in</w:t>
      </w:r>
      <w:r>
        <w:t xml:space="preserve"> </w:t>
      </w:r>
      <w:r>
        <w:t xml:space="preserve">Soukhov et al. (2023)</w:t>
      </w:r>
      <w:r>
        <w:t xml:space="preserve">, popular competitive accessibility measure such as the 2SFCA</w:t>
      </w:r>
      <w:r>
        <w:t xml:space="preserve"> </w:t>
      </w:r>
      <w:r>
        <w:t xml:space="preserve">(Shen 1998; Luo and Wang 2003)</w:t>
      </w:r>
      <w:r>
        <w:t xml:space="preserve"> </w:t>
      </w:r>
      <w:r>
        <w:t xml:space="preserve">ends up preserving the number of opportunities in the analysis region but the definitions of variables are internally obscured; the only way it preserves the number of opportunities is if the effect of the impedance function is ignored when expanding the values of opportunities per capita to obtain the total number of opportunities. On the other hand, the proportional allocation procedure associated with calculating multi-modal spatial availability</w:t>
      </w:r>
      <w:r>
        <w:t xml:space="preserve"> </w:t>
      </w:r>
      <m:oMath>
        <m:sSubSup>
          <m:e>
            <m:r>
              <m:t>V</m:t>
            </m:r>
          </m:e>
          <m:sub>
            <m:r>
              <m:t>i</m:t>
            </m:r>
          </m:sub>
          <m:sup>
            <m:r>
              <m:t>m</m:t>
            </m:r>
          </m:sup>
        </m:sSubSup>
      </m:oMath>
      <w:r>
        <w:t xml:space="preserve"> </w:t>
      </w:r>
      <w:r>
        <w:t xml:space="preserve">consistently returns a number of opportunities available to all mode-using populations that matches the total number of opportunities in the region when summed. As a result of this consistency, it is possible to define a measure of multimodal spatial availability per capita (</w:t>
      </w:r>
      <m:oMath>
        <m:r>
          <m:t>P</m:t>
        </m:r>
      </m:oMath>
      <w:r>
        <w:t xml:space="preserve">) as presented in Equation (</w:t>
      </w:r>
      <w:r>
        <w:t xml:space="preserve">) for use as a benchmark to compare against the regional opportunities per capita (</w:t>
      </w:r>
      <m:oMath>
        <m:f>
          <m:fPr>
            <m:type m:val="bar"/>
          </m:fPr>
          <m:num>
            <m:nary>
              <m:naryPr>
                <m:chr m:val="∑"/>
                <m:limLoc m:val="undOvr"/>
                <m:subHide m:val="0"/>
                <m:supHide m:val="1"/>
              </m:naryPr>
              <m:sub>
                <m:r>
                  <m:t>j</m:t>
                </m:r>
              </m:sub>
              <m:sup>
                <m:r>
                  <m:t>​</m:t>
                </m:r>
              </m:sup>
              <m:e>
                <m:sSub>
                  <m:e>
                    <m:r>
                      <m:t>O</m:t>
                    </m:r>
                  </m:e>
                  <m:sub>
                    <m:r>
                      <m:t>j</m:t>
                    </m:r>
                  </m:sub>
                </m:sSub>
              </m:e>
            </m:nary>
          </m:num>
          <m:den>
            <m:nary>
              <m:naryPr>
                <m:chr m:val="∑"/>
                <m:limLoc m:val="undOvr"/>
                <m:subHide m:val="0"/>
                <m:supHide m:val="1"/>
              </m:naryPr>
              <m:sub>
                <m:r>
                  <m:t>i</m:t>
                </m:r>
              </m:sub>
              <m:sup>
                <m:r>
                  <m:t>​</m:t>
                </m:r>
              </m:sup>
              <m:e>
                <m:sSub>
                  <m:e>
                    <m:r>
                      <m:t>P</m:t>
                    </m:r>
                  </m:e>
                  <m:sub>
                    <m:r>
                      <m:t>i</m:t>
                    </m:r>
                  </m:sub>
                </m:sSub>
              </m:e>
            </m:nary>
          </m:den>
        </m:f>
      </m:oMath>
      <w:r>
        <w:t xml:space="preserve">).</w:t>
      </w:r>
    </w:p>
    <w:p>
      <w:pPr>
        <w:pStyle w:val="BodyText"/>
      </w:pPr>
      <w:r>
        <w:t xml:space="preserve">For the reasons outlined, this paper uses the multimodal spatial availability</w:t>
      </w:r>
      <w:r>
        <w:t xml:space="preserve"> </w:t>
      </w:r>
      <m:oMath>
        <m:sSubSup>
          <m:e>
            <m:r>
              <m:t>V</m:t>
            </m:r>
          </m:e>
          <m:sub>
            <m:r>
              <m:t>i</m:t>
            </m:r>
          </m:sub>
          <m:sup>
            <m:r>
              <m:t>m</m:t>
            </m:r>
          </m:sup>
        </m:sSubSup>
      </m:oMath>
      <w:r>
        <w:t xml:space="preserve"> </w:t>
      </w:r>
      <w:r>
        <w:t xml:space="preserve">and spatial availability per student</w:t>
      </w:r>
      <w:r>
        <w:t xml:space="preserve"> </w:t>
      </w:r>
      <m:oMath>
        <m:sSubSup>
          <m:e>
            <m:r>
              <m:t>v</m:t>
            </m:r>
          </m:e>
          <m:sub>
            <m:r>
              <m:t>i</m:t>
            </m:r>
          </m:sub>
          <m:sup>
            <m:r>
              <m:t>m</m:t>
            </m:r>
          </m:sup>
        </m:sSubSup>
      </m:oMath>
      <w:r>
        <w:t xml:space="preserve"> </w:t>
      </w:r>
      <w:r>
        <w:t xml:space="preserve">measures to quantify accessibility changes.</w:t>
      </w:r>
    </w:p>
    <w:p>
      <w:pPr>
        <w:numPr>
          <w:ilvl w:val="0"/>
          <w:numId w:val="1004"/>
        </w:numPr>
        <w:pStyle w:val="Compact"/>
      </w:pPr>
      <w:r>
        <w:t xml:space="preserve">First, all residential locations are associated to their respective census DA, TTS TAZ and community boundary (</w:t>
      </w:r>
      <w:r>
        <w:rPr>
          <w:bCs/>
          <w:b/>
        </w:rPr>
        <w:t xml:space="preserve">?@fig-Fig3</w:t>
      </w:r>
      <w:r>
        <w:t xml:space="preserve">) based on spatial location. Each residential location is assigned a number of</w:t>
      </w:r>
      <w:r>
        <w:t xml:space="preserve"> </w:t>
      </w:r>
      <w:r>
        <w:t xml:space="preserve">‘</w:t>
      </w:r>
      <w:r>
        <w:t xml:space="preserve">potential</w:t>
      </w:r>
      <w:r>
        <w:t xml:space="preserve">’</w:t>
      </w:r>
      <w:r>
        <w:t xml:space="preserve"> </w:t>
      </w:r>
      <w:r>
        <w:t xml:space="preserve">motorized and non-motorized student aged population from these different data sources to calculate a motorized and non-motorized population balancing factor</w:t>
      </w:r>
      <w:r>
        <w:t xml:space="preserve"> </w:t>
      </w:r>
      <m:oMath>
        <m:sSubSup>
          <m:e>
            <m:r>
              <m:t>F</m:t>
            </m:r>
          </m:e>
          <m:sub>
            <m:r>
              <m:t>i</m:t>
            </m:r>
          </m:sub>
          <m:sup>
            <m:r>
              <m:t>p</m:t>
            </m:r>
            <m:r>
              <m:t>m</m:t>
            </m:r>
          </m:sup>
        </m:sSubSup>
      </m:oMath>
      <w:r>
        <w:t xml:space="preserve">. For each residential location the following is retained: the 2011 and 2016 census average elementary-aged student population per residential location (</w:t>
      </w:r>
      <w:r>
        <w:rPr>
          <w:bCs/>
          <w:b/>
        </w:rPr>
        <w:t xml:space="preserve">?@fig-Fig2</w:t>
      </w:r>
      <w:r>
        <w:t xml:space="preserve"> </w:t>
      </w:r>
      <w:r>
        <w:t xml:space="preserve">second row) and the average motorized and non-motorized split as informed by the TTS aggregated by community (</w:t>
      </w:r>
      <w:r>
        <w:rPr>
          <w:bCs/>
          <w:b/>
        </w:rPr>
        <w:t xml:space="preserve">?@fig-Fig3</w:t>
      </w:r>
      <w:r>
        <w:t xml:space="preserve">).</w:t>
      </w:r>
    </w:p>
    <w:p>
      <w:pPr>
        <w:numPr>
          <w:ilvl w:val="0"/>
          <w:numId w:val="1004"/>
        </w:numPr>
        <w:pStyle w:val="Compact"/>
      </w:pPr>
      <w:r>
        <w:t xml:space="preserve">Second, the school capacity</w:t>
      </w:r>
      <w:r>
        <w:t xml:space="preserve"> </w:t>
      </w:r>
      <m:oMath>
        <m:sSub>
          <m:e>
            <m:r>
              <m:t>O</m:t>
            </m:r>
          </m:e>
          <m:sub>
            <m:r>
              <m:t>j</m:t>
            </m:r>
          </m:sub>
        </m:sSub>
      </m:oMath>
      <w:r>
        <w:t xml:space="preserve"> </w:t>
      </w:r>
      <w:r>
        <w:t xml:space="preserve">is estimated and associated with each school (</w:t>
      </w:r>
      <w:r>
        <w:rPr>
          <w:bCs/>
          <w:b/>
        </w:rPr>
        <w:t xml:space="preserve">?@fig-Fig1</w:t>
      </w:r>
      <w:r>
        <w:t xml:space="preserve">). All residential locations are assumed to be able to access all schools by either motorized or non-motorized mode. All origins (residential locations) can reach all schools by motorized mode, but few residential locations can reach schools within a 27 minute non-motorized trip.</w:t>
      </w:r>
    </w:p>
    <w:p>
      <w:pPr>
        <w:numPr>
          <w:ilvl w:val="0"/>
          <w:numId w:val="1004"/>
        </w:numPr>
        <w:pStyle w:val="Compact"/>
      </w:pPr>
      <w:r>
        <w:t xml:space="preserve">Third, the motorized and non-motorized impedance-balancing factors</w:t>
      </w:r>
      <w:r>
        <w:t xml:space="preserve"> </w:t>
      </w:r>
      <m:oMath>
        <m:sSubSup>
          <m:e>
            <m:r>
              <m:t>F</m:t>
            </m:r>
          </m:e>
          <m:sub>
            <m:r>
              <m:t>i</m:t>
            </m:r>
            <m:r>
              <m:t>j</m:t>
            </m:r>
          </m:sub>
          <m:sup>
            <m:r>
              <m:t>c</m:t>
            </m:r>
            <m:r>
              <m:t>m</m:t>
            </m:r>
          </m:sup>
        </m:sSubSup>
      </m:oMath>
      <w:r>
        <w:t xml:space="preserve"> </w:t>
      </w:r>
      <w:r>
        <w:t xml:space="preserve">are calculated using the modal theoretical TLDs (</w:t>
      </w:r>
      <w:r>
        <w:rPr>
          <w:bCs/>
          <w:b/>
        </w:rPr>
        <w:t xml:space="preserve">?@fig-Fig4</w:t>
      </w:r>
      <w:r>
        <w:t xml:space="preserve">) based on the respective travel times (data source four) for each origin (residential location) to school combination.</w:t>
      </w:r>
    </w:p>
    <w:p>
      <w:pPr>
        <w:numPr>
          <w:ilvl w:val="0"/>
          <w:numId w:val="1004"/>
        </w:numPr>
        <w:pStyle w:val="Compact"/>
      </w:pPr>
      <w:r>
        <w:t xml:space="preserve">Finally, outputs from all three stages are joined together.</w:t>
      </w:r>
      <w:r>
        <w:t xml:space="preserve"> </w:t>
      </w:r>
      <m:oMath>
        <m:sSubSup>
          <m:e>
            <m:r>
              <m:t>F</m:t>
            </m:r>
          </m:e>
          <m:sub>
            <m:r>
              <m:t>i</m:t>
            </m:r>
          </m:sub>
          <m:sup>
            <m:r>
              <m:t>p</m:t>
            </m:r>
            <m:r>
              <m:t>m</m:t>
            </m:r>
          </m:sup>
        </m:sSubSup>
      </m:oMath>
      <w:r>
        <w:t xml:space="preserve"> </w:t>
      </w:r>
      <w:r>
        <w:t xml:space="preserve">joined with</w:t>
      </w:r>
      <w:r>
        <w:t xml:space="preserve"> </w:t>
      </w:r>
      <m:oMath>
        <m:sSubSup>
          <m:e>
            <m:r>
              <m:t>F</m:t>
            </m:r>
          </m:e>
          <m:sub>
            <m:r>
              <m:t>i</m:t>
            </m:r>
            <m:r>
              <m:t>j</m:t>
            </m:r>
          </m:sub>
          <m:sup>
            <m:r>
              <m:t>c</m:t>
            </m:r>
            <m:r>
              <m:t>m</m:t>
            </m:r>
          </m:sup>
        </m:sSubSup>
      </m:oMath>
      <w:r>
        <w:t xml:space="preserve"> </w:t>
      </w:r>
      <w:r>
        <w:t xml:space="preserve">yields the total balancing factor</w:t>
      </w:r>
      <w:r>
        <w:t xml:space="preserve"> </w:t>
      </w:r>
      <m:oMath>
        <m:sSubSup>
          <m:e>
            <m:r>
              <m:t>F</m:t>
            </m:r>
          </m:e>
          <m:sub>
            <m:r>
              <m:t>i</m:t>
            </m:r>
            <m:r>
              <m:t>j</m:t>
            </m:r>
          </m:sub>
          <m:sup>
            <m:r>
              <m:t>t</m:t>
            </m:r>
            <m:r>
              <m:t>m</m:t>
            </m:r>
          </m:sup>
        </m:sSubSup>
      </m:oMath>
      <w:r>
        <w:t xml:space="preserve"> </w:t>
      </w:r>
      <w:r>
        <w:t xml:space="preserve">which serves to proportionally allocates the school capacity</w:t>
      </w:r>
      <w:r>
        <w:t xml:space="preserve"> </w:t>
      </w:r>
      <m:oMath>
        <m:sSub>
          <m:e>
            <m:r>
              <m:t>O</m:t>
            </m:r>
          </m:e>
          <m:sub>
            <m:r>
              <m:t>j</m:t>
            </m:r>
          </m:sub>
        </m:sSub>
      </m:oMath>
      <w:r>
        <w:t xml:space="preserve"> </w:t>
      </w:r>
      <w:r>
        <w:t xml:space="preserve">to each residential location. The value is multimodal spatial availability</w:t>
      </w:r>
      <w:r>
        <w:t xml:space="preserve"> </w:t>
      </w:r>
      <m:oMath>
        <m:sSubSup>
          <m:e>
            <m:r>
              <m:t>V</m:t>
            </m:r>
          </m:e>
          <m:sub>
            <m:r>
              <m:t>i</m:t>
            </m:r>
          </m:sub>
          <m:sup>
            <m:r>
              <m:t>m</m:t>
            </m:r>
          </m:sup>
        </m:sSubSup>
      </m:oMath>
      <w:r>
        <w:t xml:space="preserve"> </w:t>
      </w:r>
      <w:r>
        <w:t xml:space="preserve">which can be interpreted as the number of school-seats that are available to the mode-using population at that residential location.</w:t>
      </w:r>
      <w:r>
        <w:t xml:space="preserve"> </w:t>
      </w:r>
      <m:oMath>
        <m:sSubSup>
          <m:e>
            <m:r>
              <m:t>V</m:t>
            </m:r>
          </m:e>
          <m:sub>
            <m:r>
              <m:t>i</m:t>
            </m:r>
          </m:sub>
          <m:sup>
            <m:r>
              <m:t>m</m:t>
            </m:r>
          </m:sup>
        </m:sSubSup>
      </m:oMath>
      <w:r>
        <w:t xml:space="preserve"> </w:t>
      </w:r>
      <w:r>
        <w:t xml:space="preserve">is then summed and represented at the DA and Community level along with the calculated</w:t>
      </w:r>
      <w:r>
        <w:t xml:space="preserve"> </w:t>
      </w:r>
      <m:oMath>
        <m:sSubSup>
          <m:e>
            <m:r>
              <m:t>v</m:t>
            </m:r>
          </m:e>
          <m:sub>
            <m:r>
              <m:t>i</m:t>
            </m:r>
          </m:sub>
          <m:sup>
            <m:r>
              <m:t>m</m:t>
            </m:r>
          </m:sup>
        </m:sSubSup>
      </m:oMath>
      <w:r>
        <w:t xml:space="preserve"> </w:t>
      </w:r>
      <w:r>
        <w:t xml:space="preserve">for interpretation.</w:t>
      </w:r>
    </w:p>
    <w:bookmarkEnd w:id="37"/>
    <w:bookmarkEnd w:id="38"/>
    <w:bookmarkStart w:id="45" w:name="results"/>
    <w:p>
      <w:pPr>
        <w:pStyle w:val="Heading1"/>
      </w:pPr>
      <w:r>
        <w:t xml:space="preserve">Results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111500"/>
                  <wp:effectExtent b="0" l="0" r="0" t="0"/>
                  <wp:docPr descr="" title="" id="40" name="Picture"/>
                  <a:graphic>
                    <a:graphicData uri="http://schemas.openxmlformats.org/drawingml/2006/picture">
                      <pic:pic>
                        <pic:nvPicPr>
                          <pic:cNvPr descr="Figures/Vim_vvim_20112016_plot.png" id="41" name="Picture"/>
                          <pic:cNvPicPr>
                            <a:picLocks noChangeArrowheads="1" noChangeAspect="1"/>
                          </pic:cNvPicPr>
                        </pic:nvPicPr>
                        <pic:blipFill>
                          <a:blip r:embed="rId39"/>
                          <a:stretch>
                            <a:fillRect/>
                          </a:stretch>
                        </pic:blipFill>
                        <pic:spPr bwMode="auto">
                          <a:xfrm>
                            <a:off x="0" y="0"/>
                            <a:ext cx="5334000" cy="3111500"/>
                          </a:xfrm>
                          <a:prstGeom prst="rect">
                            <a:avLst/>
                          </a:prstGeom>
                          <a:noFill/>
                          <a:ln w="9525">
                            <a:noFill/>
                            <a:headEnd/>
                            <a:tailEnd/>
                          </a:ln>
                        </pic:spPr>
                      </pic:pic>
                    </a:graphicData>
                  </a:graphic>
                </wp:inline>
              </w:drawing>
            </w:r>
          </w:p>
          <w:p>
            <w:pPr>
              <w:jc w:val="center"/>
            </w:pPr>
            <w:pPr>
              <w:jc w:val="start"/>
              <w:spacing w:before="200"/>
              <w:pStyle w:val="ImageCaption"/>
            </w:pPr>
            <w:r>
              <w:t xml:space="preserve">Multimodal spatial availability (greys) and spatial availability per mode-using student (diverging reds and greens) aggregated at the level of DA for 2011 and 2016.</w:t>
            </w:r>
          </w:p>
        </w:tc>
      </w:tr>
    </w:tbl>
    <w:p>
      <w:pPr>
        <w:pStyle w:val="BodyText"/>
      </w:pPr>
      <w:r>
        <w:t xml:space="preserve">The motorized and non-motorized spatial availability</w:t>
      </w:r>
      <w:r>
        <w:t xml:space="preserve"> </w:t>
      </w:r>
      <m:oMath>
        <m:sSub>
          <m:e>
            <m:r>
              <m:t>V</m:t>
            </m:r>
          </m:e>
          <m:sub>
            <m:r>
              <m:t>i</m:t>
            </m:r>
          </m:sub>
        </m:sSub>
      </m:oMath>
      <w:r>
        <w:t xml:space="preserve"> </w:t>
      </w:r>
      <w:r>
        <w:t xml:space="preserve">for both 2011 and 2016 is represented in the top half of</w:t>
      </w:r>
      <w:r>
        <w:t xml:space="preserve"> </w:t>
      </w:r>
      <w:r>
        <w:rPr>
          <w:bCs/>
          <w:b/>
        </w:rPr>
        <w:t xml:space="preserve">?@fig-Fig6</w:t>
      </w:r>
      <w:r>
        <w:t xml:space="preserve">. Though at different magnitudes, both populations using non- and motorized modes have higher spatial availability when more proximate to schools. Hence, all DAs have higher values within Hamilton Central and those more proximate to schools in less-urban communities. Trends appear similar for both 2011 and 2016: proximate populations using motorized modes benefit from a wider-range in high spatial availability than non-motorized modes. When</w:t>
      </w:r>
      <w:r>
        <w:t xml:space="preserve"> </w:t>
      </w:r>
      <m:oMath>
        <m:sSub>
          <m:e>
            <m:r>
              <m:t>V</m:t>
            </m:r>
          </m:e>
          <m:sub>
            <m:r>
              <m:t>i</m:t>
            </m:r>
          </m:sub>
        </m:sSub>
        <m:r>
          <m:t>m</m:t>
        </m:r>
      </m:oMath>
      <w:r>
        <w:t xml:space="preserve"> </w:t>
      </w:r>
      <w:r>
        <w:t xml:space="preserve">is divided by the number of mode-using students in that DA,</w:t>
      </w:r>
      <w:r>
        <w:t xml:space="preserve"> </w:t>
      </w:r>
      <m:oMath>
        <m:sSubSup>
          <m:e>
            <m:r>
              <m:t>v</m:t>
            </m:r>
          </m:e>
          <m:sub>
            <m:r>
              <m:t>i</m:t>
            </m:r>
          </m:sub>
          <m:sup>
            <m:r>
              <m:t>m</m:t>
            </m:r>
          </m:sup>
        </m:sSubSup>
      </m:oMath>
      <w:r>
        <w:t xml:space="preserve"> </w:t>
      </w:r>
      <w:r>
        <w:t xml:space="preserve">is derived (bottom half of</w:t>
      </w:r>
      <w:r>
        <w:t xml:space="preserve"> </w:t>
      </w:r>
      <w:r>
        <w:rPr>
          <w:bCs/>
          <w:b/>
        </w:rPr>
        <w:t xml:space="preserve">?@fig-Fig6</w:t>
      </w:r>
      <w:r>
        <w:t xml:space="preserve">). A similar spatial distribution seen in</w:t>
      </w:r>
      <w:r>
        <w:t xml:space="preserve"> </w:t>
      </w:r>
      <m:oMath>
        <m:sSubSup>
          <m:e>
            <m:r>
              <m:t>V</m:t>
            </m:r>
          </m:e>
          <m:sub>
            <m:r>
              <m:t>i</m:t>
            </m:r>
          </m:sub>
          <m:sup>
            <m:r>
              <m:t>m</m:t>
            </m:r>
          </m:sup>
        </m:sSubSup>
      </m:oMath>
      <w:r>
        <w:t xml:space="preserve"> </w:t>
      </w:r>
      <w:r>
        <w:t xml:space="preserve">can be seen in</w:t>
      </w:r>
      <w:r>
        <w:t xml:space="preserve"> </w:t>
      </w:r>
      <m:oMath>
        <m:sSubSup>
          <m:e>
            <m:r>
              <m:t>v</m:t>
            </m:r>
          </m:e>
          <m:sub>
            <m:r>
              <m:t>i</m:t>
            </m:r>
          </m:sub>
          <m:sup>
            <m:r>
              <m:t>m</m:t>
            </m:r>
          </m:sup>
        </m:sSubSup>
      </m:oMath>
      <w:r>
        <w:t xml:space="preserve"> </w:t>
      </w:r>
      <w:r>
        <w:t xml:space="preserve">plots, but as a rate of student population. If our aim is to provide sufficient availability to schools for both motorized and non-motorized populations (i.e., greater than 1.0</w:t>
      </w:r>
      <w:r>
        <w:t xml:space="preserve"> </w:t>
      </w:r>
      <m:oMath>
        <m:sSubSup>
          <m:e>
            <m:r>
              <m:t>v</m:t>
            </m:r>
          </m:e>
          <m:sub>
            <m:r>
              <m:t>i</m:t>
            </m:r>
          </m:sub>
          <m:sup>
            <m:r>
              <m:t>m</m:t>
            </m:r>
          </m:sup>
        </m:sSubSup>
      </m:oMath>
      <w:r>
        <w:t xml:space="preserve"> </w:t>
      </w:r>
      <w:r>
        <w:t xml:space="preserve">school-seat availability per student), this rate is only achieved in the core of the city for motorized modes, and notably only for non-motorized populations in DAs that are in less-densely populated rural areas that are school proximate and certain pockets of Hamilton Central. The majority of schools closed were within Hamilton Central, so non-motorized populations in DAs within Hamilton Central were the most negatively, and certain motorized populations captured these losses as gains in availability.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111500"/>
                  <wp:effectExtent b="0" l="0" r="0" t="0"/>
                  <wp:docPr descr="" title="" id="43" name="Picture"/>
                  <a:graphic>
                    <a:graphicData uri="http://schemas.openxmlformats.org/drawingml/2006/picture">
                      <pic:pic>
                        <pic:nvPicPr>
                          <pic:cNvPr descr="Figures/Vim_vvim_20112016_CHANGE_plot.png" id="44" name="Picture"/>
                          <pic:cNvPicPr>
                            <a:picLocks noChangeArrowheads="1" noChangeAspect="1"/>
                          </pic:cNvPicPr>
                        </pic:nvPicPr>
                        <pic:blipFill>
                          <a:blip r:embed="rId42"/>
                          <a:stretch>
                            <a:fillRect/>
                          </a:stretch>
                        </pic:blipFill>
                        <pic:spPr bwMode="auto">
                          <a:xfrm>
                            <a:off x="0" y="0"/>
                            <a:ext cx="5334000" cy="3111500"/>
                          </a:xfrm>
                          <a:prstGeom prst="rect">
                            <a:avLst/>
                          </a:prstGeom>
                          <a:noFill/>
                          <a:ln w="9525">
                            <a:noFill/>
                            <a:headEnd/>
                            <a:tailEnd/>
                          </a:ln>
                        </pic:spPr>
                      </pic:pic>
                    </a:graphicData>
                  </a:graphic>
                </wp:inline>
              </w:drawing>
            </w:r>
          </w:p>
          <w:p>
            <w:pPr>
              <w:jc w:val="center"/>
            </w:pPr>
            <w:pPr>
              <w:jc w:val="start"/>
              <w:spacing w:before="200"/>
              <w:pStyle w:val="ImageCaption"/>
            </w:pPr>
            <w:r>
              <w:t xml:space="preserve">The change in multimodal spatial availability and spatial availability per mode-using student between 2016 and 2011 at the level of DA of the 2016 Canadian Census.</w:t>
            </w:r>
          </w:p>
        </w:tc>
      </w:tr>
    </w:tbl>
    <w:p>
      <w:pPr>
        <w:pStyle w:val="BodyText"/>
      </w:pPr>
      <w:r>
        <w:t xml:space="preserve">To emphasize how spatial availability changed between 2016 and 2011, the change in</w:t>
      </w:r>
      <w:r>
        <w:t xml:space="preserve"> </w:t>
      </w:r>
      <m:oMath>
        <m:sSubSup>
          <m:e>
            <m:r>
              <m:t>V</m:t>
            </m:r>
          </m:e>
          <m:sub>
            <m:r>
              <m:t>i</m:t>
            </m:r>
          </m:sub>
          <m:sup>
            <m:r>
              <m:t>m</m:t>
            </m:r>
          </m:sup>
        </m:sSubSup>
      </m:oMath>
      <w:r>
        <w:t xml:space="preserve"> </w:t>
      </w:r>
      <w:r>
        <w:t xml:space="preserve">and</w:t>
      </w:r>
      <w:r>
        <w:t xml:space="preserve"> </w:t>
      </w:r>
      <m:oMath>
        <m:sSubSup>
          <m:e>
            <m:r>
              <m:t>v</m:t>
            </m:r>
          </m:e>
          <m:sub>
            <m:r>
              <m:t>i</m:t>
            </m:r>
          </m:sub>
          <m:sup>
            <m:r>
              <m:t>m</m:t>
            </m:r>
          </m:sup>
        </m:sSubSup>
      </m:oMath>
      <w:r>
        <w:t xml:space="preserve"> </w:t>
      </w:r>
      <w:r>
        <w:t xml:space="preserve">is visualised for both modes in</w:t>
      </w:r>
      <w:r>
        <w:t xml:space="preserve"> </w:t>
      </w:r>
      <w:r>
        <w:rPr>
          <w:bCs/>
          <w:b/>
        </w:rPr>
        <w:t xml:space="preserve">?@fig-Fig7</w:t>
      </w:r>
      <w:r>
        <w:t xml:space="preserve">. Overall, a decrease in both</w:t>
      </w:r>
      <w:r>
        <w:t xml:space="preserve"> </w:t>
      </w:r>
      <m:oMath>
        <m:sSubSup>
          <m:e>
            <m:r>
              <m:t>V</m:t>
            </m:r>
          </m:e>
          <m:sub>
            <m:r>
              <m:t>i</m:t>
            </m:r>
          </m:sub>
          <m:sup>
            <m:r>
              <m:t>m</m:t>
            </m:r>
          </m:sup>
        </m:sSubSup>
      </m:oMath>
      <w:r>
        <w:t xml:space="preserve"> </w:t>
      </w:r>
      <w:r>
        <w:t xml:space="preserve">and</w:t>
      </w:r>
      <w:r>
        <w:t xml:space="preserve"> </w:t>
      </w:r>
      <m:oMath>
        <m:sSubSup>
          <m:e>
            <m:r>
              <m:t>v</m:t>
            </m:r>
          </m:e>
          <m:sub>
            <m:r>
              <m:t>i</m:t>
            </m:r>
          </m:sub>
          <m:sup>
            <m:r>
              <m:t>m</m:t>
            </m:r>
          </m:sup>
        </m:sSubSup>
      </m:oMath>
      <w:r>
        <w:t xml:space="preserve"> </w:t>
      </w:r>
      <w:r>
        <w:t xml:space="preserve">can be seen both modes modes around closed schools (black points). An increase near new or expanded schools (green points) is not as noteable as overall fewer school seats were added relative to population increase. The non-motorized mode-using populations are most impacted by the school closures/consolidations along with other competition factors such as increased children population in less urban areas and an increase in motorized mode use. For non-motorzied mode-using populations,</w:t>
      </w:r>
      <w:r>
        <w:t xml:space="preserve"> </w:t>
      </w:r>
      <m:oMath>
        <m:sSubSup>
          <m:e>
            <m:r>
              <m:t>V</m:t>
            </m:r>
          </m:e>
          <m:sub>
            <m:r>
              <m:t>i</m:t>
            </m:r>
          </m:sub>
          <m:sup>
            <m:r>
              <m:t>m</m:t>
            </m:r>
          </m:sup>
        </m:sSubSup>
      </m:oMath>
      <w:r>
        <w:t xml:space="preserve"> </w:t>
      </w:r>
      <w:r>
        <w:t xml:space="preserve">decreases across the city. However, some motorized-mode using populations in DAs do experience an increase in</w:t>
      </w:r>
      <w:r>
        <w:t xml:space="preserve"> </w:t>
      </w:r>
      <m:oMath>
        <m:sSubSup>
          <m:e>
            <m:r>
              <m:t>V</m:t>
            </m:r>
          </m:e>
          <m:sub>
            <m:r>
              <m:t>i</m:t>
            </m:r>
          </m:sub>
          <m:sup>
            <m:r>
              <m:t>m</m:t>
            </m:r>
          </m:sup>
        </m:sSubSup>
      </m:oMath>
      <w:r>
        <w:t xml:space="preserve">: these DAs are often relatively proximate to schools but more immediately outside walking-range. Under a competitive and constraint calculation, these DAs benefit from the losses in spatial availability that are predominately experienced by the non-motorized populations within Hamilton Central.</w:t>
      </w:r>
    </w:p>
    <w:bookmarkEnd w:id="45"/>
    <w:bookmarkStart w:id="46" w:name="discussion"/>
    <w:p>
      <w:pPr>
        <w:pStyle w:val="Heading1"/>
      </w:pPr>
      <w:r>
        <w:t xml:space="preserve">Discussion</w:t>
      </w:r>
    </w:p>
    <w:p>
      <w:pPr>
        <w:pStyle w:val="SourceCode"/>
      </w:pPr>
      <w:r>
        <w:rPr>
          <w:rStyle w:val="VerbatimChar"/>
        </w:rPr>
        <w:t xml:space="preserve"># A tibble: 12 × 13</w:t>
      </w:r>
      <w:r>
        <w:br/>
      </w:r>
      <w:r>
        <w:rPr>
          <w:rStyle w:val="VerbatimChar"/>
        </w:rPr>
        <w:t xml:space="preserve">   COMMUNITY prev_LIMAT_2016 mode      kid_proportion_2016 c_kid_proportion_perc</w:t>
      </w:r>
      <w:r>
        <w:br/>
      </w:r>
      <w:r>
        <w:rPr>
          <w:rStyle w:val="VerbatimChar"/>
        </w:rPr>
        <w:t xml:space="preserve">   &lt;chr&gt;               &lt;dbl&gt; &lt;chr&gt;                   &lt;dbl&gt; &lt;chr&gt;                </w:t>
      </w:r>
      <w:r>
        <w:br/>
      </w:r>
      <w:r>
        <w:rPr>
          <w:rStyle w:val="VerbatimChar"/>
        </w:rPr>
        <w:t xml:space="preserve"> 1 AN                   8.81 motorized           0.0916    10.545%              </w:t>
      </w:r>
      <w:r>
        <w:br/>
      </w:r>
      <w:r>
        <w:rPr>
          <w:rStyle w:val="VerbatimChar"/>
        </w:rPr>
        <w:t xml:space="preserve"> 2 AN                   8.81 non-moto…           0.0000968 -62.452%             </w:t>
      </w:r>
      <w:r>
        <w:br/>
      </w:r>
      <w:r>
        <w:rPr>
          <w:rStyle w:val="VerbatimChar"/>
        </w:rPr>
        <w:t xml:space="preserve"> 3 DU                  12.6  motorized           0.0402    -9.372%              </w:t>
      </w:r>
      <w:r>
        <w:br/>
      </w:r>
      <w:r>
        <w:rPr>
          <w:rStyle w:val="VerbatimChar"/>
        </w:rPr>
        <w:t xml:space="preserve"> 4 DU                  12.6  non-moto…           0         -100.000%            </w:t>
      </w:r>
      <w:r>
        <w:br/>
      </w:r>
      <w:r>
        <w:rPr>
          <w:rStyle w:val="VerbatimChar"/>
        </w:rPr>
        <w:t xml:space="preserve"> 5 FL                   7.33 motorized           0.0879    -4.460%              </w:t>
      </w:r>
      <w:r>
        <w:br/>
      </w:r>
      <w:r>
        <w:rPr>
          <w:rStyle w:val="VerbatimChar"/>
        </w:rPr>
        <w:t xml:space="preserve"> 6 FL                   7.33 non-moto…           0.0000383 -62.405%             </w:t>
      </w:r>
      <w:r>
        <w:br/>
      </w:r>
      <w:r>
        <w:rPr>
          <w:rStyle w:val="VerbatimChar"/>
        </w:rPr>
        <w:t xml:space="preserve"> 7 GL                   7.26 motorized           0.0707    56.176%              </w:t>
      </w:r>
      <w:r>
        <w:br/>
      </w:r>
      <w:r>
        <w:rPr>
          <w:rStyle w:val="VerbatimChar"/>
        </w:rPr>
        <w:t xml:space="preserve"> 8 GL                   7.26 non-moto…           0.0000239 15.069%              </w:t>
      </w:r>
      <w:r>
        <w:br/>
      </w:r>
      <w:r>
        <w:rPr>
          <w:rStyle w:val="VerbatimChar"/>
        </w:rPr>
        <w:t xml:space="preserve"> 9 HA                  27.0  motorized           0.568     -4.952%              </w:t>
      </w:r>
      <w:r>
        <w:br/>
      </w:r>
      <w:r>
        <w:rPr>
          <w:rStyle w:val="VerbatimChar"/>
        </w:rPr>
        <w:t xml:space="preserve">10 HA                  27.0  non-moto…           0.00407   -39.476%             </w:t>
      </w:r>
      <w:r>
        <w:br/>
      </w:r>
      <w:r>
        <w:rPr>
          <w:rStyle w:val="VerbatimChar"/>
        </w:rPr>
        <w:t xml:space="preserve">11 SC                  11.8  motorized           0.137     5.279%               </w:t>
      </w:r>
      <w:r>
        <w:br/>
      </w:r>
      <w:r>
        <w:rPr>
          <w:rStyle w:val="VerbatimChar"/>
        </w:rPr>
        <w:t xml:space="preserve">12 SC                  11.8  non-moto…           0.000558  -28.921%             </w:t>
      </w:r>
      <w:r>
        <w:br/>
      </w:r>
      <w:r>
        <w:rPr>
          <w:rStyle w:val="VerbatimChar"/>
        </w:rPr>
        <w:t xml:space="preserve"># ℹ 8 more variables: V_im_proportion_2016 &lt;dbl&gt;, c_V_im_proportion_perc &lt;chr&gt;,</w:t>
      </w:r>
      <w:r>
        <w:br/>
      </w:r>
      <w:r>
        <w:rPr>
          <w:rStyle w:val="VerbatimChar"/>
        </w:rPr>
        <w:t xml:space="preserve">#   v_im_2016 &lt;dbl&gt;, c_v_im_perc &lt;chr&gt;, total_tt_2016 &lt;dbl&gt;,</w:t>
      </w:r>
      <w:r>
        <w:br/>
      </w:r>
      <w:r>
        <w:rPr>
          <w:rStyle w:val="VerbatimChar"/>
        </w:rPr>
        <w:t xml:space="preserve">#   c_total_tt_perc &lt;chr&gt;, emissions_perkid_2016 &lt;dbl&gt;,</w:t>
      </w:r>
      <w:r>
        <w:br/>
      </w:r>
      <w:r>
        <w:rPr>
          <w:rStyle w:val="VerbatimChar"/>
        </w:rPr>
        <w:t xml:space="preserve">#   c_emissions_perkid_perc &lt;chr&gt;</w:t>
      </w:r>
    </w:p>
    <w:p>
      <w:pPr>
        <w:pStyle w:val="FirstParagraph"/>
      </w:pPr>
      <w:r>
        <w:t xml:space="preserve">Spatial availability can also be summarized by community. The majority of schools were closed in Hamilton Center, this community represents 57% of the 5-14 year old population in 2016. Though the population between 2011 and 2016 decreased, the rate of school-seat spatial availability decreased disproportionately more (population by -4% and spatial availability by `r -8%). This out of proportion decrease is greatest in Hamilton Central than any other community. This may have grave equity concerns as Hamilton Central has the highest LIM-AT prevalence, with 27% of households LIM-AT in 2016, 3.7 times greater than Glanbrook with the lowest level of LIM-AT prevalence. Between 2016 and 2011, Hamilton Center had the lowest levels of emissions per student and saw the highest per student increase in 2016. Hamilton Center had the highest non-motorized trip potential, and it was reduced in part by the school closure policies.</w:t>
      </w:r>
    </w:p>
    <w:p>
      <w:pPr>
        <w:pStyle w:val="BodyText"/>
      </w:pPr>
      <w:r>
        <w:t xml:space="preserve">Conversely, communities with the lowest LIM-AT benefit the most, notably in gains to motorized spatial availability. Glanbrook, Flamborough and Ancaster have the lowest prevalence of LIM-AT of any Hamilton Community and together account for 25% of the 5-14 year old population in 2016. These communities experienced a growth in student population (or only a small decrease) and proportionally benefited from an increase in motorized spatial availability.</w:t>
      </w:r>
    </w:p>
    <w:p>
      <w:pPr>
        <w:pStyle w:val="BodyText"/>
      </w:pPr>
      <w:r>
        <w:t xml:space="preserve">Across the city, those who commute by non-motorized mode suffer from the most dramatic drop in student population and especially spatial availability across the city. In all communities, spatial availability decreases at greater levels than population. Notably, in Dundas (2nd highest LIM-AT), the only school in the community closed leaving the population in the community with no other option but to use motorized modes. Glanbrook (lowest LIM-AT), which experienced a sharp increase in student population along with non-motorized using population, suffered a lose in non-motorized spatial availability despite seeing the highest increase in motorized spatial availability. Overall, the gain in motorized spatial availability resulted in a further erosion of non-motorized spatial availability. This erosion results in a lose in active transport trips and an increase in emissions city-wide (19.67kg CO2e per student in 2011 to 20.17 in 2016).</w:t>
      </w:r>
    </w:p>
    <w:p>
      <w:pPr>
        <w:pStyle w:val="BodyText"/>
      </w:pPr>
      <w:r>
        <w:t xml:space="preserve">Study limitations:</w:t>
      </w:r>
    </w:p>
    <w:p>
      <w:pPr>
        <w:numPr>
          <w:ilvl w:val="0"/>
          <w:numId w:val="1005"/>
        </w:numPr>
        <w:pStyle w:val="Compact"/>
      </w:pPr>
      <w:r>
        <w:t xml:space="preserve">potential students per households, potential trips to all schools</w:t>
      </w:r>
    </w:p>
    <w:p>
      <w:pPr>
        <w:numPr>
          <w:ilvl w:val="0"/>
          <w:numId w:val="1005"/>
        </w:numPr>
        <w:pStyle w:val="Compact"/>
      </w:pPr>
      <w:r>
        <w:t xml:space="preserve">estimated travel times, direct car or walk trip (shortest path). Not necessarily car, could be transit or school bus. Walking shortest-paths are also optimistic for children’s travel: could be unsafe and not taken in reality and/or alternative more pleasant paths are taken.</w:t>
      </w:r>
    </w:p>
    <w:p>
      <w:pPr>
        <w:numPr>
          <w:ilvl w:val="0"/>
          <w:numId w:val="1005"/>
        </w:numPr>
        <w:pStyle w:val="Compact"/>
      </w:pPr>
      <w:r>
        <w:t xml:space="preserve">estimated emissions. GHG emissions per minute of driving varies extensively depending on operating conditions and vehicle characteristics</w:t>
      </w:r>
      <w:r>
        <w:t xml:space="preserve"> </w:t>
      </w:r>
      <w:r>
        <w:t xml:space="preserve">(Soukhov and Mohamed 2022)</w:t>
      </w:r>
      <w:r>
        <w:t xml:space="preserve">.</w:t>
      </w:r>
    </w:p>
    <w:bookmarkEnd w:id="46"/>
    <w:bookmarkStart w:id="47" w:name="concluding-remarks"/>
    <w:p>
      <w:pPr>
        <w:pStyle w:val="Heading1"/>
      </w:pPr>
      <w:r>
        <w:t xml:space="preserve">Concluding remarks</w:t>
      </w:r>
    </w:p>
    <w:p>
      <w:pPr>
        <w:pStyle w:val="FirstParagraph"/>
      </w:pPr>
      <w:r>
        <w:t xml:space="preserve">In this paper, we estimate the change in multimodal spatial availability as a result of school consolidations/closures between the years of 2011 and 2016 in an empirical case study of Hamilton, a mid-size city (~550,000 pop) in Ontario, Canada. The spatial availability and spatial availability per student are visualized on a DA level; spatial availability for the city declined overall. This decline is then discussed by measuring potential walk minutes and GHG emissions (produced by additional car minutes that result since walk minutes are removed). Overall, the closure of 7% of elementary schools in Hamilton resulted in: a 2,280 decline of school-seat capacity, a decline of 3,309</w:t>
      </w:r>
      <w:r>
        <w:t xml:space="preserve"> </w:t>
      </w:r>
      <w:r>
        <w:rPr>
          <w:iCs/>
          <w:i/>
        </w:rPr>
        <w:t xml:space="preserve">potential</w:t>
      </w:r>
      <w:r>
        <w:t xml:space="preserve"> </w:t>
      </w:r>
      <w:r>
        <w:t xml:space="preserve">home-to-school walk-minutes (per one-way trips), an increase of 3,416 kg CO2e as a result of increased car-minutes as a result of lost</w:t>
      </w:r>
      <w:r>
        <w:t xml:space="preserve"> </w:t>
      </w:r>
      <w:r>
        <w:rPr>
          <w:iCs/>
          <w:i/>
        </w:rPr>
        <w:t xml:space="preserve">potential</w:t>
      </w:r>
      <w:r>
        <w:t xml:space="preserve"> </w:t>
      </w:r>
      <w:r>
        <w:t xml:space="preserve">home-to-school walk-minutes (per one-way trips).</w:t>
      </w:r>
    </w:p>
    <w:p>
      <w:pPr>
        <w:pStyle w:val="BodyText"/>
      </w:pPr>
      <w:r>
        <w:t xml:space="preserve">By quantifying the spatial availability, environmental, and active-travel implications of school closure/consolidation policies in Hamilton, we offer a methodology for spatial policy analysis scenario. This methodology can be used by researchers and decision-makers to plan and evaluate equitable and sustainable urban planning policies from a spatial perspective. We urge policy makers to view</w:t>
      </w:r>
      <w:r>
        <w:t xml:space="preserve"> </w:t>
      </w:r>
      <w:r>
        <w:t xml:space="preserve">‘</w:t>
      </w:r>
      <w:r>
        <w:t xml:space="preserve">spatial availability</w:t>
      </w:r>
      <w:r>
        <w:t xml:space="preserve">’</w:t>
      </w:r>
      <w:r>
        <w:t xml:space="preserve"> </w:t>
      </w:r>
      <w:r>
        <w:t xml:space="preserve">of public resources from a per-capita perspective, plan capacity and location of service provision with the cost of travel (and associated implications such as GHG emissions, active transportation mode, safety of active travel modes, etc.) that sufficiently serves the target population. In this paper we suggest and assume a benchmark of 1.0 school-seats per student which accounts for sufficy. Spatial availability can be used to obtain this benchmark since the total number of opportunities (i.e., school capacity) is preserved in the region of analysis unlike unconstrained forms of accessibility measurement e.g., Hansen-type measure</w:t>
      </w:r>
      <w:r>
        <w:t xml:space="preserve"> </w:t>
      </w:r>
      <w:r>
        <w:t xml:space="preserve">(Hansen 1959)</w:t>
      </w:r>
      <w:r>
        <w:t xml:space="preserve">. As such, the assigned spatial availability can be divided by population at each zone to yield an interpretable per capita measurement.</w:t>
      </w:r>
    </w:p>
    <w:p>
      <w:pPr>
        <w:pStyle w:val="BodyText"/>
      </w:pPr>
      <w:r>
        <w:t xml:space="preserve">Like many other localities, Hamilton is not immune to top-down financial efficient policy decisions to determine community infrastructure is underutilized and it be closed. From the perspective of the provincial government of Ontario, the school closures which occurred in Hamilton resulted in operational savings-per-student but we demonstrate how this resulted in both families and students paying a price through spatial availability, lost potential walk minutes, and increased GHG emissions. In the case of Hamilton Central, where households have the highest prevalence of LIM-AT in the city, those households suffer the most disproportionate decrease in motorized spatial availability and increase in percentage increase in emissions per capacity. As public schools should serve all students; the determination of spatial availability and spatial equity of impact, is critical to better inform decision-makers when evaluating school consolidation policies.</w:t>
      </w:r>
    </w:p>
    <w:p>
      <w:pPr>
        <w:pStyle w:val="BodyText"/>
      </w:pPr>
      <w:r>
        <w:t xml:space="preserve">Ultimately, this case study furnishes evidence that consolidation of schools was particularly ill-timed: with the advent of the COVID-19 pandemic, the education system lacked the resiliency to accommodate reduced classroom capacities and left parents who once lived within active transportation distance to schools relying on motorized transportation for their children. These top-down austerity measures left the Hamilton local school system more vulnerable to the impacts of COVID-19 by undervaluing the societal role of schools in neighbourhoods. By identifying the impact of school consolidation policies in Ontario we anticipate that researchers and decision-makers will have better information to center the wellbeing of all residents, including students, and the planet in urban planning policies.</w:t>
      </w:r>
    </w:p>
    <w:bookmarkEnd w:id="47"/>
    <w:bookmarkStart w:id="136" w:name="references"/>
    <w:p>
      <w:pPr>
        <w:pStyle w:val="Heading1"/>
      </w:pPr>
      <w:r>
        <w:t xml:space="preserve">References</w:t>
      </w:r>
    </w:p>
    <w:bookmarkStart w:id="135" w:name="refs"/>
    <w:bookmarkStart w:id="49" w:name="X05b88f6b37094c640e847461a0fd7ebb612e788"/>
    <w:p>
      <w:pPr>
        <w:pStyle w:val="Bibliography"/>
      </w:pPr>
      <w:r>
        <w:t xml:space="preserve">Auditor General of Ontario. 2015.</w:t>
      </w:r>
      <w:r>
        <w:t xml:space="preserve"> </w:t>
      </w:r>
      <w:r>
        <w:t xml:space="preserve">“Annual Report 2015.”</w:t>
      </w:r>
      <w:r>
        <w:t xml:space="preserve"> </w:t>
      </w:r>
      <w:r>
        <w:t xml:space="preserve">Office of the Auditor General of Ontario.</w:t>
      </w:r>
      <w:r>
        <w:t xml:space="preserve"> </w:t>
      </w:r>
      <w:hyperlink r:id="rId48">
        <w:r>
          <w:rPr>
            <w:rStyle w:val="Hyperlink"/>
          </w:rPr>
          <w:t xml:space="preserve">https://www.auditor.on.ca/en/content/annualreports/arreports/en15/2015AR_en_final.pdf</w:t>
        </w:r>
      </w:hyperlink>
      <w:r>
        <w:t xml:space="preserve">.</w:t>
      </w:r>
    </w:p>
    <w:bookmarkEnd w:id="49"/>
    <w:bookmarkStart w:id="50" w:name="ref-Autti_Hyry-Beihammer_2014"/>
    <w:p>
      <w:pPr>
        <w:pStyle w:val="Bibliography"/>
      </w:pPr>
      <w:r>
        <w:t xml:space="preserve">Autti, Outi, and Eeva Kaisa Hyry-Beihammer. 2014.</w:t>
      </w:r>
      <w:r>
        <w:t xml:space="preserve"> </w:t>
      </w:r>
      <w:r>
        <w:t xml:space="preserve">“School Closures in Rural Finnish Communities.”</w:t>
      </w:r>
      <w:r>
        <w:t xml:space="preserve"> </w:t>
      </w:r>
      <w:r>
        <w:rPr>
          <w:iCs/>
          <w:i/>
        </w:rPr>
        <w:t xml:space="preserve">Journal of Research in Rural Education</w:t>
      </w:r>
      <w:r>
        <w:t xml:space="preserve"> </w:t>
      </w:r>
      <w:r>
        <w:t xml:space="preserve">29 (1): 1–17.</w:t>
      </w:r>
    </w:p>
    <w:bookmarkEnd w:id="50"/>
    <w:bookmarkStart w:id="52" w:name="ref-batista_estimation_2019"/>
    <w:p>
      <w:pPr>
        <w:pStyle w:val="Bibliography"/>
      </w:pPr>
      <w:r>
        <w:t xml:space="preserve">Batista, S. F. A., Ludovic Leclercq, and Nikolas Geroliminis. 2019.</w:t>
      </w:r>
      <w:r>
        <w:t xml:space="preserve"> </w:t>
      </w:r>
      <w:r>
        <w:t xml:space="preserve">“Estimation of Regional Trip Length Distributions for the Calibration of the Aggregated Network Traffic Models.”</w:t>
      </w:r>
      <w:r>
        <w:t xml:space="preserve"> </w:t>
      </w:r>
      <w:r>
        <w:rPr>
          <w:iCs/>
          <w:i/>
        </w:rPr>
        <w:t xml:space="preserve">Transportation Research Part B: Methodological</w:t>
      </w:r>
      <w:r>
        <w:t xml:space="preserve"> </w:t>
      </w:r>
      <w:r>
        <w:t xml:space="preserve">122 (April): 192–217.</w:t>
      </w:r>
      <w:r>
        <w:t xml:space="preserve"> </w:t>
      </w:r>
      <w:hyperlink r:id="rId51">
        <w:r>
          <w:rPr>
            <w:rStyle w:val="Hyperlink"/>
          </w:rPr>
          <w:t xml:space="preserve">https://doi.org/10.1016/j.trb.2019.02.009</w:t>
        </w:r>
      </w:hyperlink>
      <w:r>
        <w:t xml:space="preserve">.</w:t>
      </w:r>
    </w:p>
    <w:bookmarkEnd w:id="52"/>
    <w:bookmarkStart w:id="53" w:name="ref-von_Bergmann_Shkolnik_Jacobs_2021"/>
    <w:p>
      <w:pPr>
        <w:pStyle w:val="Bibliography"/>
      </w:pPr>
      <w:r>
        <w:t xml:space="preserve">Bergmann, J von, D Shkolnik, and A Jacobs. 2021.</w:t>
      </w:r>
      <w:r>
        <w:t xml:space="preserve"> </w:t>
      </w:r>
      <w:r>
        <w:rPr>
          <w:iCs/>
          <w:i/>
        </w:rPr>
        <w:t xml:space="preserve">Cancensus: R Package to Access, Retrieve, and Work with Canadian Census Data and Geography</w:t>
      </w:r>
      <w:r>
        <w:t xml:space="preserve">.</w:t>
      </w:r>
    </w:p>
    <w:bookmarkEnd w:id="53"/>
    <w:bookmarkStart w:id="55" w:name="ref-Beuchert_Humlum_Nielsen_Smith_2018"/>
    <w:p>
      <w:pPr>
        <w:pStyle w:val="Bibliography"/>
      </w:pPr>
      <w:r>
        <w:t xml:space="preserve">Beuchert, Louise, Maria Knoth Humlum, Helena Skyt Nielsen, and Nina Smith. 2018.</w:t>
      </w:r>
      <w:r>
        <w:t xml:space="preserve"> </w:t>
      </w:r>
      <w:r>
        <w:t xml:space="preserve">“The Short-Term Effects of School Consolidation on Student Achievement: Evidence of Disruption?”</w:t>
      </w:r>
      <w:r>
        <w:t xml:space="preserve"> </w:t>
      </w:r>
      <w:r>
        <w:rPr>
          <w:iCs/>
          <w:i/>
        </w:rPr>
        <w:t xml:space="preserve">Economics of Education Review</w:t>
      </w:r>
      <w:r>
        <w:t xml:space="preserve"> </w:t>
      </w:r>
      <w:r>
        <w:t xml:space="preserve">65 (August): 31–47.</w:t>
      </w:r>
      <w:r>
        <w:t xml:space="preserve"> </w:t>
      </w:r>
      <w:hyperlink r:id="rId54">
        <w:r>
          <w:rPr>
            <w:rStyle w:val="Hyperlink"/>
          </w:rPr>
          <w:t xml:space="preserve">https://doi.org/10.1016/j.econedurev.2018.05.004</w:t>
        </w:r>
      </w:hyperlink>
      <w:r>
        <w:t xml:space="preserve">.</w:t>
      </w:r>
    </w:p>
    <w:bookmarkEnd w:id="55"/>
    <w:bookmarkStart w:id="57" w:name="ref-bierbaumMobilityJusticeLinking2021"/>
    <w:p>
      <w:pPr>
        <w:pStyle w:val="Bibliography"/>
      </w:pPr>
      <w:r>
        <w:t xml:space="preserve">Bierbaum, Ariel H., Alex Karner, and Jesus M. Barajas. 2021.</w:t>
      </w:r>
      <w:r>
        <w:t xml:space="preserve"> </w:t>
      </w:r>
      <w:r>
        <w:t xml:space="preserve">“Toward</w:t>
      </w:r>
      <w:r>
        <w:t xml:space="preserve"> </w:t>
      </w:r>
      <w:r>
        <w:t xml:space="preserve">Mobility Justice</w:t>
      </w:r>
      <w:r>
        <w:t xml:space="preserve">:</w:t>
      </w:r>
      <w:r>
        <w:t xml:space="preserve"> </w:t>
      </w:r>
      <w:r>
        <w:t xml:space="preserve">Linking Transportation</w:t>
      </w:r>
      <w:r>
        <w:t xml:space="preserve"> </w:t>
      </w:r>
      <w:r>
        <w:t xml:space="preserve">and</w:t>
      </w:r>
      <w:r>
        <w:t xml:space="preserve"> </w:t>
      </w:r>
      <w:r>
        <w:t xml:space="preserve">Education Equity</w:t>
      </w:r>
      <w:r>
        <w:t xml:space="preserve"> </w:t>
      </w:r>
      <w:r>
        <w:t xml:space="preserve">in the</w:t>
      </w:r>
      <w:r>
        <w:t xml:space="preserve"> </w:t>
      </w:r>
      <w:r>
        <w:t xml:space="preserve">Context</w:t>
      </w:r>
      <w:r>
        <w:t xml:space="preserve"> </w:t>
      </w:r>
      <w:r>
        <w:t xml:space="preserve">of</w:t>
      </w:r>
      <w:r>
        <w:t xml:space="preserve"> </w:t>
      </w:r>
      <w:r>
        <w:t xml:space="preserve">School Choice</w:t>
      </w:r>
      <w:r>
        <w:t xml:space="preserve">.”</w:t>
      </w:r>
      <w:r>
        <w:t xml:space="preserve"> </w:t>
      </w:r>
      <w:r>
        <w:rPr>
          <w:iCs/>
          <w:i/>
        </w:rPr>
        <w:t xml:space="preserve">Journal of the American Planning Association</w:t>
      </w:r>
      <w:r>
        <w:t xml:space="preserve"> </w:t>
      </w:r>
      <w:r>
        <w:t xml:space="preserve">87 (2): 197–210.</w:t>
      </w:r>
      <w:r>
        <w:t xml:space="preserve"> </w:t>
      </w:r>
      <w:hyperlink r:id="rId56">
        <w:r>
          <w:rPr>
            <w:rStyle w:val="Hyperlink"/>
          </w:rPr>
          <w:t xml:space="preserve">https://doi.org/10.1080/01944363.2020.1803104</w:t>
        </w:r>
      </w:hyperlink>
      <w:r>
        <w:t xml:space="preserve">.</w:t>
      </w:r>
    </w:p>
    <w:bookmarkEnd w:id="57"/>
    <w:bookmarkStart w:id="58" w:name="ref-Statistics_Canada_2011"/>
    <w:p>
      <w:pPr>
        <w:pStyle w:val="Bibliography"/>
      </w:pPr>
      <w:r>
        <w:t xml:space="preserve">Canada, Statistics. 2011.</w:t>
      </w:r>
      <w:r>
        <w:t xml:space="preserve"> </w:t>
      </w:r>
      <w:r>
        <w:t xml:space="preserve">“Census of Canda Census Profiles: Median After-Tax Household Income, 5 to 9 Years, 10 to 14 Years, 15 to 19 Years, for Census Metroplian Areas and Dissimination Areas.”</w:t>
      </w:r>
    </w:p>
    <w:bookmarkEnd w:id="58"/>
    <w:bookmarkStart w:id="59" w:name="ref-Statistics_Canada_2016"/>
    <w:p>
      <w:pPr>
        <w:pStyle w:val="Bibliography"/>
      </w:pPr>
      <w:r>
        <w:t xml:space="preserve">———. 2016.</w:t>
      </w:r>
      <w:r>
        <w:t xml:space="preserve"> </w:t>
      </w:r>
      <w:r>
        <w:t xml:space="preserve">“Census of Canda Census Profiles: Median After-Tax Household Income, 5 to 9 Years, 10 to 14 Years, 15 to 19 Years, for Census Metroplian Areas and Dissimination Areas.”</w:t>
      </w:r>
    </w:p>
    <w:bookmarkEnd w:id="59"/>
    <w:bookmarkStart w:id="61" w:name="ref-Christiaanse_2020"/>
    <w:p>
      <w:pPr>
        <w:pStyle w:val="Bibliography"/>
      </w:pPr>
      <w:r>
        <w:t xml:space="preserve">Christiaanse, Suzan. 2020.</w:t>
      </w:r>
      <w:r>
        <w:t xml:space="preserve"> </w:t>
      </w:r>
      <w:r>
        <w:t xml:space="preserve">“Rural Facility Decline: A Longitudinal Accessibility Analysis Questioning the Focus of Dutch Depopulation-Policy.”</w:t>
      </w:r>
      <w:r>
        <w:t xml:space="preserve"> </w:t>
      </w:r>
      <w:r>
        <w:rPr>
          <w:iCs/>
          <w:i/>
        </w:rPr>
        <w:t xml:space="preserve">Applied Geography</w:t>
      </w:r>
      <w:r>
        <w:t xml:space="preserve"> </w:t>
      </w:r>
      <w:r>
        <w:t xml:space="preserve">121 (August): 102251.</w:t>
      </w:r>
      <w:r>
        <w:t xml:space="preserve"> </w:t>
      </w:r>
      <w:hyperlink r:id="rId60">
        <w:r>
          <w:rPr>
            <w:rStyle w:val="Hyperlink"/>
          </w:rPr>
          <w:t xml:space="preserve">https://doi.org/10.1016/j.apgeog.2020.102251</w:t>
        </w:r>
      </w:hyperlink>
      <w:r>
        <w:t xml:space="preserve">.</w:t>
      </w:r>
    </w:p>
    <w:bookmarkEnd w:id="61"/>
    <w:bookmarkStart w:id="63" w:name="ref-conveyalConveyalR5Routing2022"/>
    <w:p>
      <w:pPr>
        <w:pStyle w:val="Bibliography"/>
      </w:pPr>
      <w:r>
        <w:t xml:space="preserve">Conveyal. (2015) 2022.</w:t>
      </w:r>
      <w:r>
        <w:t xml:space="preserve"> </w:t>
      </w:r>
      <w:r>
        <w:t xml:space="preserve">“Conveyal</w:t>
      </w:r>
      <w:r>
        <w:t xml:space="preserve"> </w:t>
      </w:r>
      <w:r>
        <w:t xml:space="preserve">R5 Routing Engine</w:t>
      </w:r>
      <w:r>
        <w:t xml:space="preserve">.”</w:t>
      </w:r>
      <w:r>
        <w:t xml:space="preserve"> </w:t>
      </w:r>
      <w:r>
        <w:t xml:space="preserve">Conveyal</w:t>
      </w:r>
      <w:r>
        <w:t xml:space="preserve">.</w:t>
      </w:r>
      <w:r>
        <w:t xml:space="preserve"> </w:t>
      </w:r>
      <w:hyperlink r:id="rId62">
        <w:r>
          <w:rPr>
            <w:rStyle w:val="Hyperlink"/>
          </w:rPr>
          <w:t xml:space="preserve">https://github.com/conveyal/r5</w:t>
        </w:r>
      </w:hyperlink>
      <w:r>
        <w:t xml:space="preserve">.</w:t>
      </w:r>
    </w:p>
    <w:bookmarkEnd w:id="63"/>
    <w:bookmarkStart w:id="65" w:name="ref-craggsAxeCouldFall2012"/>
    <w:p>
      <w:pPr>
        <w:pStyle w:val="Bibliography"/>
      </w:pPr>
      <w:r>
        <w:t xml:space="preserve">Craggs, Samantha. 2012.</w:t>
      </w:r>
      <w:r>
        <w:t xml:space="preserve"> </w:t>
      </w:r>
      <w:r>
        <w:t xml:space="preserve">“Axe Could Fall on More Hamilton Schools, Projections Show.”</w:t>
      </w:r>
      <w:r>
        <w:t xml:space="preserve"> </w:t>
      </w:r>
      <w:r>
        <w:rPr>
          <w:iCs/>
          <w:i/>
        </w:rPr>
        <w:t xml:space="preserve">CBC</w:t>
      </w:r>
      <w:r>
        <w:rPr>
          <w:iCs/>
          <w:i/>
        </w:rPr>
        <w:t xml:space="preserve"> </w:t>
      </w:r>
      <w:r>
        <w:rPr>
          <w:iCs/>
          <w:i/>
        </w:rPr>
        <w:t xml:space="preserve">News</w:t>
      </w:r>
      <w:r>
        <w:t xml:space="preserve">, October.</w:t>
      </w:r>
      <w:r>
        <w:t xml:space="preserve"> </w:t>
      </w:r>
      <w:hyperlink r:id="rId64">
        <w:r>
          <w:rPr>
            <w:rStyle w:val="Hyperlink"/>
          </w:rPr>
          <w:t xml:space="preserve">https://www.cbc.ca/news/canada/hamilton/headlines/axe-could-fall-on-more-hamilton-schools-projections-show-1.1183565</w:t>
        </w:r>
      </w:hyperlink>
      <w:r>
        <w:t xml:space="preserve">.</w:t>
      </w:r>
    </w:p>
    <w:bookmarkEnd w:id="65"/>
    <w:bookmarkStart w:id="67" w:name="ref-craggsBoardEvaluatingFuture2013"/>
    <w:p>
      <w:pPr>
        <w:pStyle w:val="Bibliography"/>
      </w:pPr>
      <w:r>
        <w:t xml:space="preserve">———. 2013.</w:t>
      </w:r>
      <w:r>
        <w:t xml:space="preserve"> </w:t>
      </w:r>
      <w:r>
        <w:t xml:space="preserve">“Board Evaluating Future of 76 Public Elementary Schools.”</w:t>
      </w:r>
      <w:r>
        <w:t xml:space="preserve"> </w:t>
      </w:r>
      <w:r>
        <w:rPr>
          <w:iCs/>
          <w:i/>
        </w:rPr>
        <w:t xml:space="preserve">CBC</w:t>
      </w:r>
      <w:r>
        <w:rPr>
          <w:iCs/>
          <w:i/>
        </w:rPr>
        <w:t xml:space="preserve"> </w:t>
      </w:r>
      <w:r>
        <w:rPr>
          <w:iCs/>
          <w:i/>
        </w:rPr>
        <w:t xml:space="preserve">News</w:t>
      </w:r>
      <w:r>
        <w:t xml:space="preserve">, February.</w:t>
      </w:r>
      <w:r>
        <w:t xml:space="preserve"> </w:t>
      </w:r>
      <w:hyperlink r:id="rId66">
        <w:r>
          <w:rPr>
            <w:rStyle w:val="Hyperlink"/>
          </w:rPr>
          <w:t xml:space="preserve">https://www.cbc.ca/news/canada/hamilton/headlines/board-evaluating-future-of-76-public-elementary-schools-1.1347581</w:t>
        </w:r>
      </w:hyperlink>
      <w:r>
        <w:t xml:space="preserve">.</w:t>
      </w:r>
    </w:p>
    <w:bookmarkEnd w:id="67"/>
    <w:bookmarkStart w:id="69" w:name="ref-data_management_group_tts_2018"/>
    <w:p>
      <w:pPr>
        <w:pStyle w:val="Bibliography"/>
      </w:pPr>
      <w:r>
        <w:t xml:space="preserve">Data Management Group. 2018.</w:t>
      </w:r>
      <w:r>
        <w:t xml:space="preserve"> </w:t>
      </w:r>
      <w:r>
        <w:t xml:space="preserve">“</w:t>
      </w:r>
      <w:r>
        <w:t xml:space="preserve">TTS</w:t>
      </w:r>
      <w:r>
        <w:t xml:space="preserve"> </w:t>
      </w:r>
      <w:r>
        <w:t xml:space="preserve">-</w:t>
      </w:r>
      <w:r>
        <w:t xml:space="preserve"> </w:t>
      </w:r>
      <w:r>
        <w:t xml:space="preserve">Transportation</w:t>
      </w:r>
      <w:r>
        <w:t xml:space="preserve"> </w:t>
      </w:r>
      <w:r>
        <w:t xml:space="preserve">Tomorrow</w:t>
      </w:r>
      <w:r>
        <w:t xml:space="preserve"> </w:t>
      </w:r>
      <w:r>
        <w:t xml:space="preserve">Survey</w:t>
      </w:r>
      <w:r>
        <w:t xml:space="preserve"> </w:t>
      </w:r>
      <w:r>
        <w:t xml:space="preserve">2016.”</w:t>
      </w:r>
      <w:r>
        <w:t xml:space="preserve"> </w:t>
      </w:r>
      <w:hyperlink r:id="rId68">
        <w:r>
          <w:rPr>
            <w:rStyle w:val="Hyperlink"/>
          </w:rPr>
          <w:t xml:space="preserve">http://dmg.utoronto.ca/transportation-tomorrow-survey/tts-introduction</w:t>
        </w:r>
      </w:hyperlink>
      <w:r>
        <w:t xml:space="preserve">.</w:t>
      </w:r>
    </w:p>
    <w:bookmarkEnd w:id="69"/>
    <w:bookmarkStart w:id="71" w:name="ref-fitdistrplus_2015"/>
    <w:p>
      <w:pPr>
        <w:pStyle w:val="Bibliography"/>
      </w:pPr>
      <w:r>
        <w:t xml:space="preserve">Delignette-Muller, Marie Laure, and Christophe Dutang. 2015.</w:t>
      </w:r>
      <w:r>
        <w:t xml:space="preserve"> </w:t>
      </w:r>
      <w:r>
        <w:t xml:space="preserve">“</w:t>
      </w:r>
      <w:r>
        <w:t xml:space="preserve">fitdistrplus</w:t>
      </w:r>
      <w:r>
        <w:t xml:space="preserve">: An</w:t>
      </w:r>
      <w:r>
        <w:t xml:space="preserve"> </w:t>
      </w:r>
      <w:r>
        <w:t xml:space="preserve">R</w:t>
      </w:r>
      <w:r>
        <w:t xml:space="preserve"> </w:t>
      </w:r>
      <w:r>
        <w:t xml:space="preserve">Package for Fitting Distributions.”</w:t>
      </w:r>
      <w:r>
        <w:t xml:space="preserve"> </w:t>
      </w:r>
      <w:r>
        <w:rPr>
          <w:iCs/>
          <w:i/>
        </w:rPr>
        <w:t xml:space="preserve">Journal of Statistical Software</w:t>
      </w:r>
      <w:r>
        <w:t xml:space="preserve"> </w:t>
      </w:r>
      <w:r>
        <w:t xml:space="preserve">64 (4): 1–34.</w:t>
      </w:r>
      <w:r>
        <w:t xml:space="preserve"> </w:t>
      </w:r>
      <w:hyperlink r:id="rId70">
        <w:r>
          <w:rPr>
            <w:rStyle w:val="Hyperlink"/>
          </w:rPr>
          <w:t xml:space="preserve">https://www.jstatsoft.org/article/view/v064i04</w:t>
        </w:r>
      </w:hyperlink>
      <w:r>
        <w:t xml:space="preserve">.</w:t>
      </w:r>
    </w:p>
    <w:bookmarkEnd w:id="71"/>
    <w:bookmarkStart w:id="73" w:name="X39c79bd5d62e965b39c454f3f30f8ae9fe2f294"/>
    <w:p>
      <w:pPr>
        <w:pStyle w:val="Bibliography"/>
      </w:pPr>
      <w:r>
        <w:t xml:space="preserve">Geofabrik. 2022.</w:t>
      </w:r>
      <w:r>
        <w:t xml:space="preserve"> </w:t>
      </w:r>
      <w:r>
        <w:t xml:space="preserve">“Ontario</w:t>
      </w:r>
      <w:r>
        <w:t xml:space="preserve"> </w:t>
      </w:r>
      <w:r>
        <w:t xml:space="preserve">OpenStreetMap</w:t>
      </w:r>
      <w:r>
        <w:t xml:space="preserve"> </w:t>
      </w:r>
      <w:r>
        <w:t xml:space="preserve">-</w:t>
      </w:r>
      <w:r>
        <w:t xml:space="preserve"> </w:t>
      </w:r>
      <w:r>
        <w:t xml:space="preserve">Geofabrik Download Server</w:t>
      </w:r>
      <w:r>
        <w:t xml:space="preserve">.”</w:t>
      </w:r>
      <w:r>
        <w:t xml:space="preserve"> </w:t>
      </w:r>
      <w:r>
        <w:t xml:space="preserve">2022.</w:t>
      </w:r>
      <w:r>
        <w:t xml:space="preserve"> </w:t>
      </w:r>
      <w:hyperlink r:id="rId72">
        <w:r>
          <w:rPr>
            <w:rStyle w:val="Hyperlink"/>
          </w:rPr>
          <w:t xml:space="preserve">https://download.geofabrik.de/north-america/canada/ontario.html</w:t>
        </w:r>
      </w:hyperlink>
      <w:r>
        <w:t xml:space="preserve">.</w:t>
      </w:r>
    </w:p>
    <w:bookmarkEnd w:id="73"/>
    <w:bookmarkStart w:id="75" w:name="Xadefc056d91dd7fe27903fbf8cef0604895fc25"/>
    <w:p>
      <w:pPr>
        <w:pStyle w:val="Bibliography"/>
      </w:pPr>
      <w:r>
        <w:t xml:space="preserve">Government of Canada, Statistics Canada. 2017.</w:t>
      </w:r>
      <w:r>
        <w:t xml:space="preserve"> </w:t>
      </w:r>
      <w:r>
        <w:t xml:space="preserve">“Dictionary, Census of Population, 2016 - Low-Income Measure, After Tax (</w:t>
      </w:r>
      <w:r>
        <w:t xml:space="preserve">LIM</w:t>
      </w:r>
      <w:r>
        <w:t xml:space="preserve">-</w:t>
      </w:r>
      <w:r>
        <w:t xml:space="preserve">AT</w:t>
      </w:r>
      <w:r>
        <w:t xml:space="preserve">).”</w:t>
      </w:r>
      <w:r>
        <w:t xml:space="preserve"> </w:t>
      </w:r>
      <w:r>
        <w:t xml:space="preserve">May 3, 2017.</w:t>
      </w:r>
      <w:r>
        <w:t xml:space="preserve"> </w:t>
      </w:r>
      <w:hyperlink r:id="rId74">
        <w:r>
          <w:rPr>
            <w:rStyle w:val="Hyperlink"/>
          </w:rPr>
          <w:t xml:space="preserve">https://www12.statcan.gc.ca/census-recensement/2016/ref/dict/fam021-eng.cfm</w:t>
        </w:r>
      </w:hyperlink>
      <w:r>
        <w:t xml:space="preserve">.</w:t>
      </w:r>
    </w:p>
    <w:bookmarkEnd w:id="75"/>
    <w:bookmarkStart w:id="77" w:name="X7374ec2fcd82e3a2cc6880229ed367c50067418"/>
    <w:p>
      <w:pPr>
        <w:pStyle w:val="Bibliography"/>
      </w:pPr>
      <w:r>
        <w:t xml:space="preserve">———. 2022.</w:t>
      </w:r>
      <w:r>
        <w:t xml:space="preserve"> </w:t>
      </w:r>
      <w:r>
        <w:t xml:space="preserve">“Profile Table, Census Profile, 2021 Census of Population - Hamilton, City (c) [Census Subdivision], Ontario.”</w:t>
      </w:r>
      <w:r>
        <w:t xml:space="preserve"> </w:t>
      </w:r>
      <w:r>
        <w:t xml:space="preserve">February 9, 2022.</w:t>
      </w:r>
      <w:r>
        <w:t xml:space="preserve"> </w:t>
      </w:r>
      <w:hyperlink r:id="rId76">
        <w:r>
          <w:rPr>
            <w:rStyle w:val="Hyperlink"/>
          </w:rPr>
          <w:t xml:space="preserve">https://www12.statcan.gc.ca/census-recensement/2021/dp-pd/prof/index.cfm?Lang=E</w:t>
        </w:r>
      </w:hyperlink>
      <w:r>
        <w:t xml:space="preserve">.</w:t>
      </w:r>
    </w:p>
    <w:bookmarkEnd w:id="77"/>
    <w:bookmarkStart w:id="79" w:name="ref-Hamilton_2014"/>
    <w:p>
      <w:pPr>
        <w:pStyle w:val="Bibliography"/>
      </w:pPr>
      <w:r>
        <w:t xml:space="preserve">Hamilton. 2014.</w:t>
      </w:r>
      <w:r>
        <w:t xml:space="preserve"> </w:t>
      </w:r>
      <w:r>
        <w:t xml:space="preserve">“Map 5: Downtown Hamilton Buisness Improvement Area.”</w:t>
      </w:r>
      <w:r>
        <w:t xml:space="preserve"> </w:t>
      </w:r>
      <w:r>
        <w:t xml:space="preserve">Hamilton.</w:t>
      </w:r>
      <w:r>
        <w:t xml:space="preserve"> </w:t>
      </w:r>
      <w:hyperlink r:id="rId78">
        <w:r>
          <w:rPr>
            <w:rStyle w:val="Hyperlink"/>
          </w:rPr>
          <w:t xml:space="preserve">https://www.hamilton.ca/sites/default/files/media/browser/2014-11-27/downtown-hamilton-bia-map.pdf</w:t>
        </w:r>
      </w:hyperlink>
      <w:r>
        <w:t xml:space="preserve">.</w:t>
      </w:r>
    </w:p>
    <w:bookmarkEnd w:id="79"/>
    <w:bookmarkStart w:id="81" w:name="ref-hansenHowAccessibilityShapes1959"/>
    <w:p>
      <w:pPr>
        <w:pStyle w:val="Bibliography"/>
      </w:pPr>
      <w:r>
        <w:t xml:space="preserve">Hansen, Walter G. 1959.</w:t>
      </w:r>
      <w:r>
        <w:t xml:space="preserve"> </w:t>
      </w:r>
      <w:r>
        <w:t xml:space="preserve">“How</w:t>
      </w:r>
      <w:r>
        <w:t xml:space="preserve"> </w:t>
      </w:r>
      <w:r>
        <w:t xml:space="preserve">Accessibility Shapes Land Use</w:t>
      </w:r>
      <w:r>
        <w:t xml:space="preserve">.”</w:t>
      </w:r>
      <w:r>
        <w:t xml:space="preserve"> </w:t>
      </w:r>
      <w:r>
        <w:rPr>
          <w:iCs/>
          <w:i/>
        </w:rPr>
        <w:t xml:space="preserve">Journal of the American Institute of Planners</w:t>
      </w:r>
      <w:r>
        <w:t xml:space="preserve"> </w:t>
      </w:r>
      <w:r>
        <w:t xml:space="preserve">25 (2): 73–76.</w:t>
      </w:r>
      <w:r>
        <w:t xml:space="preserve"> </w:t>
      </w:r>
      <w:hyperlink r:id="rId80">
        <w:r>
          <w:rPr>
            <w:rStyle w:val="Hyperlink"/>
          </w:rPr>
          <w:t xml:space="preserve">https://doi.org/10.1080/01944365908978307</w:t>
        </w:r>
      </w:hyperlink>
      <w:r>
        <w:t xml:space="preserve">.</w:t>
      </w:r>
    </w:p>
    <w:bookmarkEnd w:id="81"/>
    <w:bookmarkStart w:id="83" w:name="ref-horbachov_theoretical_2018"/>
    <w:p>
      <w:pPr>
        <w:pStyle w:val="Bibliography"/>
      </w:pPr>
      <w:r>
        <w:t xml:space="preserve">Horbachov, Peter, and Stanislav Svichynskyi. 2018.</w:t>
      </w:r>
      <w:r>
        <w:t xml:space="preserve"> </w:t>
      </w:r>
      <w:r>
        <w:t xml:space="preserve">“Theoretical Substantiation of Trip Length Distribution for Home-Based Work Trips in Urban Transit Systems.”</w:t>
      </w:r>
      <w:r>
        <w:t xml:space="preserve"> </w:t>
      </w:r>
      <w:r>
        <w:rPr>
          <w:iCs/>
          <w:i/>
        </w:rPr>
        <w:t xml:space="preserve">Journal of Transport and Land Use</w:t>
      </w:r>
      <w:r>
        <w:t xml:space="preserve"> </w:t>
      </w:r>
      <w:r>
        <w:t xml:space="preserve">11 (1): 593–632.</w:t>
      </w:r>
      <w:r>
        <w:t xml:space="preserve"> </w:t>
      </w:r>
      <w:hyperlink r:id="rId82">
        <w:r>
          <w:rPr>
            <w:rStyle w:val="Hyperlink"/>
          </w:rPr>
          <w:t xml:space="preserve">https://www.jstor.org/stable/26622420</w:t>
        </w:r>
      </w:hyperlink>
      <w:r>
        <w:t xml:space="preserve">.</w:t>
      </w:r>
    </w:p>
    <w:bookmarkEnd w:id="83"/>
    <w:bookmarkStart w:id="85" w:name="ref-hu_2019_measuring"/>
    <w:p>
      <w:pPr>
        <w:pStyle w:val="Bibliography"/>
      </w:pPr>
      <w:r>
        <w:t xml:space="preserve">Hu, Yujie, and Joni Downs. 2019.</w:t>
      </w:r>
      <w:r>
        <w:t xml:space="preserve"> </w:t>
      </w:r>
      <w:r>
        <w:t xml:space="preserve">“Measuring and Visualizing Place-Based Space-Time Job Accessibility.”</w:t>
      </w:r>
      <w:r>
        <w:t xml:space="preserve"> </w:t>
      </w:r>
      <w:r>
        <w:t xml:space="preserve">Journal Article.</w:t>
      </w:r>
      <w:r>
        <w:t xml:space="preserve"> </w:t>
      </w:r>
      <w:r>
        <w:rPr>
          <w:iCs/>
          <w:i/>
        </w:rPr>
        <w:t xml:space="preserve">Journal of Transport Geography</w:t>
      </w:r>
      <w:r>
        <w:t xml:space="preserve"> </w:t>
      </w:r>
      <w:r>
        <w:t xml:space="preserve">74: 278–88.</w:t>
      </w:r>
      <w:r>
        <w:t xml:space="preserve"> </w:t>
      </w:r>
      <w:hyperlink r:id="rId84">
        <w:r>
          <w:rPr>
            <w:rStyle w:val="Hyperlink"/>
          </w:rPr>
          <w:t xml:space="preserve">https://doi.org/10.1016/j.jtrangeo.2018.12.002</w:t>
        </w:r>
      </w:hyperlink>
      <w:r>
        <w:t xml:space="preserve">.</w:t>
      </w:r>
    </w:p>
    <w:bookmarkEnd w:id="85"/>
    <w:bookmarkStart w:id="87" w:name="ref-hwdsbLongTermFacilities2013"/>
    <w:p>
      <w:pPr>
        <w:pStyle w:val="Bibliography"/>
      </w:pPr>
      <w:r>
        <w:t xml:space="preserve">HWDSB. 2013.</w:t>
      </w:r>
      <w:r>
        <w:t xml:space="preserve"> </w:t>
      </w:r>
      <w:r>
        <w:t xml:space="preserve">“Long Term Facilities Master Plan - Accomodation Review Schedule.”</w:t>
      </w:r>
      <w:r>
        <w:t xml:space="preserve"> </w:t>
      </w:r>
      <w:r>
        <w:t xml:space="preserve">Hamilton, Ontario: Hosted by</w:t>
      </w:r>
      <w:r>
        <w:t xml:space="preserve"> </w:t>
      </w:r>
      <w:r>
        <w:t xml:space="preserve">CBC</w:t>
      </w:r>
      <w:r>
        <w:t xml:space="preserve">.</w:t>
      </w:r>
      <w:r>
        <w:t xml:space="preserve"> </w:t>
      </w:r>
      <w:hyperlink r:id="rId86">
        <w:r>
          <w:rPr>
            <w:rStyle w:val="Hyperlink"/>
          </w:rPr>
          <w:t xml:space="preserve">https://www.documentcloud.org/documents/603032-hwdsb-schools-for-review</w:t>
        </w:r>
      </w:hyperlink>
      <w:r>
        <w:t xml:space="preserve">.</w:t>
      </w:r>
    </w:p>
    <w:bookmarkEnd w:id="87"/>
    <w:bookmarkStart w:id="89" w:name="ref-HWDSB_2019"/>
    <w:p>
      <w:pPr>
        <w:pStyle w:val="Bibliography"/>
      </w:pPr>
      <w:r>
        <w:t xml:space="preserve">HWDSB. 2019.</w:t>
      </w:r>
      <w:r>
        <w:t xml:space="preserve"> </w:t>
      </w:r>
      <w:r>
        <w:t xml:space="preserve">“Transportation: Policy No. 3.10.”</w:t>
      </w:r>
      <w:r>
        <w:t xml:space="preserve"> </w:t>
      </w:r>
      <w:hyperlink r:id="rId88">
        <w:r>
          <w:rPr>
            <w:rStyle w:val="Hyperlink"/>
          </w:rPr>
          <w:t xml:space="preserve">https://www.hamiltonschoolbus.ca/policies/hwdsb/HWDSB_Transportation_Policy.pdf</w:t>
        </w:r>
      </w:hyperlink>
      <w:r>
        <w:t xml:space="preserve">.</w:t>
      </w:r>
    </w:p>
    <w:bookmarkEnd w:id="89"/>
    <w:bookmarkStart w:id="91" w:name="ref-kelobonye2020measuring"/>
    <w:p>
      <w:pPr>
        <w:pStyle w:val="Bibliography"/>
      </w:pPr>
      <w:r>
        <w:t xml:space="preserve">Kelobonye, Keone, Heng Zhou, Gary McCarney, and Jianhong Xia. 2020.</w:t>
      </w:r>
      <w:r>
        <w:t xml:space="preserve"> </w:t>
      </w:r>
      <w:r>
        <w:t xml:space="preserve">“Measuring the Accessibility and Spatial Equity of Urban Services Under Competition Using the Cumulative Opportunities Measure.”</w:t>
      </w:r>
      <w:r>
        <w:t xml:space="preserve"> </w:t>
      </w:r>
      <w:r>
        <w:t xml:space="preserve">Journal Article.</w:t>
      </w:r>
      <w:r>
        <w:t xml:space="preserve"> </w:t>
      </w:r>
      <w:r>
        <w:rPr>
          <w:iCs/>
          <w:i/>
        </w:rPr>
        <w:t xml:space="preserve">Journal of Transport Geography</w:t>
      </w:r>
      <w:r>
        <w:t xml:space="preserve"> </w:t>
      </w:r>
      <w:r>
        <w:t xml:space="preserve">85: 102706. https://doi.org/</w:t>
      </w:r>
      <w:hyperlink r:id="rId90">
        <w:r>
          <w:rPr>
            <w:rStyle w:val="Hyperlink"/>
          </w:rPr>
          <w:t xml:space="preserve">https://doi.org/10.1016/j.jtrangeo.2020.102706</w:t>
        </w:r>
      </w:hyperlink>
      <w:r>
        <w:t xml:space="preserve">.</w:t>
      </w:r>
    </w:p>
    <w:bookmarkEnd w:id="91"/>
    <w:bookmarkStart w:id="93" w:name="ref-kleinhuisSeriousConcernsSchool2013"/>
    <w:p>
      <w:pPr>
        <w:pStyle w:val="Bibliography"/>
      </w:pPr>
      <w:r>
        <w:t xml:space="preserve">Kleinhuis, Amanda. 2013.</w:t>
      </w:r>
      <w:r>
        <w:t xml:space="preserve"> </w:t>
      </w:r>
      <w:r>
        <w:t xml:space="preserve">“Serious Concerns about School Accommodation Review Process - Raise the Hammer.”</w:t>
      </w:r>
      <w:r>
        <w:t xml:space="preserve"> </w:t>
      </w:r>
      <w:r>
        <w:t xml:space="preserve">2013.</w:t>
      </w:r>
      <w:r>
        <w:t xml:space="preserve"> </w:t>
      </w:r>
      <w:hyperlink r:id="rId92">
        <w:r>
          <w:rPr>
            <w:rStyle w:val="Hyperlink"/>
          </w:rPr>
          <w:t xml:space="preserve">https://www.raisethehammer.org/article/1979/serious_concerns_about_school_accommodation_review_process</w:t>
        </w:r>
      </w:hyperlink>
      <w:r>
        <w:t xml:space="preserve">.</w:t>
      </w:r>
    </w:p>
    <w:bookmarkEnd w:id="93"/>
    <w:bookmarkStart w:id="95" w:name="ref-Lee_Lubienski_2017"/>
    <w:p>
      <w:pPr>
        <w:pStyle w:val="Bibliography"/>
      </w:pPr>
      <w:r>
        <w:t xml:space="preserve">Lee, Jin, and Christopher Lubienski. 2017.</w:t>
      </w:r>
      <w:r>
        <w:t xml:space="preserve"> </w:t>
      </w:r>
      <w:r>
        <w:t xml:space="preserve">“The Impact of School Closures on Equity of Access in Chicago.”</w:t>
      </w:r>
      <w:r>
        <w:t xml:space="preserve"> </w:t>
      </w:r>
      <w:r>
        <w:rPr>
          <w:iCs/>
          <w:i/>
        </w:rPr>
        <w:t xml:space="preserve">Education and Urban Society</w:t>
      </w:r>
      <w:r>
        <w:t xml:space="preserve"> </w:t>
      </w:r>
      <w:r>
        <w:t xml:space="preserve">49 (1): 53–80.</w:t>
      </w:r>
      <w:r>
        <w:t xml:space="preserve"> </w:t>
      </w:r>
      <w:hyperlink r:id="rId94">
        <w:r>
          <w:rPr>
            <w:rStyle w:val="Hyperlink"/>
          </w:rPr>
          <w:t xml:space="preserve">https://doi.org/10.1177/0013124516630601</w:t>
        </w:r>
      </w:hyperlink>
      <w:r>
        <w:t xml:space="preserve">.</w:t>
      </w:r>
    </w:p>
    <w:bookmarkEnd w:id="95"/>
    <w:bookmarkStart w:id="97" w:name="ref-luoMeasuresSpatialAccessibility2003"/>
    <w:p>
      <w:pPr>
        <w:pStyle w:val="Bibliography"/>
      </w:pPr>
      <w:r>
        <w:t xml:space="preserve">Luo, Wei, and Fahui Wang. 2003.</w:t>
      </w:r>
      <w:r>
        <w:t xml:space="preserve"> </w:t>
      </w:r>
      <w:r>
        <w:t xml:space="preserve">“Measures of</w:t>
      </w:r>
      <w:r>
        <w:t xml:space="preserve"> </w:t>
      </w:r>
      <w:r>
        <w:t xml:space="preserve">Spatial Accessibility</w:t>
      </w:r>
      <w:r>
        <w:t xml:space="preserve"> </w:t>
      </w:r>
      <w:r>
        <w:t xml:space="preserve">to</w:t>
      </w:r>
      <w:r>
        <w:t xml:space="preserve"> </w:t>
      </w:r>
      <w:r>
        <w:t xml:space="preserve">Health Care</w:t>
      </w:r>
      <w:r>
        <w:t xml:space="preserve"> </w:t>
      </w:r>
      <w:r>
        <w:t xml:space="preserve">in a</w:t>
      </w:r>
      <w:r>
        <w:t xml:space="preserve"> </w:t>
      </w:r>
      <w:r>
        <w:t xml:space="preserve">GIS Environment</w:t>
      </w:r>
      <w:r>
        <w:t xml:space="preserve">:</w:t>
      </w:r>
      <w:r>
        <w:t xml:space="preserve"> </w:t>
      </w:r>
      <w:r>
        <w:t xml:space="preserve">Synthesis</w:t>
      </w:r>
      <w:r>
        <w:t xml:space="preserve"> </w:t>
      </w:r>
      <w:r>
        <w:t xml:space="preserve">and a</w:t>
      </w:r>
      <w:r>
        <w:t xml:space="preserve"> </w:t>
      </w:r>
      <w:r>
        <w:t xml:space="preserve">Case Study</w:t>
      </w:r>
      <w:r>
        <w:t xml:space="preserve"> </w:t>
      </w:r>
      <w:r>
        <w:t xml:space="preserve">in the</w:t>
      </w:r>
      <w:r>
        <w:t xml:space="preserve"> </w:t>
      </w:r>
      <w:r>
        <w:t xml:space="preserve">Chicago Region</w:t>
      </w:r>
      <w:r>
        <w:t xml:space="preserve">.”</w:t>
      </w:r>
      <w:r>
        <w:t xml:space="preserve"> </w:t>
      </w:r>
      <w:r>
        <w:rPr>
          <w:iCs/>
          <w:i/>
        </w:rPr>
        <w:t xml:space="preserve">Environment and Planning B: Planning and Design</w:t>
      </w:r>
      <w:r>
        <w:t xml:space="preserve"> </w:t>
      </w:r>
      <w:r>
        <w:t xml:space="preserve">30 (6): 865–84.</w:t>
      </w:r>
      <w:r>
        <w:t xml:space="preserve"> </w:t>
      </w:r>
      <w:hyperlink r:id="rId96">
        <w:r>
          <w:rPr>
            <w:rStyle w:val="Hyperlink"/>
          </w:rPr>
          <w:t xml:space="preserve">https://doi.org/10.1068/b29120</w:t>
        </w:r>
      </w:hyperlink>
      <w:r>
        <w:t xml:space="preserve">.</w:t>
      </w:r>
    </w:p>
    <w:bookmarkEnd w:id="97"/>
    <w:bookmarkStart w:id="99" w:name="ref-mackenzieBlueprintFixOntario2018"/>
    <w:p>
      <w:pPr>
        <w:pStyle w:val="Bibliography"/>
      </w:pPr>
      <w:r>
        <w:t xml:space="preserve">Mackenzie, Hugh. 2018.</w:t>
      </w:r>
      <w:r>
        <w:t xml:space="preserve"> </w:t>
      </w:r>
      <w:r>
        <w:t xml:space="preserve">“A Blueprint to Fix Ontario’s Education Funding Formula.”</w:t>
      </w:r>
      <w:r>
        <w:t xml:space="preserve"> </w:t>
      </w:r>
      <w:r>
        <w:rPr>
          <w:iCs/>
          <w:i/>
        </w:rPr>
        <w:t xml:space="preserve">Canadian Centre for Policy Alternatives</w:t>
      </w:r>
      <w:r>
        <w:rPr>
          <w:iCs/>
          <w:i/>
        </w:rPr>
        <w:t xml:space="preserve"> </w:t>
      </w:r>
      <w:r>
        <w:rPr>
          <w:iCs/>
          <w:i/>
        </w:rPr>
        <w:t xml:space="preserve"> </w:t>
      </w:r>
      <w:r>
        <w:rPr>
          <w:iCs/>
          <w:i/>
        </w:rPr>
        <w:t xml:space="preserve">Ontario</w:t>
      </w:r>
      <w:r>
        <w:t xml:space="preserve">.</w:t>
      </w:r>
      <w:r>
        <w:t xml:space="preserve"> </w:t>
      </w:r>
      <w:hyperlink r:id="rId98">
        <w:r>
          <w:rPr>
            <w:rStyle w:val="Hyperlink"/>
          </w:rPr>
          <w:t xml:space="preserve">https://policyalternatives.ca/sites/default/files/uploads/publications/Ontario%20Office/2018/03/Course%20Correction.pdf</w:t>
        </w:r>
      </w:hyperlink>
      <w:r>
        <w:t xml:space="preserve">.</w:t>
      </w:r>
    </w:p>
    <w:bookmarkEnd w:id="99"/>
    <w:bookmarkStart w:id="101" w:name="ref-merlin2017competition"/>
    <w:p>
      <w:pPr>
        <w:pStyle w:val="Bibliography"/>
      </w:pPr>
      <w:r>
        <w:t xml:space="preserve">Merlin, Louis A., and Lingqian Hu. 2017.</w:t>
      </w:r>
      <w:r>
        <w:t xml:space="preserve"> </w:t>
      </w:r>
      <w:r>
        <w:t xml:space="preserve">“Does Competition Matter in Measures of Job Accessibility? Explaining Employment in Los Angeles.”</w:t>
      </w:r>
      <w:r>
        <w:t xml:space="preserve"> </w:t>
      </w:r>
      <w:r>
        <w:t xml:space="preserve">Journal Article.</w:t>
      </w:r>
      <w:r>
        <w:t xml:space="preserve"> </w:t>
      </w:r>
      <w:r>
        <w:rPr>
          <w:iCs/>
          <w:i/>
        </w:rPr>
        <w:t xml:space="preserve">Journal of Transport Geography</w:t>
      </w:r>
      <w:r>
        <w:t xml:space="preserve"> </w:t>
      </w:r>
      <w:r>
        <w:t xml:space="preserve">64: 77–88.</w:t>
      </w:r>
      <w:r>
        <w:t xml:space="preserve"> </w:t>
      </w:r>
      <w:hyperlink r:id="rId100">
        <w:r>
          <w:rPr>
            <w:rStyle w:val="Hyperlink"/>
          </w:rPr>
          <w:t xml:space="preserve">https://doi.org/10.1016/j.jtrangeo.2017.08.009</w:t>
        </w:r>
      </w:hyperlink>
      <w:r>
        <w:t xml:space="preserve">.</w:t>
      </w:r>
    </w:p>
    <w:bookmarkEnd w:id="101"/>
    <w:bookmarkStart w:id="102" w:name="ref-Merrall_2021"/>
    <w:p>
      <w:pPr>
        <w:pStyle w:val="Bibliography"/>
      </w:pPr>
      <w:r>
        <w:t xml:space="preserve">Merrall, John. 2021.</w:t>
      </w:r>
      <w:r>
        <w:t xml:space="preserve"> </w:t>
      </w:r>
      <w:r>
        <w:t xml:space="preserve">“The Effect of School Closures on House Prices in Hamilton, Ontario.”</w:t>
      </w:r>
      <w:r>
        <w:t xml:space="preserve"> </w:t>
      </w:r>
      <w:r>
        <w:t xml:space="preserve">PhD thesis, McMaster University; School of Earth, Environment,; Society.</w:t>
      </w:r>
    </w:p>
    <w:bookmarkEnd w:id="102"/>
    <w:bookmarkStart w:id="104" w:name="X027da57eac733fda87445add00f78511b25d9f4"/>
    <w:p>
      <w:pPr>
        <w:pStyle w:val="Bibliography"/>
      </w:pPr>
      <w:r>
        <w:t xml:space="preserve">Ministry of Education. 2006.</w:t>
      </w:r>
      <w:r>
        <w:t xml:space="preserve"> </w:t>
      </w:r>
      <w:r>
        <w:t xml:space="preserve">“Pupil Accommodation Review Guidelines - Memo.”</w:t>
      </w:r>
      <w:r>
        <w:t xml:space="preserve"> </w:t>
      </w:r>
      <w:r>
        <w:t xml:space="preserve">Toronto: Business; Finance Divisio.</w:t>
      </w:r>
      <w:r>
        <w:t xml:space="preserve"> </w:t>
      </w:r>
      <w:hyperlink r:id="rId103">
        <w:r>
          <w:rPr>
            <w:rStyle w:val="Hyperlink"/>
          </w:rPr>
          <w:t xml:space="preserve">https://efis.fma.csc.gov.on.ca/faab/Memos/B2006/B_12.pdf</w:t>
        </w:r>
      </w:hyperlink>
      <w:r>
        <w:t xml:space="preserve">.</w:t>
      </w:r>
    </w:p>
    <w:bookmarkEnd w:id="104"/>
    <w:bookmarkStart w:id="106" w:name="ref-ontarioSchoolFacilityInventory2017"/>
    <w:p>
      <w:pPr>
        <w:pStyle w:val="Bibliography"/>
      </w:pPr>
      <w:r>
        <w:t xml:space="preserve">Ontario. 2017.</w:t>
      </w:r>
      <w:r>
        <w:t xml:space="preserve"> </w:t>
      </w:r>
      <w:r>
        <w:t xml:space="preserve">“School Facility Inventory System (</w:t>
      </w:r>
      <w:r>
        <w:t xml:space="preserve">SFIS</w:t>
      </w:r>
      <w:r>
        <w:t xml:space="preserve">) - Dataset - Ontario Data Catalogue.”</w:t>
      </w:r>
      <w:r>
        <w:t xml:space="preserve"> </w:t>
      </w:r>
      <w:r>
        <w:t xml:space="preserve">February 2017.</w:t>
      </w:r>
      <w:r>
        <w:t xml:space="preserve"> </w:t>
      </w:r>
      <w:hyperlink r:id="rId105">
        <w:r>
          <w:rPr>
            <w:rStyle w:val="Hyperlink"/>
          </w:rPr>
          <w:t xml:space="preserve">https://data.ontario.ca/dataset/school-facility-inventory-system-sfis</w:t>
        </w:r>
      </w:hyperlink>
      <w:r>
        <w:t xml:space="preserve">.</w:t>
      </w:r>
    </w:p>
    <w:bookmarkEnd w:id="106"/>
    <w:bookmarkStart w:id="107" w:name="ref-OpenStreetMap_2021"/>
    <w:p>
      <w:pPr>
        <w:pStyle w:val="Bibliography"/>
      </w:pPr>
      <w:r>
        <w:t xml:space="preserve">OpenStreetMap. 2021.</w:t>
      </w:r>
    </w:p>
    <w:bookmarkEnd w:id="107"/>
    <w:bookmarkStart w:id="109" w:name="ref-paez2012measuring"/>
    <w:p>
      <w:pPr>
        <w:pStyle w:val="Bibliography"/>
      </w:pPr>
      <w:r>
        <w:t xml:space="preserve">Paez, A., D. M. Scott, and C. Morency. 2012.</w:t>
      </w:r>
      <w:r>
        <w:t xml:space="preserve"> </w:t>
      </w:r>
      <w:r>
        <w:t xml:space="preserve">“Measuring Accessibility: Positive and Normative Implementations of Various Accessibility Indicators.”</w:t>
      </w:r>
      <w:r>
        <w:t xml:space="preserve"> </w:t>
      </w:r>
      <w:r>
        <w:t xml:space="preserve">Journal Article.</w:t>
      </w:r>
      <w:r>
        <w:t xml:space="preserve"> </w:t>
      </w:r>
      <w:r>
        <w:rPr>
          <w:iCs/>
          <w:i/>
        </w:rPr>
        <w:t xml:space="preserve">Journal of Transport Geography</w:t>
      </w:r>
      <w:r>
        <w:t xml:space="preserve"> </w:t>
      </w:r>
      <w:r>
        <w:t xml:space="preserve">25: 141–53.</w:t>
      </w:r>
      <w:r>
        <w:t xml:space="preserve"> </w:t>
      </w:r>
      <w:hyperlink r:id="rId108">
        <w:r>
          <w:rPr>
            <w:rStyle w:val="Hyperlink"/>
          </w:rPr>
          <w:t xml:space="preserve">https://doi.org/10.1016/j.jtrangeo.2012.03.016</w:t>
        </w:r>
      </w:hyperlink>
      <w:r>
        <w:t xml:space="preserve">.</w:t>
      </w:r>
    </w:p>
    <w:bookmarkEnd w:id="109"/>
    <w:bookmarkStart w:id="111" w:name="Xd978182abad74ce56cfca7512632709c289ed44"/>
    <w:p>
      <w:pPr>
        <w:pStyle w:val="Bibliography"/>
      </w:pPr>
      <w:r>
        <w:t xml:space="preserve">Pantelaki, Evangelia, Anna Claudia Caspani, and Elena Maggi. 2024.</w:t>
      </w:r>
      <w:r>
        <w:t xml:space="preserve"> </w:t>
      </w:r>
      <w:r>
        <w:t xml:space="preserve">“Impact of Home-School Commuting Mode Choice on Carbon Footprint and Sustainable Transport Policy Scenarios.”</w:t>
      </w:r>
      <w:r>
        <w:t xml:space="preserve"> </w:t>
      </w:r>
      <w:r>
        <w:rPr>
          <w:iCs/>
          <w:i/>
        </w:rPr>
        <w:t xml:space="preserve">Case Studies on Transport Policy</w:t>
      </w:r>
      <w:r>
        <w:t xml:space="preserve"> </w:t>
      </w:r>
      <w:r>
        <w:t xml:space="preserve">15 (March): 101110.</w:t>
      </w:r>
      <w:r>
        <w:t xml:space="preserve"> </w:t>
      </w:r>
      <w:hyperlink r:id="rId110">
        <w:r>
          <w:rPr>
            <w:rStyle w:val="Hyperlink"/>
          </w:rPr>
          <w:t xml:space="preserve">https://doi.org/10.1016/j.cstp.2023.101110</w:t>
        </w:r>
      </w:hyperlink>
      <w:r>
        <w:t xml:space="preserve">.</w:t>
      </w:r>
    </w:p>
    <w:bookmarkEnd w:id="111"/>
    <w:bookmarkStart w:id="113" w:name="ref-Pereira2021r5r"/>
    <w:p>
      <w:pPr>
        <w:pStyle w:val="Bibliography"/>
      </w:pPr>
      <w:r>
        <w:t xml:space="preserve">Pereira, Rafael H. M., Marcus Saraiva, Daniel Herszenhut, Carlos Kaue Vieira Braga, and Matthew Wigginton Conway. 2021.</w:t>
      </w:r>
      <w:r>
        <w:t xml:space="preserve"> </w:t>
      </w:r>
      <w:r>
        <w:t xml:space="preserve">“R5r: Rapid Realistic Routing on Multimodal Transport Networks with r</w:t>
      </w:r>
      <w:r>
        <w:rPr>
          <w:vertAlign w:val="superscript"/>
        </w:rPr>
        <w:t xml:space="preserve">5</w:t>
      </w:r>
      <w:r>
        <w:t xml:space="preserve"> </w:t>
      </w:r>
      <w:r>
        <w:t xml:space="preserve">in r.”</w:t>
      </w:r>
      <w:r>
        <w:t xml:space="preserve"> </w:t>
      </w:r>
      <w:r>
        <w:rPr>
          <w:iCs/>
          <w:i/>
        </w:rPr>
        <w:t xml:space="preserve">Findings</w:t>
      </w:r>
      <w:r>
        <w:t xml:space="preserve">, March.</w:t>
      </w:r>
      <w:r>
        <w:t xml:space="preserve"> </w:t>
      </w:r>
      <w:hyperlink r:id="rId112">
        <w:r>
          <w:rPr>
            <w:rStyle w:val="Hyperlink"/>
          </w:rPr>
          <w:t xml:space="preserve">https://doi.org/10.32866/001c.21262</w:t>
        </w:r>
      </w:hyperlink>
      <w:r>
        <w:t xml:space="preserve">.</w:t>
      </w:r>
    </w:p>
    <w:bookmarkEnd w:id="113"/>
    <w:bookmarkStart w:id="115" w:name="ref-rongReviewResearchLowcarbon2022"/>
    <w:p>
      <w:pPr>
        <w:pStyle w:val="Bibliography"/>
      </w:pPr>
      <w:r>
        <w:t xml:space="preserve">Rong, Peijun, Mei-Po Kwan, Yaochen Qin, and Zhicheng Zheng. 2022.</w:t>
      </w:r>
      <w:r>
        <w:t xml:space="preserve"> </w:t>
      </w:r>
      <w:r>
        <w:t xml:space="preserve">“A Review of Research on Low-Carbon School Trips and Their Implications for Human-Environment Relationship.”</w:t>
      </w:r>
      <w:r>
        <w:t xml:space="preserve"> </w:t>
      </w:r>
      <w:r>
        <w:rPr>
          <w:iCs/>
          <w:i/>
        </w:rPr>
        <w:t xml:space="preserve">Journal of Transport Geography</w:t>
      </w:r>
      <w:r>
        <w:t xml:space="preserve"> </w:t>
      </w:r>
      <w:r>
        <w:t xml:space="preserve">99 (February): 103306.</w:t>
      </w:r>
      <w:r>
        <w:t xml:space="preserve"> </w:t>
      </w:r>
      <w:hyperlink r:id="rId114">
        <w:r>
          <w:rPr>
            <w:rStyle w:val="Hyperlink"/>
          </w:rPr>
          <w:t xml:space="preserve">https://doi.org/10.1016/j.jtrangeo.2022.103306</w:t>
        </w:r>
      </w:hyperlink>
      <w:r>
        <w:t xml:space="preserve">.</w:t>
      </w:r>
    </w:p>
    <w:bookmarkEnd w:id="115"/>
    <w:bookmarkStart w:id="117" w:name="X64e48c489fbc694893913b82e1a2266a0ed4d09"/>
    <w:p>
      <w:pPr>
        <w:pStyle w:val="Bibliography"/>
      </w:pPr>
      <w:r>
        <w:t xml:space="preserve">Rosik, Piotr, Sabina Puławska-Obiedowska, and Sławomir Goliszek. 2021.</w:t>
      </w:r>
      <w:r>
        <w:t xml:space="preserve"> </w:t>
      </w:r>
      <w:r>
        <w:t xml:space="preserve">“Public Transport Accessibility to Upper Secondary Schools Measured by the Potential Quotient: The Case of Kraków.”</w:t>
      </w:r>
      <w:r>
        <w:t xml:space="preserve"> </w:t>
      </w:r>
      <w:r>
        <w:rPr>
          <w:iCs/>
          <w:i/>
        </w:rPr>
        <w:t xml:space="preserve">Moravian Geographical Reports</w:t>
      </w:r>
      <w:r>
        <w:t xml:space="preserve"> </w:t>
      </w:r>
      <w:r>
        <w:t xml:space="preserve">29 (1): 15–26.</w:t>
      </w:r>
      <w:r>
        <w:t xml:space="preserve"> </w:t>
      </w:r>
      <w:hyperlink r:id="rId116">
        <w:r>
          <w:rPr>
            <w:rStyle w:val="Hyperlink"/>
          </w:rPr>
          <w:t xml:space="preserve">https://doi.org/10.2478/mgr-2021-0002</w:t>
        </w:r>
      </w:hyperlink>
      <w:r>
        <w:t xml:space="preserve">.</w:t>
      </w:r>
    </w:p>
    <w:bookmarkEnd w:id="117"/>
    <w:bookmarkStart w:id="119" w:name="ref-sageman2022"/>
    <w:p>
      <w:pPr>
        <w:pStyle w:val="Bibliography"/>
      </w:pPr>
      <w:r>
        <w:t xml:space="preserve">Sageman, Joseph. 2022.</w:t>
      </w:r>
      <w:r>
        <w:t xml:space="preserve"> </w:t>
      </w:r>
      <w:r>
        <w:t xml:space="preserve">“School Closures and Rural Population Decline.”</w:t>
      </w:r>
      <w:r>
        <w:t xml:space="preserve"> </w:t>
      </w:r>
      <w:r>
        <w:rPr>
          <w:iCs/>
          <w:i/>
        </w:rPr>
        <w:t xml:space="preserve">Rural Sociology</w:t>
      </w:r>
      <w:r>
        <w:t xml:space="preserve"> </w:t>
      </w:r>
      <w:r>
        <w:t xml:space="preserve">87 (3): 960–92.</w:t>
      </w:r>
      <w:r>
        <w:t xml:space="preserve"> </w:t>
      </w:r>
      <w:hyperlink r:id="rId118">
        <w:r>
          <w:rPr>
            <w:rStyle w:val="Hyperlink"/>
          </w:rPr>
          <w:t xml:space="preserve">https://doi.org/10.1111/ruso.12437</w:t>
        </w:r>
      </w:hyperlink>
      <w:r>
        <w:t xml:space="preserve">.</w:t>
      </w:r>
    </w:p>
    <w:bookmarkEnd w:id="119"/>
    <w:bookmarkStart w:id="121" w:name="ref-seasons2014ARCCatalogues2014"/>
    <w:p>
      <w:pPr>
        <w:pStyle w:val="Bibliography"/>
      </w:pPr>
      <w:r>
        <w:t xml:space="preserve">Seasons, Mark. 2014a.</w:t>
      </w:r>
      <w:r>
        <w:t xml:space="preserve"> </w:t>
      </w:r>
      <w:r>
        <w:t xml:space="preserve">“2014</w:t>
      </w:r>
      <w:r>
        <w:t xml:space="preserve"> </w:t>
      </w:r>
      <w:r>
        <w:t xml:space="preserve">ARC</w:t>
      </w:r>
      <w:r>
        <w:t xml:space="preserve"> </w:t>
      </w:r>
      <w:r>
        <w:t xml:space="preserve">Catalogues. 2014 English Public</w:t>
      </w:r>
      <w:r>
        <w:t xml:space="preserve"> </w:t>
      </w:r>
      <w:r>
        <w:t xml:space="preserve">ARC</w:t>
      </w:r>
      <w:r>
        <w:t xml:space="preserve"> </w:t>
      </w:r>
      <w:r>
        <w:t xml:space="preserve">Inventory.”</w:t>
      </w:r>
      <w:r>
        <w:t xml:space="preserve"> </w:t>
      </w:r>
      <w:r>
        <w:t xml:space="preserve">2014.</w:t>
      </w:r>
      <w:r>
        <w:t xml:space="preserve"> </w:t>
      </w:r>
      <w:hyperlink r:id="rId120">
        <w:r>
          <w:rPr>
            <w:rStyle w:val="Hyperlink"/>
          </w:rPr>
          <w:t xml:space="preserve">https://uwaterloo.ca/school-closure-policy-research/research-findings/arc-data/2014-arc-catalogue</w:t>
        </w:r>
      </w:hyperlink>
      <w:r>
        <w:t xml:space="preserve">.</w:t>
      </w:r>
    </w:p>
    <w:bookmarkEnd w:id="121"/>
    <w:bookmarkStart w:id="123" w:name="ref-seasonsSchoolClosurePolicy2014"/>
    <w:p>
      <w:pPr>
        <w:pStyle w:val="Bibliography"/>
      </w:pPr>
      <w:r>
        <w:t xml:space="preserve">———. 2014b.</w:t>
      </w:r>
      <w:r>
        <w:t xml:space="preserve"> </w:t>
      </w:r>
      <w:r>
        <w:t xml:space="preserve">“School Closure Policy</w:t>
      </w:r>
      <w:r>
        <w:t xml:space="preserve"> </w:t>
      </w:r>
      <w:r>
        <w:t xml:space="preserve"> </w:t>
      </w:r>
      <w:r>
        <w:t xml:space="preserve">School Closure Policy Research.”</w:t>
      </w:r>
      <w:r>
        <w:t xml:space="preserve"> </w:t>
      </w:r>
      <w:r>
        <w:t xml:space="preserve">January 1, 2014.</w:t>
      </w:r>
      <w:r>
        <w:t xml:space="preserve"> </w:t>
      </w:r>
      <w:hyperlink r:id="rId122">
        <w:r>
          <w:rPr>
            <w:rStyle w:val="Hyperlink"/>
          </w:rPr>
          <w:t xml:space="preserve">https://uwaterloo.ca/school-closure-policy-research/exploring-issue/school-closure-policy</w:t>
        </w:r>
      </w:hyperlink>
      <w:r>
        <w:t xml:space="preserve">.</w:t>
      </w:r>
    </w:p>
    <w:bookmarkEnd w:id="123"/>
    <w:bookmarkStart w:id="125" w:name="X79f9d5ab84e1e2aa255bfa049d33d3ea8598d57"/>
    <w:p>
      <w:pPr>
        <w:pStyle w:val="Bibliography"/>
      </w:pPr>
      <w:r>
        <w:t xml:space="preserve">Shen, Q. 1998.</w:t>
      </w:r>
      <w:r>
        <w:t xml:space="preserve"> </w:t>
      </w:r>
      <w:r>
        <w:t xml:space="preserve">“Location Characteristics of Inner-City Neighborhoods and Employment Accessibility of Low-Wage Workers.”</w:t>
      </w:r>
      <w:r>
        <w:t xml:space="preserve"> </w:t>
      </w:r>
      <w:r>
        <w:rPr>
          <w:iCs/>
          <w:i/>
        </w:rPr>
        <w:t xml:space="preserve">Environment and Planning B: Planning and Design</w:t>
      </w:r>
      <w:r>
        <w:t xml:space="preserve"> </w:t>
      </w:r>
      <w:r>
        <w:t xml:space="preserve">25 (3): 345–65.</w:t>
      </w:r>
      <w:r>
        <w:t xml:space="preserve"> </w:t>
      </w:r>
      <w:hyperlink r:id="rId124">
        <w:r>
          <w:rPr>
            <w:rStyle w:val="Hyperlink"/>
          </w:rPr>
          <w:t xml:space="preserve">https://doi.org/10.1068/b250345</w:t>
        </w:r>
      </w:hyperlink>
      <w:r>
        <w:t xml:space="preserve">.</w:t>
      </w:r>
    </w:p>
    <w:bookmarkEnd w:id="125"/>
    <w:bookmarkStart w:id="127" w:name="ref-soukhovOccupancyGHGEmissions2022"/>
    <w:p>
      <w:pPr>
        <w:pStyle w:val="Bibliography"/>
      </w:pPr>
      <w:r>
        <w:t xml:space="preserve">Soukhov, Anastasia, and Moataz Mohamed. 2022.</w:t>
      </w:r>
      <w:r>
        <w:t xml:space="preserve"> </w:t>
      </w:r>
      <w:r>
        <w:t xml:space="preserve">“Occupancy and</w:t>
      </w:r>
      <w:r>
        <w:t xml:space="preserve"> </w:t>
      </w:r>
      <w:r>
        <w:t xml:space="preserve">GHG</w:t>
      </w:r>
      <w:r>
        <w:t xml:space="preserve"> </w:t>
      </w:r>
      <w:r>
        <w:t xml:space="preserve">Emissions: Thresholds for Disruptive Transportation Modes and Emerging Technologies.”</w:t>
      </w:r>
      <w:r>
        <w:t xml:space="preserve"> </w:t>
      </w:r>
      <w:r>
        <w:rPr>
          <w:iCs/>
          <w:i/>
        </w:rPr>
        <w:t xml:space="preserve">Transportation Research Part D: Transport and Environment</w:t>
      </w:r>
      <w:r>
        <w:t xml:space="preserve"> </w:t>
      </w:r>
      <w:r>
        <w:t xml:space="preserve">102 (January): 103127.</w:t>
      </w:r>
      <w:r>
        <w:t xml:space="preserve"> </w:t>
      </w:r>
      <w:hyperlink r:id="rId126">
        <w:r>
          <w:rPr>
            <w:rStyle w:val="Hyperlink"/>
          </w:rPr>
          <w:t xml:space="preserve">https://doi.org/10.1016/j.trd.2021.103127</w:t>
        </w:r>
      </w:hyperlink>
      <w:r>
        <w:t xml:space="preserve">.</w:t>
      </w:r>
    </w:p>
    <w:bookmarkEnd w:id="127"/>
    <w:bookmarkStart w:id="129" w:name="X540381ca98df3480f3973b7bef0e4b4294eddd2"/>
    <w:p>
      <w:pPr>
        <w:pStyle w:val="Bibliography"/>
      </w:pPr>
      <w:r>
        <w:t xml:space="preserve">Soukhov, Anastasia, Antonio Páez, Christopher D. Higgins, and Moataz Mohamed. 2023.</w:t>
      </w:r>
      <w:r>
        <w:t xml:space="preserve"> </w:t>
      </w:r>
      <w:r>
        <w:t xml:space="preserve">“Introducing Spatial Availability, a Singly-Constrained Measure of Competitive Accessibility |</w:t>
      </w:r>
      <w:r>
        <w:t xml:space="preserve"> </w:t>
      </w:r>
      <w:r>
        <w:t xml:space="preserve">PLOS ONE</w:t>
      </w:r>
      <w:r>
        <w:t xml:space="preserve">.”</w:t>
      </w:r>
      <w:r>
        <w:t xml:space="preserve"> </w:t>
      </w:r>
      <w:r>
        <w:rPr>
          <w:iCs/>
          <w:i/>
        </w:rPr>
        <w:t xml:space="preserve">PLOS ONE</w:t>
      </w:r>
      <w:r>
        <w:t xml:space="preserve">, 1–30. https://doi.org/</w:t>
      </w:r>
      <w:hyperlink r:id="rId128">
        <w:r>
          <w:rPr>
            <w:rStyle w:val="Hyperlink"/>
          </w:rPr>
          <w:t xml:space="preserve">https:// doi.org/10.1371/journal.pone.0278468</w:t>
        </w:r>
      </w:hyperlink>
      <w:r>
        <w:t xml:space="preserve">.</w:t>
      </w:r>
    </w:p>
    <w:bookmarkEnd w:id="129"/>
    <w:bookmarkStart w:id="131" w:name="X9ffd04e181bac3ae0b72168afcd6f19473cf440"/>
    <w:p>
      <w:pPr>
        <w:pStyle w:val="Bibliography"/>
      </w:pPr>
      <w:r>
        <w:t xml:space="preserve">Soukhov, Anastasia, Javier Tarriño-Ortiz, Julio A. Soria-Lara, and Antonio Páez. 2024.</w:t>
      </w:r>
      <w:r>
        <w:t xml:space="preserve"> </w:t>
      </w:r>
      <w:r>
        <w:t xml:space="preserve">“Multimodal Spatial Availability: A Singly-Constrained Measure of Accessibility Considering Multiple Modes.”</w:t>
      </w:r>
      <w:r>
        <w:t xml:space="preserve"> </w:t>
      </w:r>
      <w:r>
        <w:rPr>
          <w:iCs/>
          <w:i/>
        </w:rPr>
        <w:t xml:space="preserve">PLOS</w:t>
      </w:r>
      <w:r>
        <w:rPr>
          <w:iCs/>
          <w:i/>
        </w:rPr>
        <w:t xml:space="preserve"> </w:t>
      </w:r>
      <w:r>
        <w:rPr>
          <w:iCs/>
          <w:i/>
        </w:rPr>
        <w:t xml:space="preserve">ONE</w:t>
      </w:r>
      <w:r>
        <w:t xml:space="preserve"> </w:t>
      </w:r>
      <w:r>
        <w:t xml:space="preserve">19 (2): e0299077.</w:t>
      </w:r>
      <w:r>
        <w:t xml:space="preserve"> </w:t>
      </w:r>
      <w:hyperlink r:id="rId130">
        <w:r>
          <w:rPr>
            <w:rStyle w:val="Hyperlink"/>
          </w:rPr>
          <w:t xml:space="preserve">https://doi.org/10.1371/journal.pone.0299077</w:t>
        </w:r>
      </w:hyperlink>
      <w:r>
        <w:t xml:space="preserve">.</w:t>
      </w:r>
    </w:p>
    <w:bookmarkEnd w:id="131"/>
    <w:bookmarkStart w:id="133" w:name="ref-DMTI_Spatial_2015"/>
    <w:p>
      <w:pPr>
        <w:pStyle w:val="Bibliography"/>
      </w:pPr>
      <w:r>
        <w:t xml:space="preserve">Spatial, DMTI. 2015.</w:t>
      </w:r>
      <w:r>
        <w:t xml:space="preserve"> </w:t>
      </w:r>
      <w:r>
        <w:t xml:space="preserve">“Building Footprints Region,”</w:t>
      </w:r>
      <w:r>
        <w:t xml:space="preserve"> </w:t>
      </w:r>
      <w:r>
        <w:t xml:space="preserve">September.</w:t>
      </w:r>
      <w:r>
        <w:t xml:space="preserve"> </w:t>
      </w:r>
      <w:hyperlink r:id="rId132">
        <w:r>
          <w:rPr>
            <w:rStyle w:val="Hyperlink"/>
          </w:rPr>
          <w:t xml:space="preserve">http://geo.scholarsportal.info/#r/details/_uri@=24</w:t>
        </w:r>
      </w:hyperlink>
      <w:r>
        <w:t xml:space="preserve">.</w:t>
      </w:r>
    </w:p>
    <w:bookmarkEnd w:id="133"/>
    <w:bookmarkStart w:id="134" w:name="ref-Teranet_2009"/>
    <w:p>
      <w:pPr>
        <w:pStyle w:val="Bibliography"/>
      </w:pPr>
      <w:r>
        <w:t xml:space="preserve">Teranet. 2009.</w:t>
      </w:r>
      <w:r>
        <w:t xml:space="preserve"> </w:t>
      </w:r>
      <w:r>
        <w:t xml:space="preserve">“Hamilton Parcel/Land Use Data.”</w:t>
      </w:r>
      <w:r>
        <w:t xml:space="preserve"> </w:t>
      </w:r>
      <w:r>
        <w:t xml:space="preserve">Dept. of Planning; Economic Development.</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hyperlink" Id="rId68" Target="http://dmg.utoronto.ca/transportation-tomorrow-survey/tts-introduction" TargetMode="External" /><Relationship Type="http://schemas.openxmlformats.org/officeDocument/2006/relationships/hyperlink" Id="rId132" Target="http://geo.scholarsportal.info/#r/details/_uri@=24" TargetMode="External" /><Relationship Type="http://schemas.openxmlformats.org/officeDocument/2006/relationships/hyperlink" Id="rId128" Target="https:// doi.org/10.1371/journal.pone.0278468" TargetMode="External" /><Relationship Type="http://schemas.openxmlformats.org/officeDocument/2006/relationships/hyperlink" Id="rId105" Target="https://data.ontario.ca/dataset/school-facility-inventory-system-sfis" TargetMode="External" /><Relationship Type="http://schemas.openxmlformats.org/officeDocument/2006/relationships/hyperlink" Id="rId60" Target="https://doi.org/10.1016/j.apgeog.2020.102251" TargetMode="External" /><Relationship Type="http://schemas.openxmlformats.org/officeDocument/2006/relationships/hyperlink" Id="rId110" Target="https://doi.org/10.1016/j.cstp.2023.101110" TargetMode="External" /><Relationship Type="http://schemas.openxmlformats.org/officeDocument/2006/relationships/hyperlink" Id="rId54" Target="https://doi.org/10.1016/j.econedurev.2018.05.004" TargetMode="External" /><Relationship Type="http://schemas.openxmlformats.org/officeDocument/2006/relationships/hyperlink" Id="rId108" Target="https://doi.org/10.1016/j.jtrangeo.2012.03.016" TargetMode="External" /><Relationship Type="http://schemas.openxmlformats.org/officeDocument/2006/relationships/hyperlink" Id="rId100" Target="https://doi.org/10.1016/j.jtrangeo.2017.08.009" TargetMode="External" /><Relationship Type="http://schemas.openxmlformats.org/officeDocument/2006/relationships/hyperlink" Id="rId84" Target="https://doi.org/10.1016/j.jtrangeo.2018.12.002" TargetMode="External" /><Relationship Type="http://schemas.openxmlformats.org/officeDocument/2006/relationships/hyperlink" Id="rId90" Target="https://doi.org/10.1016/j.jtrangeo.2020.102706" TargetMode="External" /><Relationship Type="http://schemas.openxmlformats.org/officeDocument/2006/relationships/hyperlink" Id="rId114" Target="https://doi.org/10.1016/j.jtrangeo.2022.103306" TargetMode="External" /><Relationship Type="http://schemas.openxmlformats.org/officeDocument/2006/relationships/hyperlink" Id="rId51" Target="https://doi.org/10.1016/j.trb.2019.02.009" TargetMode="External" /><Relationship Type="http://schemas.openxmlformats.org/officeDocument/2006/relationships/hyperlink" Id="rId126" Target="https://doi.org/10.1016/j.trd.2021.103127" TargetMode="External" /><Relationship Type="http://schemas.openxmlformats.org/officeDocument/2006/relationships/hyperlink" Id="rId124" Target="https://doi.org/10.1068/b250345" TargetMode="External" /><Relationship Type="http://schemas.openxmlformats.org/officeDocument/2006/relationships/hyperlink" Id="rId96" Target="https://doi.org/10.1068/b29120" TargetMode="External" /><Relationship Type="http://schemas.openxmlformats.org/officeDocument/2006/relationships/hyperlink" Id="rId56" Target="https://doi.org/10.1080/01944363.2020.1803104" TargetMode="External" /><Relationship Type="http://schemas.openxmlformats.org/officeDocument/2006/relationships/hyperlink" Id="rId80" Target="https://doi.org/10.1080/01944365908978307" TargetMode="External" /><Relationship Type="http://schemas.openxmlformats.org/officeDocument/2006/relationships/hyperlink" Id="rId118" Target="https://doi.org/10.1111/ruso.12437" TargetMode="External" /><Relationship Type="http://schemas.openxmlformats.org/officeDocument/2006/relationships/hyperlink" Id="rId94" Target="https://doi.org/10.1177/0013124516630601" TargetMode="External" /><Relationship Type="http://schemas.openxmlformats.org/officeDocument/2006/relationships/hyperlink" Id="rId130" Target="https://doi.org/10.1371/journal.pone.0299077" TargetMode="External" /><Relationship Type="http://schemas.openxmlformats.org/officeDocument/2006/relationships/hyperlink" Id="rId116" Target="https://doi.org/10.2478/mgr-2021-0002" TargetMode="External" /><Relationship Type="http://schemas.openxmlformats.org/officeDocument/2006/relationships/hyperlink" Id="rId112" Target="https://doi.org/10.32866/001c.21262" TargetMode="External" /><Relationship Type="http://schemas.openxmlformats.org/officeDocument/2006/relationships/hyperlink" Id="rId72" Target="https://download.geofabrik.de/north-america/canada/ontario.html" TargetMode="External" /><Relationship Type="http://schemas.openxmlformats.org/officeDocument/2006/relationships/hyperlink" Id="rId103" Target="https://efis.fma.csc.gov.on.ca/faab/Memos/B2006/B_12.pdf" TargetMode="External" /><Relationship Type="http://schemas.openxmlformats.org/officeDocument/2006/relationships/hyperlink" Id="rId62" Target="https://github.com/conveyal/r5" TargetMode="External" /><Relationship Type="http://schemas.openxmlformats.org/officeDocument/2006/relationships/hyperlink" Id="rId20" Target="https://github.com/soukhova" TargetMode="External" /><Relationship Type="http://schemas.openxmlformats.org/officeDocument/2006/relationships/hyperlink" Id="rId98" Target="https://policyalternatives.ca/sites/default/files/uploads/publications/Ontario%20Office/2018/03/Course%20Correction.pdf" TargetMode="External" /><Relationship Type="http://schemas.openxmlformats.org/officeDocument/2006/relationships/hyperlink" Id="rId122" Target="https://uwaterloo.ca/school-closure-policy-research/exploring-issue/school-closure-policy" TargetMode="External" /><Relationship Type="http://schemas.openxmlformats.org/officeDocument/2006/relationships/hyperlink" Id="rId120" Target="https://uwaterloo.ca/school-closure-policy-research/research-findings/arc-data/2014-arc-catalogue" TargetMode="External" /><Relationship Type="http://schemas.openxmlformats.org/officeDocument/2006/relationships/hyperlink" Id="rId48" Target="https://www.auditor.on.ca/en/content/annualreports/arreports/en15/2015AR_en_final.pdf" TargetMode="External" /><Relationship Type="http://schemas.openxmlformats.org/officeDocument/2006/relationships/hyperlink" Id="rId64" Target="https://www.cbc.ca/news/canada/hamilton/headlines/axe-could-fall-on-more-hamilton-schools-projections-show-1.1183565" TargetMode="External" /><Relationship Type="http://schemas.openxmlformats.org/officeDocument/2006/relationships/hyperlink" Id="rId66" Target="https://www.cbc.ca/news/canada/hamilton/headlines/board-evaluating-future-of-76-public-elementary-schools-1.1347581" TargetMode="External" /><Relationship Type="http://schemas.openxmlformats.org/officeDocument/2006/relationships/hyperlink" Id="rId86" Target="https://www.documentcloud.org/documents/603032-hwdsb-schools-for-review" TargetMode="External" /><Relationship Type="http://schemas.openxmlformats.org/officeDocument/2006/relationships/hyperlink" Id="rId78" Target="https://www.hamilton.ca/sites/default/files/media/browser/2014-11-27/downtown-hamilton-bia-map.pdf" TargetMode="External" /><Relationship Type="http://schemas.openxmlformats.org/officeDocument/2006/relationships/hyperlink" Id="rId88" Target="https://www.hamiltonschoolbus.ca/policies/hwdsb/HWDSB_Transportation_Policy.pdf" TargetMode="External" /><Relationship Type="http://schemas.openxmlformats.org/officeDocument/2006/relationships/hyperlink" Id="rId70" Target="https://www.jstatsoft.org/article/view/v064i04" TargetMode="External" /><Relationship Type="http://schemas.openxmlformats.org/officeDocument/2006/relationships/hyperlink" Id="rId82" Target="https://www.jstor.org/stable/26622420" TargetMode="External" /><Relationship Type="http://schemas.openxmlformats.org/officeDocument/2006/relationships/hyperlink" Id="rId92" Target="https://www.raisethehammer.org/article/1979/serious_concerns_about_school_accommodation_review_process" TargetMode="External" /><Relationship Type="http://schemas.openxmlformats.org/officeDocument/2006/relationships/hyperlink" Id="rId74" Target="https://www12.statcan.gc.ca/census-recensement/2016/ref/dict/fam021-eng.cfm" TargetMode="External" /><Relationship Type="http://schemas.openxmlformats.org/officeDocument/2006/relationships/hyperlink" Id="rId76" Target="https://www12.statcan.gc.ca/census-recensement/2021/dp-pd/prof/index.cfm?Lang=E" TargetMode="External" /></Relationships>
</file>

<file path=word/_rels/footnotes.xml.rels><?xml version="1.0" encoding="UTF-8"?><Relationships xmlns="http://schemas.openxmlformats.org/package/2006/relationships"><Relationship Type="http://schemas.openxmlformats.org/officeDocument/2006/relationships/hyperlink" Id="rId68" Target="http://dmg.utoronto.ca/transportation-tomorrow-survey/tts-introduction" TargetMode="External" /><Relationship Type="http://schemas.openxmlformats.org/officeDocument/2006/relationships/hyperlink" Id="rId132" Target="http://geo.scholarsportal.info/#r/details/_uri@=24" TargetMode="External" /><Relationship Type="http://schemas.openxmlformats.org/officeDocument/2006/relationships/hyperlink" Id="rId128" Target="https:// doi.org/10.1371/journal.pone.0278468" TargetMode="External" /><Relationship Type="http://schemas.openxmlformats.org/officeDocument/2006/relationships/hyperlink" Id="rId105" Target="https://data.ontario.ca/dataset/school-facility-inventory-system-sfis" TargetMode="External" /><Relationship Type="http://schemas.openxmlformats.org/officeDocument/2006/relationships/hyperlink" Id="rId60" Target="https://doi.org/10.1016/j.apgeog.2020.102251" TargetMode="External" /><Relationship Type="http://schemas.openxmlformats.org/officeDocument/2006/relationships/hyperlink" Id="rId110" Target="https://doi.org/10.1016/j.cstp.2023.101110" TargetMode="External" /><Relationship Type="http://schemas.openxmlformats.org/officeDocument/2006/relationships/hyperlink" Id="rId54" Target="https://doi.org/10.1016/j.econedurev.2018.05.004" TargetMode="External" /><Relationship Type="http://schemas.openxmlformats.org/officeDocument/2006/relationships/hyperlink" Id="rId108" Target="https://doi.org/10.1016/j.jtrangeo.2012.03.016" TargetMode="External" /><Relationship Type="http://schemas.openxmlformats.org/officeDocument/2006/relationships/hyperlink" Id="rId100" Target="https://doi.org/10.1016/j.jtrangeo.2017.08.009" TargetMode="External" /><Relationship Type="http://schemas.openxmlformats.org/officeDocument/2006/relationships/hyperlink" Id="rId84" Target="https://doi.org/10.1016/j.jtrangeo.2018.12.002" TargetMode="External" /><Relationship Type="http://schemas.openxmlformats.org/officeDocument/2006/relationships/hyperlink" Id="rId90" Target="https://doi.org/10.1016/j.jtrangeo.2020.102706" TargetMode="External" /><Relationship Type="http://schemas.openxmlformats.org/officeDocument/2006/relationships/hyperlink" Id="rId114" Target="https://doi.org/10.1016/j.jtrangeo.2022.103306" TargetMode="External" /><Relationship Type="http://schemas.openxmlformats.org/officeDocument/2006/relationships/hyperlink" Id="rId51" Target="https://doi.org/10.1016/j.trb.2019.02.009" TargetMode="External" /><Relationship Type="http://schemas.openxmlformats.org/officeDocument/2006/relationships/hyperlink" Id="rId126" Target="https://doi.org/10.1016/j.trd.2021.103127" TargetMode="External" /><Relationship Type="http://schemas.openxmlformats.org/officeDocument/2006/relationships/hyperlink" Id="rId124" Target="https://doi.org/10.1068/b250345" TargetMode="External" /><Relationship Type="http://schemas.openxmlformats.org/officeDocument/2006/relationships/hyperlink" Id="rId96" Target="https://doi.org/10.1068/b29120" TargetMode="External" /><Relationship Type="http://schemas.openxmlformats.org/officeDocument/2006/relationships/hyperlink" Id="rId56" Target="https://doi.org/10.1080/01944363.2020.1803104" TargetMode="External" /><Relationship Type="http://schemas.openxmlformats.org/officeDocument/2006/relationships/hyperlink" Id="rId80" Target="https://doi.org/10.1080/01944365908978307" TargetMode="External" /><Relationship Type="http://schemas.openxmlformats.org/officeDocument/2006/relationships/hyperlink" Id="rId118" Target="https://doi.org/10.1111/ruso.12437" TargetMode="External" /><Relationship Type="http://schemas.openxmlformats.org/officeDocument/2006/relationships/hyperlink" Id="rId94" Target="https://doi.org/10.1177/0013124516630601" TargetMode="External" /><Relationship Type="http://schemas.openxmlformats.org/officeDocument/2006/relationships/hyperlink" Id="rId130" Target="https://doi.org/10.1371/journal.pone.0299077" TargetMode="External" /><Relationship Type="http://schemas.openxmlformats.org/officeDocument/2006/relationships/hyperlink" Id="rId116" Target="https://doi.org/10.2478/mgr-2021-0002" TargetMode="External" /><Relationship Type="http://schemas.openxmlformats.org/officeDocument/2006/relationships/hyperlink" Id="rId112" Target="https://doi.org/10.32866/001c.21262" TargetMode="External" /><Relationship Type="http://schemas.openxmlformats.org/officeDocument/2006/relationships/hyperlink" Id="rId72" Target="https://download.geofabrik.de/north-america/canada/ontario.html" TargetMode="External" /><Relationship Type="http://schemas.openxmlformats.org/officeDocument/2006/relationships/hyperlink" Id="rId103" Target="https://efis.fma.csc.gov.on.ca/faab/Memos/B2006/B_12.pdf" TargetMode="External" /><Relationship Type="http://schemas.openxmlformats.org/officeDocument/2006/relationships/hyperlink" Id="rId62" Target="https://github.com/conveyal/r5" TargetMode="External" /><Relationship Type="http://schemas.openxmlformats.org/officeDocument/2006/relationships/hyperlink" Id="rId20" Target="https://github.com/soukhova" TargetMode="External" /><Relationship Type="http://schemas.openxmlformats.org/officeDocument/2006/relationships/hyperlink" Id="rId98" Target="https://policyalternatives.ca/sites/default/files/uploads/publications/Ontario%20Office/2018/03/Course%20Correction.pdf" TargetMode="External" /><Relationship Type="http://schemas.openxmlformats.org/officeDocument/2006/relationships/hyperlink" Id="rId122" Target="https://uwaterloo.ca/school-closure-policy-research/exploring-issue/school-closure-policy" TargetMode="External" /><Relationship Type="http://schemas.openxmlformats.org/officeDocument/2006/relationships/hyperlink" Id="rId120" Target="https://uwaterloo.ca/school-closure-policy-research/research-findings/arc-data/2014-arc-catalogue" TargetMode="External" /><Relationship Type="http://schemas.openxmlformats.org/officeDocument/2006/relationships/hyperlink" Id="rId48" Target="https://www.auditor.on.ca/en/content/annualreports/arreports/en15/2015AR_en_final.pdf" TargetMode="External" /><Relationship Type="http://schemas.openxmlformats.org/officeDocument/2006/relationships/hyperlink" Id="rId64" Target="https://www.cbc.ca/news/canada/hamilton/headlines/axe-could-fall-on-more-hamilton-schools-projections-show-1.1183565" TargetMode="External" /><Relationship Type="http://schemas.openxmlformats.org/officeDocument/2006/relationships/hyperlink" Id="rId66" Target="https://www.cbc.ca/news/canada/hamilton/headlines/board-evaluating-future-of-76-public-elementary-schools-1.1347581" TargetMode="External" /><Relationship Type="http://schemas.openxmlformats.org/officeDocument/2006/relationships/hyperlink" Id="rId86" Target="https://www.documentcloud.org/documents/603032-hwdsb-schools-for-review" TargetMode="External" /><Relationship Type="http://schemas.openxmlformats.org/officeDocument/2006/relationships/hyperlink" Id="rId78" Target="https://www.hamilton.ca/sites/default/files/media/browser/2014-11-27/downtown-hamilton-bia-map.pdf" TargetMode="External" /><Relationship Type="http://schemas.openxmlformats.org/officeDocument/2006/relationships/hyperlink" Id="rId88" Target="https://www.hamiltonschoolbus.ca/policies/hwdsb/HWDSB_Transportation_Policy.pdf" TargetMode="External" /><Relationship Type="http://schemas.openxmlformats.org/officeDocument/2006/relationships/hyperlink" Id="rId70" Target="https://www.jstatsoft.org/article/view/v064i04" TargetMode="External" /><Relationship Type="http://schemas.openxmlformats.org/officeDocument/2006/relationships/hyperlink" Id="rId82" Target="https://www.jstor.org/stable/26622420" TargetMode="External" /><Relationship Type="http://schemas.openxmlformats.org/officeDocument/2006/relationships/hyperlink" Id="rId92" Target="https://www.raisethehammer.org/article/1979/serious_concerns_about_school_accommodation_review_process" TargetMode="External" /><Relationship Type="http://schemas.openxmlformats.org/officeDocument/2006/relationships/hyperlink" Id="rId74" Target="https://www12.statcan.gc.ca/census-recensement/2016/ref/dict/fam021-eng.cfm" TargetMode="External" /><Relationship Type="http://schemas.openxmlformats.org/officeDocument/2006/relationships/hyperlink" Id="rId76" Target="https://www12.statcan.gc.ca/census-recensement/2021/dp-pd/prof/index.cfm?Lang=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cost of school consolidations: impacts of reduced accessibility</dc:title>
  <dc:creator>Anastasia Soukhov; Antonio Paez</dc:creator>
  <cp:keywords>accessibility; spatial availability; carbon emissions; journey-to-school; walkability; active transportation; school consolidation policy; service provision thresholds</cp:keywords>
  <dcterms:created xsi:type="dcterms:W3CDTF">2024-04-18T19:21:46Z</dcterms:created>
  <dcterms:modified xsi:type="dcterms:W3CDTF">2024-04-18T19:21:46Z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reduction of mobility-induced GHG emissions is a top priority for many communities around the world. From a different standpoint, communities are consistently under pressure to increase operational cost-efficiency savings, including the consideration of spatially consolidating public resource provision. This is the case for public schools, where governments are opting to close under-capacity schools and expand existing schools to accommodate lost capacity. This study quantifies the travel burdens of school consolidation/closure policy through the case of Hamilton, a mid-sized city in Ontario, Canada. Between the years 2011 and 2015, 7% of the elementary schools closed in the city. Specifically, we quantify how these closures changed the accessibility landscape for the elementary school aged population by using spatial availability, a novel singly-constrained accessibility measure. Spatial availability allows for an interpretable comparison between ‘before’ and ‘after’ policy implementation because of its unique proportional allocation property. Analysis is conducted at the parcel-level, all school-seats being eligible and travel behaviour based on observved home-to-school patterns for motorzied and non-motorized modes. Analysis on system-wide impacts such as potential GHG emission increases and walk minutes decreases are detailed. Overall, spatial availability decreased in the city. Though the school conslidation policy resulted in short-term operational cost-savings, families, students, and the environment now pay the price. This paper showcases how spatial availability can be used by decision- makers to quantify spatial and travel implications in policy.</vt:lpwstr>
  </property>
  <property fmtid="{D5CDD505-2E9C-101B-9397-08002B2CF9AE}" pid="3" name="address">
    <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mybibfile.bib</vt:lpwstr>
  </property>
  <property fmtid="{D5CDD505-2E9C-101B-9397-08002B2CF9AE}" pid="8" name="by-affiliation">
    <vt:lpwstr/>
  </property>
  <property fmtid="{D5CDD505-2E9C-101B-9397-08002B2CF9AE}" pid="9" name="by-author">
    <vt:lpwstr/>
  </property>
  <property fmtid="{D5CDD505-2E9C-101B-9397-08002B2CF9AE}" pid="10" name="editor">
    <vt:lpwstr>source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nenumbers">
    <vt:lpwstr>True</vt:lpwstr>
  </property>
  <property fmtid="{D5CDD505-2E9C-101B-9397-08002B2CF9AE}" pid="16" name="numbersections">
    <vt:lpwstr>True</vt:lpwstr>
  </property>
  <property fmtid="{D5CDD505-2E9C-101B-9397-08002B2CF9AE}" pid="17" name="toc-title">
    <vt:lpwstr>Table of contents</vt:lpwstr>
  </property>
</Properties>
</file>