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089DCE" w14:textId="77777777" w:rsidR="006132FB" w:rsidRDefault="004B21E9">
      <w:pPr>
        <w:widowControl/>
        <w:spacing w:before="100" w:beforeAutospacing="1" w:after="100" w:afterAutospacing="1"/>
        <w:jc w:val="left"/>
        <w:outlineLvl w:val="0"/>
        <w:rPr>
          <w:rFonts w:ascii="Times New Roman" w:eastAsia="宋体" w:hAnsi="Times New Roman" w:cs="Times New Roman"/>
          <w:b/>
          <w:bCs/>
          <w:i/>
          <w:iCs/>
          <w:kern w:val="36"/>
          <w:sz w:val="24"/>
          <w:szCs w:val="24"/>
        </w:rPr>
      </w:pPr>
      <w:r>
        <w:rPr>
          <w:rFonts w:ascii="Times New Roman" w:eastAsia="宋体" w:hAnsi="Times New Roman" w:cs="Times New Roman"/>
          <w:b/>
          <w:bCs/>
          <w:i/>
          <w:iCs/>
          <w:kern w:val="36"/>
          <w:sz w:val="24"/>
          <w:szCs w:val="24"/>
        </w:rPr>
        <w:t xml:space="preserve">Appendix </w:t>
      </w:r>
      <w:r>
        <w:rPr>
          <w:rFonts w:ascii="Times New Roman" w:eastAsia="宋体" w:hAnsi="Times New Roman" w:cs="Times New Roman" w:hint="eastAsia"/>
          <w:b/>
          <w:bCs/>
          <w:i/>
          <w:iCs/>
          <w:kern w:val="36"/>
          <w:sz w:val="24"/>
          <w:szCs w:val="24"/>
        </w:rPr>
        <w:t>S1 (SI).</w:t>
      </w:r>
      <w:r>
        <w:rPr>
          <w:rFonts w:ascii="Times New Roman" w:eastAsia="宋体" w:hAnsi="Times New Roman" w:cs="Times New Roman"/>
          <w:b/>
          <w:bCs/>
          <w:i/>
          <w:iCs/>
          <w:kern w:val="36"/>
          <w:sz w:val="24"/>
          <w:szCs w:val="24"/>
        </w:rPr>
        <w:t xml:space="preserve"> Sample Student Work (T0 vs. T2, De-identified)</w:t>
      </w:r>
    </w:p>
    <w:p w14:paraId="2A9A9A4D" w14:textId="77777777" w:rsidR="006132FB" w:rsidRDefault="004B21E9">
      <w:pPr>
        <w:widowControl/>
        <w:spacing w:before="100" w:beforeAutospacing="1" w:after="100" w:afterAutospacing="1"/>
        <w:jc w:val="left"/>
        <w:rPr>
          <w:rFonts w:ascii="Times New Roman" w:eastAsia="宋体" w:hAnsi="Times New Roman" w:cs="Times New Roman"/>
          <w:kern w:val="0"/>
          <w:sz w:val="20"/>
          <w:szCs w:val="20"/>
        </w:rPr>
      </w:pPr>
      <w:r>
        <w:rPr>
          <w:rFonts w:ascii="Times New Roman" w:eastAsia="宋体" w:hAnsi="Times New Roman" w:cs="Times New Roman"/>
          <w:b/>
          <w:bCs/>
          <w:kern w:val="0"/>
          <w:sz w:val="20"/>
          <w:szCs w:val="20"/>
        </w:rPr>
        <w:t>Purpose.</w:t>
      </w:r>
      <w:r>
        <w:rPr>
          <w:rFonts w:ascii="Times New Roman" w:eastAsia="宋体" w:hAnsi="Times New Roman" w:cs="Times New Roman"/>
          <w:kern w:val="0"/>
          <w:sz w:val="20"/>
          <w:szCs w:val="20"/>
        </w:rPr>
        <w:t xml:space="preserve"> To illustrate how formative assessment and project-based organization address the problem of “missing evaluation,” we compare baseline (T0) and post-intervention (T2) laboratory reports. The contrast showcases qualitative evidence of evidence-chain constr</w:t>
      </w:r>
      <w:r>
        <w:rPr>
          <w:rFonts w:ascii="Times New Roman" w:eastAsia="宋体" w:hAnsi="Times New Roman" w:cs="Times New Roman"/>
          <w:kern w:val="0"/>
          <w:sz w:val="20"/>
          <w:szCs w:val="20"/>
        </w:rPr>
        <w:t xml:space="preserve">uction and supports the </w:t>
      </w:r>
      <w:r>
        <w:rPr>
          <w:rFonts w:ascii="Times New Roman" w:eastAsia="宋体" w:hAnsi="Times New Roman" w:cs="Times New Roman"/>
          <w:b/>
          <w:bCs/>
          <w:kern w:val="0"/>
          <w:sz w:val="20"/>
          <w:szCs w:val="20"/>
        </w:rPr>
        <w:t>Evidence</w:t>
      </w:r>
      <w:r>
        <w:rPr>
          <w:rFonts w:ascii="Times New Roman" w:eastAsia="宋体" w:hAnsi="Times New Roman" w:cs="Times New Roman"/>
          <w:kern w:val="0"/>
          <w:sz w:val="20"/>
          <w:szCs w:val="20"/>
        </w:rPr>
        <w:t xml:space="preserve"> dimension in the SERG model.</w:t>
      </w:r>
    </w:p>
    <w:p w14:paraId="0DDBF92A" w14:textId="77777777" w:rsidR="006132FB" w:rsidRDefault="004B21E9">
      <w:pPr>
        <w:widowControl/>
        <w:spacing w:before="100" w:beforeAutospacing="1" w:after="100" w:afterAutospacing="1"/>
        <w:jc w:val="left"/>
        <w:rPr>
          <w:rFonts w:ascii="Times New Roman" w:eastAsia="宋体" w:hAnsi="Times New Roman" w:cs="Times New Roman"/>
          <w:kern w:val="0"/>
          <w:sz w:val="20"/>
          <w:szCs w:val="20"/>
        </w:rPr>
      </w:pPr>
      <w:r>
        <w:rPr>
          <w:rFonts w:ascii="Times New Roman" w:eastAsia="宋体" w:hAnsi="Times New Roman" w:cs="Times New Roman"/>
          <w:b/>
          <w:bCs/>
          <w:kern w:val="0"/>
          <w:sz w:val="20"/>
          <w:szCs w:val="20"/>
        </w:rPr>
        <w:t>Sample selection.</w:t>
      </w:r>
      <w:r>
        <w:rPr>
          <w:rFonts w:ascii="Times New Roman" w:eastAsia="宋体" w:hAnsi="Times New Roman" w:cs="Times New Roman"/>
          <w:kern w:val="0"/>
          <w:sz w:val="20"/>
          <w:szCs w:val="20"/>
        </w:rPr>
        <w:t xml:space="preserve"> Two de-identified reports from the experimental group (EG) are randomly selected for the HPLC experiment: one at </w:t>
      </w:r>
      <w:r>
        <w:rPr>
          <w:rFonts w:ascii="Times New Roman" w:eastAsia="宋体" w:hAnsi="Times New Roman" w:cs="Times New Roman"/>
          <w:b/>
          <w:bCs/>
          <w:kern w:val="0"/>
          <w:sz w:val="20"/>
          <w:szCs w:val="20"/>
        </w:rPr>
        <w:t>T0</w:t>
      </w:r>
      <w:r>
        <w:rPr>
          <w:rFonts w:ascii="Times New Roman" w:eastAsia="宋体" w:hAnsi="Times New Roman" w:cs="Times New Roman"/>
          <w:kern w:val="0"/>
          <w:sz w:val="20"/>
          <w:szCs w:val="20"/>
        </w:rPr>
        <w:t xml:space="preserve"> (before intervention, without rubrics and AI process map) an</w:t>
      </w:r>
      <w:r>
        <w:rPr>
          <w:rFonts w:ascii="Times New Roman" w:eastAsia="宋体" w:hAnsi="Times New Roman" w:cs="Times New Roman"/>
          <w:kern w:val="0"/>
          <w:sz w:val="20"/>
          <w:szCs w:val="20"/>
        </w:rPr>
        <w:t xml:space="preserve">d one at </w:t>
      </w:r>
      <w:r>
        <w:rPr>
          <w:rFonts w:ascii="Times New Roman" w:eastAsia="宋体" w:hAnsi="Times New Roman" w:cs="Times New Roman"/>
          <w:b/>
          <w:bCs/>
          <w:kern w:val="0"/>
          <w:sz w:val="20"/>
          <w:szCs w:val="20"/>
        </w:rPr>
        <w:t>T2</w:t>
      </w:r>
      <w:r>
        <w:rPr>
          <w:rFonts w:ascii="Times New Roman" w:eastAsia="宋体" w:hAnsi="Times New Roman" w:cs="Times New Roman"/>
          <w:kern w:val="0"/>
          <w:sz w:val="20"/>
          <w:szCs w:val="20"/>
        </w:rPr>
        <w:t xml:space="preserve"> (after intervention, with embedded formative assessment and a project-based unit). All samples were processed for </w:t>
      </w:r>
      <w:r>
        <w:rPr>
          <w:rFonts w:ascii="Times New Roman" w:eastAsia="宋体" w:hAnsi="Times New Roman" w:cs="Times New Roman"/>
          <w:b/>
          <w:bCs/>
          <w:kern w:val="0"/>
          <w:sz w:val="20"/>
          <w:szCs w:val="20"/>
        </w:rPr>
        <w:t>FERPA/GDPR</w:t>
      </w:r>
      <w:r>
        <w:rPr>
          <w:rFonts w:ascii="Times New Roman" w:eastAsia="宋体" w:hAnsi="Times New Roman" w:cs="Times New Roman"/>
          <w:kern w:val="0"/>
          <w:sz w:val="20"/>
          <w:szCs w:val="20"/>
        </w:rPr>
        <w:t xml:space="preserve"> compliance; personally identifiable information was removed.</w:t>
      </w:r>
    </w:p>
    <w:p w14:paraId="4AF2896D" w14:textId="77777777" w:rsidR="006132FB" w:rsidRDefault="004B21E9">
      <w:pPr>
        <w:widowControl/>
        <w:spacing w:before="100" w:beforeAutospacing="1" w:after="100" w:afterAutospacing="1"/>
        <w:jc w:val="left"/>
        <w:outlineLvl w:val="1"/>
        <w:rPr>
          <w:rFonts w:ascii="Times New Roman" w:eastAsia="宋体" w:hAnsi="Times New Roman" w:cs="Times New Roman"/>
          <w:b/>
          <w:bCs/>
          <w:kern w:val="0"/>
          <w:sz w:val="20"/>
          <w:szCs w:val="20"/>
        </w:rPr>
      </w:pPr>
      <w:r>
        <w:rPr>
          <w:rFonts w:ascii="Times New Roman" w:eastAsia="宋体" w:hAnsi="Times New Roman" w:cs="Times New Roman"/>
          <w:b/>
          <w:bCs/>
          <w:kern w:val="0"/>
          <w:sz w:val="20"/>
          <w:szCs w:val="20"/>
        </w:rPr>
        <w:t>T0 Sample (Baseline)</w:t>
      </w:r>
    </w:p>
    <w:p w14:paraId="558EEF87" w14:textId="77777777" w:rsidR="006132FB" w:rsidRDefault="004B21E9">
      <w:pPr>
        <w:widowControl/>
        <w:spacing w:before="100" w:beforeAutospacing="1" w:after="100" w:afterAutospacing="1"/>
        <w:jc w:val="left"/>
        <w:rPr>
          <w:rFonts w:ascii="Times New Roman" w:eastAsia="宋体" w:hAnsi="Times New Roman" w:cs="Times New Roman"/>
          <w:kern w:val="0"/>
          <w:sz w:val="20"/>
          <w:szCs w:val="20"/>
        </w:rPr>
      </w:pPr>
      <w:r>
        <w:rPr>
          <w:rFonts w:ascii="Times New Roman" w:eastAsia="宋体" w:hAnsi="Times New Roman" w:cs="Times New Roman"/>
          <w:b/>
          <w:bCs/>
          <w:kern w:val="0"/>
          <w:sz w:val="20"/>
          <w:szCs w:val="20"/>
        </w:rPr>
        <w:t>Excerpt.</w:t>
      </w:r>
      <w:r>
        <w:rPr>
          <w:rFonts w:ascii="Times New Roman" w:eastAsia="宋体" w:hAnsi="Times New Roman" w:cs="Times New Roman"/>
          <w:kern w:val="0"/>
          <w:sz w:val="20"/>
          <w:szCs w:val="20"/>
        </w:rPr>
        <w:br/>
        <w:t>“Measured sample concentrati</w:t>
      </w:r>
      <w:r>
        <w:rPr>
          <w:rFonts w:ascii="Times New Roman" w:eastAsia="宋体" w:hAnsi="Times New Roman" w:cs="Times New Roman"/>
          <w:kern w:val="0"/>
          <w:sz w:val="20"/>
          <w:szCs w:val="20"/>
        </w:rPr>
        <w:t>on; obtained peak areas: 0.234, 0.245, 0.251. Calculated concentration is 0.05 mol/L. The experiment was successful and the data are reliable.”</w:t>
      </w:r>
    </w:p>
    <w:p w14:paraId="6787F6CA" w14:textId="77777777" w:rsidR="006132FB" w:rsidRDefault="004B21E9">
      <w:pPr>
        <w:widowControl/>
        <w:spacing w:before="100" w:beforeAutospacing="1" w:after="100" w:afterAutospacing="1"/>
        <w:jc w:val="left"/>
        <w:rPr>
          <w:rFonts w:ascii="Times New Roman" w:eastAsia="宋体" w:hAnsi="Times New Roman" w:cs="Times New Roman"/>
          <w:kern w:val="0"/>
          <w:sz w:val="20"/>
          <w:szCs w:val="20"/>
        </w:rPr>
      </w:pPr>
      <w:r>
        <w:rPr>
          <w:rFonts w:ascii="Times New Roman" w:eastAsia="宋体" w:hAnsi="Times New Roman" w:cs="Times New Roman"/>
          <w:b/>
          <w:bCs/>
          <w:kern w:val="0"/>
          <w:sz w:val="20"/>
          <w:szCs w:val="20"/>
        </w:rPr>
        <w:t>Characteristics.</w:t>
      </w:r>
    </w:p>
    <w:p w14:paraId="6613A109" w14:textId="77777777" w:rsidR="006132FB" w:rsidRDefault="004B21E9">
      <w:pPr>
        <w:widowControl/>
        <w:numPr>
          <w:ilvl w:val="0"/>
          <w:numId w:val="1"/>
        </w:numPr>
        <w:spacing w:before="100" w:beforeAutospacing="1" w:after="100" w:afterAutospacing="1"/>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Loosely structured: lists data and a conclusion, but lacks method description, uncertainty anal</w:t>
      </w:r>
      <w:r>
        <w:rPr>
          <w:rFonts w:ascii="Times New Roman" w:eastAsia="宋体" w:hAnsi="Times New Roman" w:cs="Times New Roman"/>
          <w:kern w:val="0"/>
          <w:sz w:val="20"/>
          <w:szCs w:val="20"/>
        </w:rPr>
        <w:t>ysis, and reflection.</w:t>
      </w:r>
    </w:p>
    <w:p w14:paraId="1A15C790" w14:textId="77777777" w:rsidR="006132FB" w:rsidRDefault="004B21E9">
      <w:pPr>
        <w:widowControl/>
        <w:numPr>
          <w:ilvl w:val="0"/>
          <w:numId w:val="1"/>
        </w:numPr>
        <w:spacing w:before="100" w:beforeAutospacing="1" w:after="100" w:afterAutospacing="1"/>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No discussion of error sources or propagation; the evidence chain is incomplete.</w:t>
      </w:r>
    </w:p>
    <w:p w14:paraId="18DBF6A3" w14:textId="77777777" w:rsidR="006132FB" w:rsidRDefault="004B21E9">
      <w:pPr>
        <w:widowControl/>
        <w:numPr>
          <w:ilvl w:val="0"/>
          <w:numId w:val="1"/>
        </w:numPr>
        <w:spacing w:before="100" w:beforeAutospacing="1" w:after="100" w:afterAutospacing="1"/>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Reveals the “missing evaluation” issue: the report stops at results without evidence-based explanation.</w:t>
      </w:r>
    </w:p>
    <w:p w14:paraId="49919B9D" w14:textId="77777777" w:rsidR="006132FB" w:rsidRDefault="004B21E9">
      <w:pPr>
        <w:widowControl/>
        <w:spacing w:before="100" w:beforeAutospacing="1" w:after="100" w:afterAutospacing="1"/>
        <w:jc w:val="left"/>
        <w:outlineLvl w:val="1"/>
        <w:rPr>
          <w:rFonts w:ascii="Times New Roman" w:eastAsia="宋体" w:hAnsi="Times New Roman" w:cs="Times New Roman"/>
          <w:b/>
          <w:bCs/>
          <w:kern w:val="0"/>
          <w:sz w:val="20"/>
          <w:szCs w:val="20"/>
        </w:rPr>
      </w:pPr>
      <w:r>
        <w:rPr>
          <w:rFonts w:ascii="Times New Roman" w:eastAsia="宋体" w:hAnsi="Times New Roman" w:cs="Times New Roman"/>
          <w:b/>
          <w:bCs/>
          <w:kern w:val="0"/>
          <w:sz w:val="20"/>
          <w:szCs w:val="20"/>
        </w:rPr>
        <w:t>T2 Sample (Posttest)</w:t>
      </w:r>
    </w:p>
    <w:p w14:paraId="720BAC0D" w14:textId="77777777" w:rsidR="006132FB" w:rsidRDefault="004B21E9">
      <w:pPr>
        <w:widowControl/>
        <w:spacing w:before="100" w:beforeAutospacing="1" w:after="100" w:afterAutospacing="1"/>
        <w:jc w:val="left"/>
        <w:rPr>
          <w:rFonts w:ascii="Times New Roman" w:eastAsia="宋体" w:hAnsi="Times New Roman" w:cs="Times New Roman"/>
          <w:kern w:val="0"/>
          <w:sz w:val="20"/>
          <w:szCs w:val="20"/>
        </w:rPr>
      </w:pPr>
      <w:r>
        <w:rPr>
          <w:rFonts w:ascii="Times New Roman" w:eastAsia="宋体" w:hAnsi="Times New Roman" w:cs="Times New Roman"/>
          <w:b/>
          <w:bCs/>
          <w:kern w:val="0"/>
          <w:sz w:val="20"/>
          <w:szCs w:val="20"/>
        </w:rPr>
        <w:t>Excerpt.</w:t>
      </w:r>
      <w:r>
        <w:rPr>
          <w:rFonts w:ascii="Times New Roman" w:eastAsia="宋体" w:hAnsi="Times New Roman" w:cs="Times New Roman"/>
          <w:kern w:val="0"/>
          <w:sz w:val="20"/>
          <w:szCs w:val="20"/>
        </w:rPr>
        <w:br/>
        <w:t>“</w:t>
      </w:r>
      <w:r>
        <w:rPr>
          <w:rFonts w:ascii="Times New Roman" w:eastAsia="宋体" w:hAnsi="Times New Roman" w:cs="Times New Roman"/>
          <w:b/>
          <w:bCs/>
          <w:kern w:val="0"/>
          <w:sz w:val="20"/>
          <w:szCs w:val="20"/>
        </w:rPr>
        <w:t>Objective:</w:t>
      </w:r>
      <w:r>
        <w:rPr>
          <w:rFonts w:ascii="Times New Roman" w:eastAsia="宋体" w:hAnsi="Times New Roman" w:cs="Times New Roman"/>
          <w:kern w:val="0"/>
          <w:sz w:val="20"/>
          <w:szCs w:val="20"/>
        </w:rPr>
        <w:t xml:space="preserve"> Determi</w:t>
      </w:r>
      <w:r>
        <w:rPr>
          <w:rFonts w:ascii="Times New Roman" w:eastAsia="宋体" w:hAnsi="Times New Roman" w:cs="Times New Roman"/>
          <w:kern w:val="0"/>
          <w:sz w:val="20"/>
          <w:szCs w:val="20"/>
        </w:rPr>
        <w:t xml:space="preserve">ne sample concentration by HPLC and verify method reliability. </w:t>
      </w:r>
      <w:r>
        <w:rPr>
          <w:rFonts w:ascii="Times New Roman" w:eastAsia="宋体" w:hAnsi="Times New Roman" w:cs="Times New Roman"/>
          <w:b/>
          <w:bCs/>
          <w:kern w:val="0"/>
          <w:sz w:val="20"/>
          <w:szCs w:val="20"/>
        </w:rPr>
        <w:t>Method:</w:t>
      </w:r>
      <w:r>
        <w:rPr>
          <w:rFonts w:ascii="Times New Roman" w:eastAsia="宋体" w:hAnsi="Times New Roman" w:cs="Times New Roman"/>
          <w:kern w:val="0"/>
          <w:sz w:val="20"/>
          <w:szCs w:val="20"/>
        </w:rPr>
        <w:t xml:space="preserve"> C18 column, flow rate 1.0 mL/min, detection at 254 nm, three replicates; peak areas 0.234 ± 0.005, 0.245 ± 0.004, 0.251 ± 0.006. </w:t>
      </w:r>
      <w:r>
        <w:rPr>
          <w:rFonts w:ascii="Times New Roman" w:eastAsia="宋体" w:hAnsi="Times New Roman" w:cs="Times New Roman"/>
          <w:b/>
          <w:bCs/>
          <w:kern w:val="0"/>
          <w:sz w:val="20"/>
          <w:szCs w:val="20"/>
        </w:rPr>
        <w:t>Data processing:</w:t>
      </w:r>
      <w:r>
        <w:rPr>
          <w:rFonts w:ascii="Times New Roman" w:eastAsia="宋体" w:hAnsi="Times New Roman" w:cs="Times New Roman"/>
          <w:kern w:val="0"/>
          <w:sz w:val="20"/>
          <w:szCs w:val="20"/>
        </w:rPr>
        <w:t xml:space="preserve"> Linear regression (R² = 0.998); concent</w:t>
      </w:r>
      <w:r>
        <w:rPr>
          <w:rFonts w:ascii="Times New Roman" w:eastAsia="宋体" w:hAnsi="Times New Roman" w:cs="Times New Roman"/>
          <w:kern w:val="0"/>
          <w:sz w:val="20"/>
          <w:szCs w:val="20"/>
        </w:rPr>
        <w:t xml:space="preserve">ration 0.050 ± 0.002 mol/L. </w:t>
      </w:r>
      <w:r>
        <w:rPr>
          <w:rFonts w:ascii="Times New Roman" w:eastAsia="宋体" w:hAnsi="Times New Roman" w:cs="Times New Roman"/>
          <w:b/>
          <w:bCs/>
          <w:kern w:val="0"/>
          <w:sz w:val="20"/>
          <w:szCs w:val="20"/>
        </w:rPr>
        <w:t>Uncertainty analysis:</w:t>
      </w:r>
      <w:r>
        <w:rPr>
          <w:rFonts w:ascii="Times New Roman" w:eastAsia="宋体" w:hAnsi="Times New Roman" w:cs="Times New Roman"/>
          <w:kern w:val="0"/>
          <w:sz w:val="20"/>
          <w:szCs w:val="20"/>
        </w:rPr>
        <w:t xml:space="preserve"> Major contributors are injection volume (±0.1 </w:t>
      </w:r>
      <w:proofErr w:type="spellStart"/>
      <w:r>
        <w:rPr>
          <w:rFonts w:ascii="Times New Roman" w:eastAsia="宋体" w:hAnsi="Times New Roman" w:cs="Times New Roman"/>
          <w:kern w:val="0"/>
          <w:sz w:val="20"/>
          <w:szCs w:val="20"/>
        </w:rPr>
        <w:t>μL</w:t>
      </w:r>
      <w:proofErr w:type="spellEnd"/>
      <w:r>
        <w:rPr>
          <w:rFonts w:ascii="Times New Roman" w:eastAsia="宋体" w:hAnsi="Times New Roman" w:cs="Times New Roman"/>
          <w:kern w:val="0"/>
          <w:sz w:val="20"/>
          <w:szCs w:val="20"/>
        </w:rPr>
        <w:t xml:space="preserve">, 70%) and instrument precision (±0.005 AU, 25%). </w:t>
      </w:r>
      <w:r>
        <w:rPr>
          <w:rFonts w:ascii="Times New Roman" w:eastAsia="宋体" w:hAnsi="Times New Roman" w:cs="Times New Roman"/>
          <w:b/>
          <w:bCs/>
          <w:kern w:val="0"/>
          <w:sz w:val="20"/>
          <w:szCs w:val="20"/>
        </w:rPr>
        <w:t>Conclusion:</w:t>
      </w:r>
      <w:r>
        <w:rPr>
          <w:rFonts w:ascii="Times New Roman" w:eastAsia="宋体" w:hAnsi="Times New Roman" w:cs="Times New Roman"/>
          <w:kern w:val="0"/>
          <w:sz w:val="20"/>
          <w:szCs w:val="20"/>
        </w:rPr>
        <w:t xml:space="preserve"> Result is reliable; 95% CI = 0.048–0.052 mol/L. </w:t>
      </w:r>
      <w:r>
        <w:rPr>
          <w:rFonts w:ascii="Times New Roman" w:eastAsia="宋体" w:hAnsi="Times New Roman" w:cs="Times New Roman"/>
          <w:b/>
          <w:bCs/>
          <w:kern w:val="0"/>
          <w:sz w:val="20"/>
          <w:szCs w:val="20"/>
        </w:rPr>
        <w:t>Reflection:</w:t>
      </w:r>
      <w:r>
        <w:rPr>
          <w:rFonts w:ascii="Times New Roman" w:eastAsia="宋体" w:hAnsi="Times New Roman" w:cs="Times New Roman"/>
          <w:kern w:val="0"/>
          <w:sz w:val="20"/>
          <w:szCs w:val="20"/>
        </w:rPr>
        <w:t xml:space="preserve"> Improve injection precision to reduce uncertainty.”</w:t>
      </w:r>
    </w:p>
    <w:p w14:paraId="44D45CA4" w14:textId="77777777" w:rsidR="006132FB" w:rsidRDefault="004B21E9">
      <w:pPr>
        <w:widowControl/>
        <w:spacing w:before="100" w:beforeAutospacing="1" w:after="100" w:afterAutospacing="1"/>
        <w:jc w:val="left"/>
        <w:rPr>
          <w:rFonts w:ascii="Times New Roman" w:eastAsia="宋体" w:hAnsi="Times New Roman" w:cs="Times New Roman"/>
          <w:kern w:val="0"/>
          <w:sz w:val="20"/>
          <w:szCs w:val="20"/>
        </w:rPr>
      </w:pPr>
      <w:r>
        <w:rPr>
          <w:rFonts w:ascii="Times New Roman" w:eastAsia="宋体" w:hAnsi="Times New Roman" w:cs="Times New Roman"/>
          <w:b/>
          <w:bCs/>
          <w:kern w:val="0"/>
          <w:sz w:val="20"/>
          <w:szCs w:val="20"/>
        </w:rPr>
        <w:t>Characteristics.</w:t>
      </w:r>
    </w:p>
    <w:p w14:paraId="21F2EB67" w14:textId="77777777" w:rsidR="006132FB" w:rsidRDefault="004B21E9">
      <w:pPr>
        <w:widowControl/>
        <w:numPr>
          <w:ilvl w:val="0"/>
          <w:numId w:val="2"/>
        </w:numPr>
        <w:spacing w:before="100" w:beforeAutospacing="1" w:after="100" w:afterAutospacing="1"/>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Structured presentation (objective—method—data—uncertainty—conclusion—reflection) aligned with the rubric.</w:t>
      </w:r>
    </w:p>
    <w:p w14:paraId="7F3D9080" w14:textId="77777777" w:rsidR="006132FB" w:rsidRDefault="004B21E9">
      <w:pPr>
        <w:widowControl/>
        <w:numPr>
          <w:ilvl w:val="0"/>
          <w:numId w:val="2"/>
        </w:numPr>
        <w:spacing w:before="100" w:beforeAutospacing="1" w:after="100" w:afterAutospacing="1"/>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Includes uncertainty sources, quantitative estimates, and propagation; the evid</w:t>
      </w:r>
      <w:r>
        <w:rPr>
          <w:rFonts w:ascii="Times New Roman" w:eastAsia="宋体" w:hAnsi="Times New Roman" w:cs="Times New Roman"/>
          <w:kern w:val="0"/>
          <w:sz w:val="20"/>
          <w:szCs w:val="20"/>
        </w:rPr>
        <w:t>ence chain is complete.</w:t>
      </w:r>
    </w:p>
    <w:p w14:paraId="0883436F" w14:textId="77777777" w:rsidR="006132FB" w:rsidRDefault="004B21E9">
      <w:pPr>
        <w:widowControl/>
        <w:numPr>
          <w:ilvl w:val="0"/>
          <w:numId w:val="2"/>
        </w:numPr>
        <w:spacing w:before="100" w:beforeAutospacing="1" w:after="100" w:afterAutospacing="1"/>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lastRenderedPageBreak/>
        <w:t>Shows AI-assisted analysis (e.g., fitting and visualization), enabling assessment-driven learning and mitigating the “missing evaluation” problem.</w:t>
      </w:r>
    </w:p>
    <w:p w14:paraId="2EBEA48F" w14:textId="77777777" w:rsidR="006132FB" w:rsidRDefault="004B21E9">
      <w:pPr>
        <w:widowControl/>
        <w:spacing w:before="100" w:beforeAutospacing="1" w:after="100" w:afterAutospacing="1"/>
        <w:jc w:val="left"/>
        <w:outlineLvl w:val="1"/>
        <w:rPr>
          <w:rFonts w:ascii="Times New Roman" w:eastAsia="宋体" w:hAnsi="Times New Roman" w:cs="Times New Roman"/>
          <w:b/>
          <w:bCs/>
          <w:kern w:val="0"/>
          <w:sz w:val="20"/>
          <w:szCs w:val="20"/>
        </w:rPr>
      </w:pPr>
      <w:r>
        <w:rPr>
          <w:rFonts w:ascii="Times New Roman" w:eastAsia="宋体" w:hAnsi="Times New Roman" w:cs="Times New Roman"/>
          <w:b/>
          <w:bCs/>
          <w:kern w:val="0"/>
          <w:sz w:val="20"/>
          <w:szCs w:val="20"/>
        </w:rPr>
        <w:t>Comparative Analysis</w:t>
      </w:r>
    </w:p>
    <w:p w14:paraId="62BBD45E" w14:textId="77777777" w:rsidR="006132FB" w:rsidRDefault="004B21E9">
      <w:pPr>
        <w:widowControl/>
        <w:spacing w:before="100" w:beforeAutospacing="1" w:after="100" w:afterAutospacing="1"/>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The </w:t>
      </w:r>
      <w:r>
        <w:rPr>
          <w:rFonts w:ascii="Times New Roman" w:eastAsia="宋体" w:hAnsi="Times New Roman" w:cs="Times New Roman"/>
          <w:b/>
          <w:bCs/>
          <w:kern w:val="0"/>
          <w:sz w:val="20"/>
          <w:szCs w:val="20"/>
        </w:rPr>
        <w:t>T0</w:t>
      </w:r>
      <w:r>
        <w:rPr>
          <w:rFonts w:ascii="Times New Roman" w:eastAsia="宋体" w:hAnsi="Times New Roman" w:cs="Times New Roman"/>
          <w:kern w:val="0"/>
          <w:sz w:val="20"/>
          <w:szCs w:val="20"/>
        </w:rPr>
        <w:t xml:space="preserve"> sample reflects “misalignment” and “missing evaluation,” </w:t>
      </w:r>
      <w:r>
        <w:rPr>
          <w:rFonts w:ascii="Times New Roman" w:eastAsia="宋体" w:hAnsi="Times New Roman" w:cs="Times New Roman"/>
          <w:kern w:val="0"/>
          <w:sz w:val="20"/>
          <w:szCs w:val="20"/>
        </w:rPr>
        <w:t xml:space="preserve">focusing on outcomes without integrating technique and disciplinary reasoning. The </w:t>
      </w:r>
      <w:r>
        <w:rPr>
          <w:rFonts w:ascii="Times New Roman" w:eastAsia="宋体" w:hAnsi="Times New Roman" w:cs="Times New Roman"/>
          <w:b/>
          <w:bCs/>
          <w:kern w:val="0"/>
          <w:sz w:val="20"/>
          <w:szCs w:val="20"/>
        </w:rPr>
        <w:t>T2</w:t>
      </w:r>
      <w:r>
        <w:rPr>
          <w:rFonts w:ascii="Times New Roman" w:eastAsia="宋体" w:hAnsi="Times New Roman" w:cs="Times New Roman"/>
          <w:kern w:val="0"/>
          <w:sz w:val="20"/>
          <w:szCs w:val="20"/>
        </w:rPr>
        <w:t xml:space="preserve"> sample—organized through high-quality project-based learning and guided by formative rubrics—substantially improves the evidence chain and demonstrates AI as an </w:t>
      </w:r>
      <w:r>
        <w:rPr>
          <w:rFonts w:ascii="Times New Roman" w:eastAsia="宋体" w:hAnsi="Times New Roman" w:cs="Times New Roman"/>
          <w:b/>
          <w:bCs/>
          <w:kern w:val="0"/>
          <w:sz w:val="20"/>
          <w:szCs w:val="20"/>
        </w:rPr>
        <w:t>amplifier</w:t>
      </w:r>
      <w:r>
        <w:rPr>
          <w:rFonts w:ascii="Times New Roman" w:eastAsia="宋体" w:hAnsi="Times New Roman" w:cs="Times New Roman"/>
          <w:kern w:val="0"/>
          <w:sz w:val="20"/>
          <w:szCs w:val="20"/>
        </w:rPr>
        <w:t xml:space="preserve"> for data analysis and reflection, supporting the </w:t>
      </w:r>
      <w:r>
        <w:rPr>
          <w:rFonts w:ascii="Times New Roman" w:eastAsia="宋体" w:hAnsi="Times New Roman" w:cs="Times New Roman"/>
          <w:b/>
          <w:bCs/>
          <w:kern w:val="0"/>
          <w:sz w:val="20"/>
          <w:szCs w:val="20"/>
        </w:rPr>
        <w:t>Evidence</w:t>
      </w:r>
      <w:r>
        <w:rPr>
          <w:rFonts w:ascii="Times New Roman" w:eastAsia="宋体" w:hAnsi="Times New Roman" w:cs="Times New Roman"/>
          <w:kern w:val="0"/>
          <w:sz w:val="20"/>
          <w:szCs w:val="20"/>
        </w:rPr>
        <w:t xml:space="preserve"> and </w:t>
      </w:r>
      <w:r>
        <w:rPr>
          <w:rFonts w:ascii="Times New Roman" w:eastAsia="宋体" w:hAnsi="Times New Roman" w:cs="Times New Roman"/>
          <w:b/>
          <w:bCs/>
          <w:kern w:val="0"/>
          <w:sz w:val="20"/>
          <w:szCs w:val="20"/>
        </w:rPr>
        <w:t>Growth</w:t>
      </w:r>
      <w:r>
        <w:rPr>
          <w:rFonts w:ascii="Times New Roman" w:eastAsia="宋体" w:hAnsi="Times New Roman" w:cs="Times New Roman"/>
          <w:kern w:val="0"/>
          <w:sz w:val="20"/>
          <w:szCs w:val="20"/>
        </w:rPr>
        <w:t xml:space="preserve"> dimensions of SERG.</w:t>
      </w:r>
    </w:p>
    <w:p w14:paraId="5D3D9E03" w14:textId="77777777" w:rsidR="006132FB" w:rsidRDefault="006132FB">
      <w:pPr>
        <w:rPr>
          <w:rFonts w:ascii="Times New Roman" w:hAnsi="Times New Roman" w:cs="Times New Roman"/>
        </w:rPr>
      </w:pPr>
    </w:p>
    <w:p w14:paraId="72BA0F9B" w14:textId="77777777" w:rsidR="006132FB" w:rsidRDefault="004B21E9">
      <w:pPr>
        <w:pStyle w:val="1"/>
        <w:rPr>
          <w:rFonts w:ascii="Times New Roman" w:hAnsi="Times New Roman" w:cs="Times New Roman"/>
          <w:i/>
          <w:iCs/>
          <w:sz w:val="24"/>
          <w:szCs w:val="24"/>
        </w:rPr>
      </w:pPr>
      <w:r>
        <w:rPr>
          <w:rFonts w:ascii="Times New Roman" w:hAnsi="Times New Roman" w:cs="Times New Roman"/>
          <w:i/>
          <w:iCs/>
          <w:sz w:val="24"/>
          <w:szCs w:val="24"/>
        </w:rPr>
        <w:t xml:space="preserve">Appendix </w:t>
      </w:r>
      <w:r>
        <w:rPr>
          <w:rFonts w:ascii="Times New Roman" w:hAnsi="Times New Roman" w:cs="Times New Roman" w:hint="eastAsia"/>
          <w:i/>
          <w:iCs/>
          <w:sz w:val="24"/>
          <w:szCs w:val="24"/>
        </w:rPr>
        <w:t>S</w:t>
      </w:r>
      <w:r>
        <w:rPr>
          <w:rFonts w:ascii="Times New Roman" w:hAnsi="Times New Roman" w:cs="Times New Roman" w:hint="eastAsia"/>
          <w:i/>
          <w:iCs/>
          <w:sz w:val="24"/>
          <w:szCs w:val="24"/>
        </w:rPr>
        <w:t>2</w:t>
      </w:r>
      <w:r>
        <w:rPr>
          <w:rFonts w:ascii="Times New Roman" w:hAnsi="Times New Roman" w:cs="Times New Roman" w:hint="eastAsia"/>
          <w:i/>
          <w:iCs/>
          <w:sz w:val="24"/>
          <w:szCs w:val="24"/>
        </w:rPr>
        <w:t xml:space="preserve"> (SI).</w:t>
      </w:r>
      <w:r>
        <w:rPr>
          <w:rFonts w:ascii="Times New Roman" w:hAnsi="Times New Roman" w:cs="Times New Roman"/>
          <w:i/>
          <w:iCs/>
          <w:sz w:val="24"/>
          <w:szCs w:val="24"/>
        </w:rPr>
        <w:t xml:space="preserve"> Interview Coding Themes</w:t>
      </w:r>
    </w:p>
    <w:p w14:paraId="66F5905D" w14:textId="77777777" w:rsidR="006132FB" w:rsidRDefault="004B21E9">
      <w:pPr>
        <w:pStyle w:val="a3"/>
        <w:rPr>
          <w:rFonts w:ascii="Times New Roman" w:hAnsi="Times New Roman" w:cs="Times New Roman"/>
          <w:sz w:val="20"/>
          <w:szCs w:val="20"/>
        </w:rPr>
      </w:pPr>
      <w:r>
        <w:rPr>
          <w:rStyle w:val="a4"/>
          <w:rFonts w:ascii="Times New Roman" w:hAnsi="Times New Roman" w:cs="Times New Roman"/>
          <w:sz w:val="20"/>
          <w:szCs w:val="20"/>
        </w:rPr>
        <w:t>Purpose.</w:t>
      </w:r>
      <w:r>
        <w:rPr>
          <w:rFonts w:ascii="Times New Roman" w:hAnsi="Times New Roman" w:cs="Times New Roman"/>
          <w:sz w:val="20"/>
          <w:szCs w:val="20"/>
        </w:rPr>
        <w:t xml:space="preserve"> Through thematic coding of semi-structured interviews, this appendix reveals how teachers and students perceived the intervention, supplements quantitative findings, explains mechanisms for addressing the three challenges (misalignment, instability, missi</w:t>
      </w:r>
      <w:r>
        <w:rPr>
          <w:rFonts w:ascii="Times New Roman" w:hAnsi="Times New Roman" w:cs="Times New Roman"/>
          <w:sz w:val="20"/>
          <w:szCs w:val="20"/>
        </w:rPr>
        <w:t xml:space="preserve">ng evaluation), and supports the </w:t>
      </w:r>
      <w:r>
        <w:rPr>
          <w:rStyle w:val="a4"/>
          <w:rFonts w:ascii="Times New Roman" w:hAnsi="Times New Roman" w:cs="Times New Roman"/>
          <w:sz w:val="20"/>
          <w:szCs w:val="20"/>
        </w:rPr>
        <w:t>Reusability</w:t>
      </w:r>
      <w:r>
        <w:rPr>
          <w:rFonts w:ascii="Times New Roman" w:hAnsi="Times New Roman" w:cs="Times New Roman"/>
          <w:sz w:val="20"/>
          <w:szCs w:val="20"/>
        </w:rPr>
        <w:t xml:space="preserve"> and </w:t>
      </w:r>
      <w:r>
        <w:rPr>
          <w:rStyle w:val="a4"/>
          <w:rFonts w:ascii="Times New Roman" w:hAnsi="Times New Roman" w:cs="Times New Roman"/>
          <w:sz w:val="20"/>
          <w:szCs w:val="20"/>
        </w:rPr>
        <w:t>Growth</w:t>
      </w:r>
      <w:r>
        <w:rPr>
          <w:rFonts w:ascii="Times New Roman" w:hAnsi="Times New Roman" w:cs="Times New Roman"/>
          <w:sz w:val="20"/>
          <w:szCs w:val="20"/>
        </w:rPr>
        <w:t xml:space="preserve"> dimensions of the SERG framework.</w:t>
      </w:r>
    </w:p>
    <w:p w14:paraId="00975802" w14:textId="77777777" w:rsidR="006132FB" w:rsidRDefault="004B21E9">
      <w:pPr>
        <w:pStyle w:val="a3"/>
        <w:rPr>
          <w:rFonts w:ascii="Times New Roman" w:hAnsi="Times New Roman" w:cs="Times New Roman"/>
          <w:sz w:val="20"/>
          <w:szCs w:val="20"/>
        </w:rPr>
      </w:pPr>
      <w:r>
        <w:rPr>
          <w:rStyle w:val="a4"/>
          <w:rFonts w:ascii="Times New Roman" w:hAnsi="Times New Roman" w:cs="Times New Roman"/>
          <w:sz w:val="20"/>
          <w:szCs w:val="20"/>
        </w:rPr>
        <w:t>Method.</w:t>
      </w:r>
      <w:r>
        <w:rPr>
          <w:rFonts w:ascii="Times New Roman" w:hAnsi="Times New Roman" w:cs="Times New Roman"/>
          <w:sz w:val="20"/>
          <w:szCs w:val="20"/>
        </w:rPr>
        <w:t xml:space="preserve"> Semi-structured interviews were conducted with 10 teachers in the experimental group and 30 students (three randomly sampled per class). Questions centered on the three challenges (misalignment, instability, missing evaluation) and intervention experience</w:t>
      </w:r>
      <w:r>
        <w:rPr>
          <w:rFonts w:ascii="Times New Roman" w:hAnsi="Times New Roman" w:cs="Times New Roman"/>
          <w:sz w:val="20"/>
          <w:szCs w:val="20"/>
        </w:rPr>
        <w:t>s (TPACK alignment, dual-channel fallback, project-based evaluation). Using thematic analysis (open → axial → selective coding), we derived the following axial themes and subthemes. Quotations are de-identified.</w:t>
      </w:r>
    </w:p>
    <w:p w14:paraId="4917EC37" w14:textId="77777777" w:rsidR="006132FB" w:rsidRDefault="004B21E9">
      <w:pPr>
        <w:pStyle w:val="2"/>
        <w:rPr>
          <w:rFonts w:ascii="Times New Roman" w:hAnsi="Times New Roman" w:cs="Times New Roman"/>
          <w:sz w:val="20"/>
          <w:szCs w:val="20"/>
        </w:rPr>
      </w:pPr>
      <w:r>
        <w:rPr>
          <w:rFonts w:ascii="Times New Roman" w:hAnsi="Times New Roman" w:cs="Times New Roman"/>
          <w:sz w:val="20"/>
          <w:szCs w:val="20"/>
        </w:rPr>
        <w:t>Coding Themes</w:t>
      </w:r>
    </w:p>
    <w:p w14:paraId="35CDC942" w14:textId="77777777" w:rsidR="006132FB" w:rsidRDefault="004B21E9">
      <w:pPr>
        <w:pStyle w:val="3"/>
        <w:rPr>
          <w:rFonts w:ascii="Times New Roman" w:hAnsi="Times New Roman" w:cs="Times New Roman"/>
          <w:sz w:val="20"/>
          <w:szCs w:val="20"/>
        </w:rPr>
      </w:pPr>
      <w:r>
        <w:rPr>
          <w:rFonts w:ascii="Times New Roman" w:hAnsi="Times New Roman" w:cs="Times New Roman"/>
          <w:sz w:val="20"/>
          <w:szCs w:val="20"/>
        </w:rPr>
        <w:t xml:space="preserve">1. Axial Theme: Technological </w:t>
      </w:r>
      <w:r>
        <w:rPr>
          <w:rFonts w:ascii="Times New Roman" w:hAnsi="Times New Roman" w:cs="Times New Roman"/>
          <w:sz w:val="20"/>
          <w:szCs w:val="20"/>
        </w:rPr>
        <w:t>Alignment (addressing misalignment)</w:t>
      </w:r>
    </w:p>
    <w:p w14:paraId="32AEAEA9" w14:textId="77777777" w:rsidR="006132FB" w:rsidRDefault="004B21E9">
      <w:pPr>
        <w:pStyle w:val="a3"/>
        <w:numPr>
          <w:ilvl w:val="0"/>
          <w:numId w:val="3"/>
        </w:numPr>
        <w:rPr>
          <w:rFonts w:ascii="Times New Roman" w:hAnsi="Times New Roman" w:cs="Times New Roman"/>
          <w:sz w:val="20"/>
          <w:szCs w:val="20"/>
        </w:rPr>
      </w:pPr>
      <w:r>
        <w:rPr>
          <w:rStyle w:val="a4"/>
          <w:rFonts w:ascii="Times New Roman" w:hAnsi="Times New Roman" w:cs="Times New Roman"/>
          <w:sz w:val="20"/>
          <w:szCs w:val="20"/>
        </w:rPr>
        <w:t>Subtheme 1: Technology–pedagogy integration</w:t>
      </w:r>
      <w:r>
        <w:rPr>
          <w:rFonts w:ascii="Times New Roman" w:hAnsi="Times New Roman" w:cs="Times New Roman"/>
          <w:sz w:val="20"/>
          <w:szCs w:val="20"/>
        </w:rPr>
        <w:br/>
      </w:r>
      <w:r>
        <w:rPr>
          <w:rStyle w:val="a4"/>
          <w:rFonts w:ascii="Times New Roman" w:hAnsi="Times New Roman" w:cs="Times New Roman"/>
          <w:sz w:val="20"/>
          <w:szCs w:val="20"/>
        </w:rPr>
        <w:t>Illustrative quote (Teacher T3, Analytical Chemistry):</w:t>
      </w:r>
      <w:r>
        <w:rPr>
          <w:rFonts w:ascii="Times New Roman" w:hAnsi="Times New Roman" w:cs="Times New Roman"/>
          <w:sz w:val="20"/>
          <w:szCs w:val="20"/>
        </w:rPr>
        <w:br/>
        <w:t xml:space="preserve">“Previously, AI was used haphazardly—more for show than for learning. With the TPACK handbook, lesson planning now makes </w:t>
      </w:r>
      <w:r>
        <w:rPr>
          <w:rFonts w:ascii="Times New Roman" w:hAnsi="Times New Roman" w:cs="Times New Roman"/>
          <w:sz w:val="20"/>
          <w:szCs w:val="20"/>
        </w:rPr>
        <w:t>explicit how technology serves the experimental objective; for example, using AI curve-fitting to guide students to discuss sources of error.”</w:t>
      </w:r>
      <w:r>
        <w:rPr>
          <w:rFonts w:ascii="Times New Roman" w:hAnsi="Times New Roman" w:cs="Times New Roman"/>
          <w:sz w:val="20"/>
          <w:szCs w:val="20"/>
        </w:rPr>
        <w:br/>
      </w:r>
      <w:r>
        <w:rPr>
          <w:rStyle w:val="a5"/>
          <w:rFonts w:ascii="Times New Roman" w:hAnsi="Times New Roman" w:cs="Times New Roman"/>
          <w:sz w:val="20"/>
          <w:szCs w:val="20"/>
        </w:rPr>
        <w:t>Analysis:</w:t>
      </w:r>
      <w:r>
        <w:rPr>
          <w:rFonts w:ascii="Times New Roman" w:hAnsi="Times New Roman" w:cs="Times New Roman"/>
          <w:sz w:val="20"/>
          <w:szCs w:val="20"/>
        </w:rPr>
        <w:t xml:space="preserve"> Reflects how TPACK × SAMR reduces “technology-for-technology’s-sake” and improves task alignment.</w:t>
      </w:r>
    </w:p>
    <w:p w14:paraId="35D18B62" w14:textId="77777777" w:rsidR="006132FB" w:rsidRDefault="004B21E9">
      <w:pPr>
        <w:pStyle w:val="a3"/>
        <w:numPr>
          <w:ilvl w:val="0"/>
          <w:numId w:val="3"/>
        </w:numPr>
        <w:rPr>
          <w:rFonts w:ascii="Times New Roman" w:hAnsi="Times New Roman" w:cs="Times New Roman"/>
          <w:sz w:val="20"/>
          <w:szCs w:val="20"/>
        </w:rPr>
      </w:pPr>
      <w:r>
        <w:rPr>
          <w:rStyle w:val="a4"/>
          <w:rFonts w:ascii="Times New Roman" w:hAnsi="Times New Roman" w:cs="Times New Roman"/>
          <w:sz w:val="20"/>
          <w:szCs w:val="20"/>
        </w:rPr>
        <w:t>Subth</w:t>
      </w:r>
      <w:r>
        <w:rPr>
          <w:rStyle w:val="a4"/>
          <w:rFonts w:ascii="Times New Roman" w:hAnsi="Times New Roman" w:cs="Times New Roman"/>
          <w:sz w:val="20"/>
          <w:szCs w:val="20"/>
        </w:rPr>
        <w:t>eme 2: Progression along SAMR</w:t>
      </w:r>
      <w:r>
        <w:rPr>
          <w:rFonts w:ascii="Times New Roman" w:hAnsi="Times New Roman" w:cs="Times New Roman"/>
          <w:sz w:val="20"/>
          <w:szCs w:val="20"/>
        </w:rPr>
        <w:br/>
      </w:r>
      <w:r>
        <w:rPr>
          <w:rStyle w:val="a4"/>
          <w:rFonts w:ascii="Times New Roman" w:hAnsi="Times New Roman" w:cs="Times New Roman"/>
          <w:sz w:val="20"/>
          <w:szCs w:val="20"/>
        </w:rPr>
        <w:t>Illustrative quote (Teacher T7, Physical Chemistry):</w:t>
      </w:r>
      <w:r>
        <w:rPr>
          <w:rFonts w:ascii="Times New Roman" w:hAnsi="Times New Roman" w:cs="Times New Roman"/>
          <w:sz w:val="20"/>
          <w:szCs w:val="20"/>
        </w:rPr>
        <w:br/>
        <w:t>“We moved from simple Excel substitution to AI-driven kinetics visualization. Students no longer just look at numbers; they actively explore the meaning of parameters.”</w:t>
      </w:r>
      <w:r>
        <w:rPr>
          <w:rFonts w:ascii="Times New Roman" w:hAnsi="Times New Roman" w:cs="Times New Roman"/>
          <w:sz w:val="20"/>
          <w:szCs w:val="20"/>
        </w:rPr>
        <w:br/>
      </w:r>
      <w:r>
        <w:rPr>
          <w:rStyle w:val="a5"/>
          <w:rFonts w:ascii="Times New Roman" w:hAnsi="Times New Roman" w:cs="Times New Roman"/>
          <w:sz w:val="20"/>
          <w:szCs w:val="20"/>
        </w:rPr>
        <w:lastRenderedPageBreak/>
        <w:t>Anal</w:t>
      </w:r>
      <w:r>
        <w:rPr>
          <w:rStyle w:val="a5"/>
          <w:rFonts w:ascii="Times New Roman" w:hAnsi="Times New Roman" w:cs="Times New Roman"/>
          <w:sz w:val="20"/>
          <w:szCs w:val="20"/>
        </w:rPr>
        <w:t>ysis:</w:t>
      </w:r>
      <w:r>
        <w:rPr>
          <w:rFonts w:ascii="Times New Roman" w:hAnsi="Times New Roman" w:cs="Times New Roman"/>
          <w:sz w:val="20"/>
          <w:szCs w:val="20"/>
        </w:rPr>
        <w:t xml:space="preserve"> Demonstrates movement from “substitution” toward “modification/redefinition,” supporting reusability.</w:t>
      </w:r>
    </w:p>
    <w:p w14:paraId="42DD0B23" w14:textId="77777777" w:rsidR="006132FB" w:rsidRDefault="004B21E9">
      <w:pPr>
        <w:pStyle w:val="3"/>
        <w:rPr>
          <w:rFonts w:ascii="Times New Roman" w:hAnsi="Times New Roman" w:cs="Times New Roman"/>
          <w:sz w:val="20"/>
          <w:szCs w:val="20"/>
        </w:rPr>
      </w:pPr>
      <w:r>
        <w:rPr>
          <w:rFonts w:ascii="Times New Roman" w:hAnsi="Times New Roman" w:cs="Times New Roman"/>
          <w:sz w:val="20"/>
          <w:szCs w:val="20"/>
        </w:rPr>
        <w:t>2. Axial Theme: Classroom Stability (addressing instability)</w:t>
      </w:r>
    </w:p>
    <w:p w14:paraId="35012411" w14:textId="77777777" w:rsidR="006132FB" w:rsidRDefault="004B21E9">
      <w:pPr>
        <w:pStyle w:val="a3"/>
        <w:numPr>
          <w:ilvl w:val="0"/>
          <w:numId w:val="4"/>
        </w:numPr>
        <w:rPr>
          <w:rFonts w:ascii="Times New Roman" w:hAnsi="Times New Roman" w:cs="Times New Roman"/>
          <w:sz w:val="20"/>
          <w:szCs w:val="20"/>
        </w:rPr>
      </w:pPr>
      <w:r>
        <w:rPr>
          <w:rStyle w:val="a4"/>
          <w:rFonts w:ascii="Times New Roman" w:hAnsi="Times New Roman" w:cs="Times New Roman"/>
          <w:sz w:val="20"/>
          <w:szCs w:val="20"/>
        </w:rPr>
        <w:t>Subtheme 1: Dual-channel fallback</w:t>
      </w:r>
      <w:r>
        <w:rPr>
          <w:rFonts w:ascii="Times New Roman" w:hAnsi="Times New Roman" w:cs="Times New Roman"/>
          <w:sz w:val="20"/>
          <w:szCs w:val="20"/>
        </w:rPr>
        <w:br/>
      </w:r>
      <w:r>
        <w:rPr>
          <w:rStyle w:val="a4"/>
          <w:rFonts w:ascii="Times New Roman" w:hAnsi="Times New Roman" w:cs="Times New Roman"/>
          <w:sz w:val="20"/>
          <w:szCs w:val="20"/>
        </w:rPr>
        <w:t>Illustrative quote (Student S12, EG class):</w:t>
      </w:r>
      <w:r>
        <w:rPr>
          <w:rFonts w:ascii="Times New Roman" w:hAnsi="Times New Roman" w:cs="Times New Roman"/>
          <w:sz w:val="20"/>
          <w:szCs w:val="20"/>
        </w:rPr>
        <w:br/>
        <w:t>“When the</w:t>
      </w:r>
      <w:r>
        <w:rPr>
          <w:rFonts w:ascii="Times New Roman" w:hAnsi="Times New Roman" w:cs="Times New Roman"/>
          <w:sz w:val="20"/>
          <w:szCs w:val="20"/>
        </w:rPr>
        <w:t xml:space="preserve"> cloud froze, the teacher switched to a local Excel script in 30 seconds. The experiment didn’t stop, which felt reassuring.”</w:t>
      </w:r>
      <w:r>
        <w:rPr>
          <w:rFonts w:ascii="Times New Roman" w:hAnsi="Times New Roman" w:cs="Times New Roman"/>
          <w:sz w:val="20"/>
          <w:szCs w:val="20"/>
        </w:rPr>
        <w:br/>
      </w:r>
      <w:r>
        <w:rPr>
          <w:rStyle w:val="a5"/>
          <w:rFonts w:ascii="Times New Roman" w:hAnsi="Times New Roman" w:cs="Times New Roman"/>
          <w:sz w:val="20"/>
          <w:szCs w:val="20"/>
        </w:rPr>
        <w:t>Analysis:</w:t>
      </w:r>
      <w:r>
        <w:rPr>
          <w:rFonts w:ascii="Times New Roman" w:hAnsi="Times New Roman" w:cs="Times New Roman"/>
          <w:sz w:val="20"/>
          <w:szCs w:val="20"/>
        </w:rPr>
        <w:t xml:space="preserve"> UDL 3.0 and the dual-channel design lower failure rates and sustain instructional continuity.</w:t>
      </w:r>
    </w:p>
    <w:p w14:paraId="0AF4F51C" w14:textId="77777777" w:rsidR="006132FB" w:rsidRDefault="004B21E9">
      <w:pPr>
        <w:pStyle w:val="a3"/>
        <w:numPr>
          <w:ilvl w:val="0"/>
          <w:numId w:val="4"/>
        </w:numPr>
        <w:rPr>
          <w:rFonts w:ascii="Times New Roman" w:hAnsi="Times New Roman" w:cs="Times New Roman"/>
          <w:sz w:val="20"/>
          <w:szCs w:val="20"/>
        </w:rPr>
      </w:pPr>
      <w:r>
        <w:rPr>
          <w:rStyle w:val="a4"/>
          <w:rFonts w:ascii="Times New Roman" w:hAnsi="Times New Roman" w:cs="Times New Roman"/>
          <w:sz w:val="20"/>
          <w:szCs w:val="20"/>
        </w:rPr>
        <w:t>Subtheme 2: Increased tech</w:t>
      </w:r>
      <w:r>
        <w:rPr>
          <w:rStyle w:val="a4"/>
          <w:rFonts w:ascii="Times New Roman" w:hAnsi="Times New Roman" w:cs="Times New Roman"/>
          <w:sz w:val="20"/>
          <w:szCs w:val="20"/>
        </w:rPr>
        <w:t>nological confidence</w:t>
      </w:r>
      <w:r>
        <w:rPr>
          <w:rFonts w:ascii="Times New Roman" w:hAnsi="Times New Roman" w:cs="Times New Roman"/>
          <w:sz w:val="20"/>
          <w:szCs w:val="20"/>
        </w:rPr>
        <w:br/>
      </w:r>
      <w:r>
        <w:rPr>
          <w:rStyle w:val="a4"/>
          <w:rFonts w:ascii="Times New Roman" w:hAnsi="Times New Roman" w:cs="Times New Roman"/>
          <w:sz w:val="20"/>
          <w:szCs w:val="20"/>
        </w:rPr>
        <w:t>Illustrative quote (Teacher T5, Organic Chemistry):</w:t>
      </w:r>
      <w:r>
        <w:rPr>
          <w:rFonts w:ascii="Times New Roman" w:hAnsi="Times New Roman" w:cs="Times New Roman"/>
          <w:sz w:val="20"/>
          <w:szCs w:val="20"/>
        </w:rPr>
        <w:br/>
        <w:t>“With the fallback scripts, I’m no longer worried about device glitches; my teaching pace is steadier.”</w:t>
      </w:r>
      <w:r>
        <w:rPr>
          <w:rFonts w:ascii="Times New Roman" w:hAnsi="Times New Roman" w:cs="Times New Roman"/>
          <w:sz w:val="20"/>
          <w:szCs w:val="20"/>
        </w:rPr>
        <w:br/>
      </w:r>
      <w:r>
        <w:rPr>
          <w:rStyle w:val="a5"/>
          <w:rFonts w:ascii="Times New Roman" w:hAnsi="Times New Roman" w:cs="Times New Roman"/>
          <w:sz w:val="20"/>
          <w:szCs w:val="20"/>
        </w:rPr>
        <w:t>Analysis:</w:t>
      </w:r>
      <w:r>
        <w:rPr>
          <w:rFonts w:ascii="Times New Roman" w:hAnsi="Times New Roman" w:cs="Times New Roman"/>
          <w:sz w:val="20"/>
          <w:szCs w:val="20"/>
        </w:rPr>
        <w:t xml:space="preserve"> Enhanced stability builds teacher confidence in technology use, reinf</w:t>
      </w:r>
      <w:r>
        <w:rPr>
          <w:rFonts w:ascii="Times New Roman" w:hAnsi="Times New Roman" w:cs="Times New Roman"/>
          <w:sz w:val="20"/>
          <w:szCs w:val="20"/>
        </w:rPr>
        <w:t xml:space="preserve">orcing the </w:t>
      </w:r>
      <w:r>
        <w:rPr>
          <w:rStyle w:val="a4"/>
          <w:rFonts w:ascii="Times New Roman" w:hAnsi="Times New Roman" w:cs="Times New Roman"/>
          <w:sz w:val="20"/>
          <w:szCs w:val="20"/>
        </w:rPr>
        <w:t>Stability</w:t>
      </w:r>
      <w:r>
        <w:rPr>
          <w:rFonts w:ascii="Times New Roman" w:hAnsi="Times New Roman" w:cs="Times New Roman"/>
          <w:sz w:val="20"/>
          <w:szCs w:val="20"/>
        </w:rPr>
        <w:t xml:space="preserve"> dimension of SERG.</w:t>
      </w:r>
    </w:p>
    <w:p w14:paraId="726BF33C" w14:textId="77777777" w:rsidR="006132FB" w:rsidRDefault="004B21E9">
      <w:pPr>
        <w:pStyle w:val="3"/>
        <w:rPr>
          <w:rFonts w:ascii="Times New Roman" w:hAnsi="Times New Roman" w:cs="Times New Roman"/>
          <w:sz w:val="20"/>
          <w:szCs w:val="20"/>
        </w:rPr>
      </w:pPr>
      <w:r>
        <w:rPr>
          <w:rFonts w:ascii="Times New Roman" w:hAnsi="Times New Roman" w:cs="Times New Roman"/>
          <w:sz w:val="20"/>
          <w:szCs w:val="20"/>
        </w:rPr>
        <w:t>3. Axial Theme: Evidence-Chain Construction (addressing missing evaluation)</w:t>
      </w:r>
    </w:p>
    <w:p w14:paraId="325F2A40" w14:textId="77777777" w:rsidR="006132FB" w:rsidRDefault="004B21E9">
      <w:pPr>
        <w:pStyle w:val="a3"/>
        <w:numPr>
          <w:ilvl w:val="0"/>
          <w:numId w:val="5"/>
        </w:numPr>
        <w:rPr>
          <w:rFonts w:ascii="Times New Roman" w:hAnsi="Times New Roman" w:cs="Times New Roman"/>
          <w:sz w:val="20"/>
          <w:szCs w:val="20"/>
        </w:rPr>
      </w:pPr>
      <w:r>
        <w:rPr>
          <w:rStyle w:val="a4"/>
          <w:rFonts w:ascii="Times New Roman" w:hAnsi="Times New Roman" w:cs="Times New Roman"/>
          <w:sz w:val="20"/>
          <w:szCs w:val="20"/>
        </w:rPr>
        <w:t>Subtheme 1: Immediate feedback through formative assessment</w:t>
      </w:r>
      <w:r>
        <w:rPr>
          <w:rFonts w:ascii="Times New Roman" w:hAnsi="Times New Roman" w:cs="Times New Roman"/>
          <w:sz w:val="20"/>
          <w:szCs w:val="20"/>
        </w:rPr>
        <w:br/>
      </w:r>
      <w:r>
        <w:rPr>
          <w:rStyle w:val="a4"/>
          <w:rFonts w:ascii="Times New Roman" w:hAnsi="Times New Roman" w:cs="Times New Roman"/>
          <w:sz w:val="20"/>
          <w:szCs w:val="20"/>
        </w:rPr>
        <w:t>Illustrative quote (Student S25, EG class):</w:t>
      </w:r>
      <w:r>
        <w:rPr>
          <w:rFonts w:ascii="Times New Roman" w:hAnsi="Times New Roman" w:cs="Times New Roman"/>
          <w:sz w:val="20"/>
          <w:szCs w:val="20"/>
        </w:rPr>
        <w:br/>
        <w:t>“The rubrics showed me I needed to r</w:t>
      </w:r>
      <w:r>
        <w:rPr>
          <w:rFonts w:ascii="Times New Roman" w:hAnsi="Times New Roman" w:cs="Times New Roman"/>
          <w:sz w:val="20"/>
          <w:szCs w:val="20"/>
        </w:rPr>
        <w:t>eport error sources, and AI’s real-time feedback helped me improve uncertainty analysis.”</w:t>
      </w:r>
      <w:r>
        <w:rPr>
          <w:rFonts w:ascii="Times New Roman" w:hAnsi="Times New Roman" w:cs="Times New Roman"/>
          <w:sz w:val="20"/>
          <w:szCs w:val="20"/>
        </w:rPr>
        <w:br/>
      </w:r>
      <w:r>
        <w:rPr>
          <w:rStyle w:val="a5"/>
          <w:rFonts w:ascii="Times New Roman" w:hAnsi="Times New Roman" w:cs="Times New Roman"/>
          <w:sz w:val="20"/>
          <w:szCs w:val="20"/>
        </w:rPr>
        <w:t>Analysis:</w:t>
      </w:r>
      <w:r>
        <w:rPr>
          <w:rFonts w:ascii="Times New Roman" w:hAnsi="Times New Roman" w:cs="Times New Roman"/>
          <w:sz w:val="20"/>
          <w:szCs w:val="20"/>
        </w:rPr>
        <w:t xml:space="preserve"> Formative assessment plus AI feedback mitigates “missing evaluation” and elevates data literacy.</w:t>
      </w:r>
    </w:p>
    <w:p w14:paraId="6B66CEA5" w14:textId="77777777" w:rsidR="006132FB" w:rsidRDefault="004B21E9">
      <w:pPr>
        <w:pStyle w:val="a3"/>
        <w:numPr>
          <w:ilvl w:val="0"/>
          <w:numId w:val="5"/>
        </w:numPr>
        <w:rPr>
          <w:rFonts w:ascii="Times New Roman" w:hAnsi="Times New Roman" w:cs="Times New Roman"/>
          <w:sz w:val="20"/>
          <w:szCs w:val="20"/>
        </w:rPr>
      </w:pPr>
      <w:r>
        <w:rPr>
          <w:rStyle w:val="a4"/>
          <w:rFonts w:ascii="Times New Roman" w:hAnsi="Times New Roman" w:cs="Times New Roman"/>
          <w:sz w:val="20"/>
          <w:szCs w:val="20"/>
        </w:rPr>
        <w:t>Subtheme 2: Project-based organization fosters reflection</w:t>
      </w:r>
      <w:r>
        <w:rPr>
          <w:rFonts w:ascii="Times New Roman" w:hAnsi="Times New Roman" w:cs="Times New Roman"/>
          <w:sz w:val="20"/>
          <w:szCs w:val="20"/>
        </w:rPr>
        <w:br/>
      </w:r>
      <w:r>
        <w:rPr>
          <w:rStyle w:val="a4"/>
          <w:rFonts w:ascii="Times New Roman" w:hAnsi="Times New Roman" w:cs="Times New Roman"/>
          <w:sz w:val="20"/>
          <w:szCs w:val="20"/>
        </w:rPr>
        <w:t>I</w:t>
      </w:r>
      <w:r>
        <w:rPr>
          <w:rStyle w:val="a4"/>
          <w:rFonts w:ascii="Times New Roman" w:hAnsi="Times New Roman" w:cs="Times New Roman"/>
          <w:sz w:val="20"/>
          <w:szCs w:val="20"/>
        </w:rPr>
        <w:t>llustrative quote (Student S8, EG class):</w:t>
      </w:r>
      <w:r>
        <w:rPr>
          <w:rFonts w:ascii="Times New Roman" w:hAnsi="Times New Roman" w:cs="Times New Roman"/>
          <w:sz w:val="20"/>
          <w:szCs w:val="20"/>
        </w:rPr>
        <w:br/>
        <w:t>“The project made me think through the whole process—from data collection to explanation. After the public presentation, peer review made me more careful about the rigor of my conclusions.”</w:t>
      </w:r>
      <w:r>
        <w:rPr>
          <w:rFonts w:ascii="Times New Roman" w:hAnsi="Times New Roman" w:cs="Times New Roman"/>
          <w:sz w:val="20"/>
          <w:szCs w:val="20"/>
        </w:rPr>
        <w:br/>
      </w:r>
      <w:r>
        <w:rPr>
          <w:rStyle w:val="a5"/>
          <w:rFonts w:ascii="Times New Roman" w:hAnsi="Times New Roman" w:cs="Times New Roman"/>
          <w:sz w:val="20"/>
          <w:szCs w:val="20"/>
        </w:rPr>
        <w:t>Analysis:</w:t>
      </w:r>
      <w:r>
        <w:rPr>
          <w:rFonts w:ascii="Times New Roman" w:hAnsi="Times New Roman" w:cs="Times New Roman"/>
          <w:sz w:val="20"/>
          <w:szCs w:val="20"/>
        </w:rPr>
        <w:t xml:space="preserve"> HQPBL and rubr</w:t>
      </w:r>
      <w:r>
        <w:rPr>
          <w:rFonts w:ascii="Times New Roman" w:hAnsi="Times New Roman" w:cs="Times New Roman"/>
          <w:sz w:val="20"/>
          <w:szCs w:val="20"/>
        </w:rPr>
        <w:t xml:space="preserve">ics strengthen the evidence chain, supporting the </w:t>
      </w:r>
      <w:r>
        <w:rPr>
          <w:rStyle w:val="a4"/>
          <w:rFonts w:ascii="Times New Roman" w:hAnsi="Times New Roman" w:cs="Times New Roman"/>
          <w:sz w:val="20"/>
          <w:szCs w:val="20"/>
        </w:rPr>
        <w:t>Evidence</w:t>
      </w:r>
      <w:r>
        <w:rPr>
          <w:rFonts w:ascii="Times New Roman" w:hAnsi="Times New Roman" w:cs="Times New Roman"/>
          <w:sz w:val="20"/>
          <w:szCs w:val="20"/>
        </w:rPr>
        <w:t xml:space="preserve"> dimension of SERG.</w:t>
      </w:r>
    </w:p>
    <w:p w14:paraId="62128FFE" w14:textId="77777777" w:rsidR="006132FB" w:rsidRDefault="004B21E9">
      <w:pPr>
        <w:pStyle w:val="a3"/>
        <w:rPr>
          <w:rFonts w:ascii="Times New Roman" w:hAnsi="Times New Roman" w:cs="Times New Roman"/>
          <w:sz w:val="20"/>
          <w:szCs w:val="20"/>
        </w:rPr>
      </w:pPr>
      <w:r>
        <w:rPr>
          <w:rStyle w:val="a4"/>
          <w:rFonts w:ascii="Times New Roman" w:hAnsi="Times New Roman" w:cs="Times New Roman"/>
          <w:sz w:val="20"/>
          <w:szCs w:val="20"/>
        </w:rPr>
        <w:t>Summary.</w:t>
      </w:r>
      <w:r>
        <w:rPr>
          <w:rFonts w:ascii="Times New Roman" w:hAnsi="Times New Roman" w:cs="Times New Roman"/>
          <w:sz w:val="20"/>
          <w:szCs w:val="20"/>
        </w:rPr>
        <w:t xml:space="preserve"> The interview themes explain how the intervention reduces </w:t>
      </w:r>
      <w:r>
        <w:rPr>
          <w:rStyle w:val="a4"/>
          <w:rFonts w:ascii="Times New Roman" w:hAnsi="Times New Roman" w:cs="Times New Roman"/>
          <w:sz w:val="20"/>
          <w:szCs w:val="20"/>
        </w:rPr>
        <w:t>misalignment</w:t>
      </w:r>
      <w:r>
        <w:rPr>
          <w:rFonts w:ascii="Times New Roman" w:hAnsi="Times New Roman" w:cs="Times New Roman"/>
          <w:sz w:val="20"/>
          <w:szCs w:val="20"/>
        </w:rPr>
        <w:t xml:space="preserve"> through TPACK × SAMR alignment, enhances </w:t>
      </w:r>
      <w:r>
        <w:rPr>
          <w:rStyle w:val="a4"/>
          <w:rFonts w:ascii="Times New Roman" w:hAnsi="Times New Roman" w:cs="Times New Roman"/>
          <w:sz w:val="20"/>
          <w:szCs w:val="20"/>
        </w:rPr>
        <w:t>stability</w:t>
      </w:r>
      <w:r>
        <w:rPr>
          <w:rFonts w:ascii="Times New Roman" w:hAnsi="Times New Roman" w:cs="Times New Roman"/>
          <w:sz w:val="20"/>
          <w:szCs w:val="20"/>
        </w:rPr>
        <w:t xml:space="preserve"> via dual-channel fallback grounded in UDL 3.0, </w:t>
      </w:r>
      <w:r>
        <w:rPr>
          <w:rFonts w:ascii="Times New Roman" w:hAnsi="Times New Roman" w:cs="Times New Roman"/>
          <w:sz w:val="20"/>
          <w:szCs w:val="20"/>
        </w:rPr>
        <w:t xml:space="preserve">and remedies </w:t>
      </w:r>
      <w:r>
        <w:rPr>
          <w:rStyle w:val="a4"/>
          <w:rFonts w:ascii="Times New Roman" w:hAnsi="Times New Roman" w:cs="Times New Roman"/>
          <w:sz w:val="20"/>
          <w:szCs w:val="20"/>
        </w:rPr>
        <w:t>missing evaluation</w:t>
      </w:r>
      <w:r>
        <w:rPr>
          <w:rFonts w:ascii="Times New Roman" w:hAnsi="Times New Roman" w:cs="Times New Roman"/>
          <w:sz w:val="20"/>
          <w:szCs w:val="20"/>
        </w:rPr>
        <w:t xml:space="preserve"> through project-based assessment with rubrics. These qualitative findings triangulate with the quantitative results in Tables 1–3 and substantiate the intervention’s </w:t>
      </w:r>
      <w:r>
        <w:rPr>
          <w:rStyle w:val="a4"/>
          <w:rFonts w:ascii="Times New Roman" w:hAnsi="Times New Roman" w:cs="Times New Roman"/>
          <w:sz w:val="20"/>
          <w:szCs w:val="20"/>
        </w:rPr>
        <w:t>Reusability</w:t>
      </w:r>
      <w:r>
        <w:rPr>
          <w:rFonts w:ascii="Times New Roman" w:hAnsi="Times New Roman" w:cs="Times New Roman"/>
          <w:sz w:val="20"/>
          <w:szCs w:val="20"/>
        </w:rPr>
        <w:t xml:space="preserve"> and </w:t>
      </w:r>
      <w:r>
        <w:rPr>
          <w:rStyle w:val="a4"/>
          <w:rFonts w:ascii="Times New Roman" w:hAnsi="Times New Roman" w:cs="Times New Roman"/>
          <w:sz w:val="20"/>
          <w:szCs w:val="20"/>
        </w:rPr>
        <w:t>Growth</w:t>
      </w:r>
      <w:r>
        <w:rPr>
          <w:rFonts w:ascii="Times New Roman" w:hAnsi="Times New Roman" w:cs="Times New Roman"/>
          <w:sz w:val="20"/>
          <w:szCs w:val="20"/>
        </w:rPr>
        <w:t xml:space="preserve"> for broader adoption.</w:t>
      </w:r>
    </w:p>
    <w:p w14:paraId="053B5568" w14:textId="77777777" w:rsidR="006132FB" w:rsidRDefault="006132FB">
      <w:pPr>
        <w:rPr>
          <w:rFonts w:ascii="Times New Roman" w:hAnsi="Times New Roman" w:cs="Times New Roman"/>
        </w:rPr>
      </w:pPr>
    </w:p>
    <w:p w14:paraId="4E95A463" w14:textId="77777777" w:rsidR="006132FB" w:rsidRDefault="004B21E9">
      <w:pPr>
        <w:pStyle w:val="1"/>
        <w:rPr>
          <w:rFonts w:ascii="Times New Roman" w:hAnsi="Times New Roman" w:cs="Times New Roman"/>
          <w:i/>
          <w:iCs/>
          <w:sz w:val="20"/>
          <w:szCs w:val="20"/>
        </w:rPr>
      </w:pPr>
      <w:r>
        <w:rPr>
          <w:rFonts w:ascii="Times New Roman" w:hAnsi="Times New Roman" w:cs="Times New Roman"/>
          <w:i/>
          <w:iCs/>
          <w:sz w:val="20"/>
          <w:szCs w:val="20"/>
        </w:rPr>
        <w:lastRenderedPageBreak/>
        <w:t xml:space="preserve">Appendix </w:t>
      </w:r>
      <w:r>
        <w:rPr>
          <w:rFonts w:ascii="Times New Roman" w:hAnsi="Times New Roman" w:cs="Times New Roman" w:hint="eastAsia"/>
          <w:i/>
          <w:iCs/>
          <w:sz w:val="20"/>
          <w:szCs w:val="20"/>
        </w:rPr>
        <w:t>S</w:t>
      </w:r>
      <w:r>
        <w:rPr>
          <w:rFonts w:ascii="Times New Roman" w:hAnsi="Times New Roman" w:cs="Times New Roman" w:hint="eastAsia"/>
          <w:i/>
          <w:iCs/>
          <w:sz w:val="20"/>
          <w:szCs w:val="20"/>
        </w:rPr>
        <w:t>3</w:t>
      </w:r>
      <w:r>
        <w:rPr>
          <w:rFonts w:ascii="Times New Roman" w:hAnsi="Times New Roman" w:cs="Times New Roman" w:hint="eastAsia"/>
          <w:i/>
          <w:iCs/>
          <w:sz w:val="20"/>
          <w:szCs w:val="20"/>
        </w:rPr>
        <w:t xml:space="preserve"> (SI).</w:t>
      </w:r>
      <w:r>
        <w:rPr>
          <w:rFonts w:ascii="Times New Roman" w:hAnsi="Times New Roman" w:cs="Times New Roman"/>
          <w:i/>
          <w:iCs/>
          <w:sz w:val="20"/>
          <w:szCs w:val="20"/>
        </w:rPr>
        <w:t xml:space="preserve"> Classroom Observation Logs</w:t>
      </w:r>
    </w:p>
    <w:p w14:paraId="5DD042C1" w14:textId="77777777" w:rsidR="006132FB" w:rsidRDefault="004B21E9">
      <w:pPr>
        <w:pStyle w:val="a3"/>
        <w:rPr>
          <w:rFonts w:ascii="Times New Roman" w:hAnsi="Times New Roman" w:cs="Times New Roman"/>
          <w:sz w:val="20"/>
          <w:szCs w:val="20"/>
        </w:rPr>
      </w:pPr>
      <w:r>
        <w:rPr>
          <w:rStyle w:val="a4"/>
          <w:rFonts w:ascii="Times New Roman" w:hAnsi="Times New Roman" w:cs="Times New Roman"/>
          <w:sz w:val="20"/>
          <w:szCs w:val="20"/>
        </w:rPr>
        <w:t>Purpose.</w:t>
      </w:r>
      <w:r>
        <w:rPr>
          <w:rFonts w:ascii="Times New Roman" w:hAnsi="Times New Roman" w:cs="Times New Roman"/>
          <w:sz w:val="20"/>
          <w:szCs w:val="20"/>
        </w:rPr>
        <w:t xml:space="preserve"> To provide process evidence of the intervention in action and verify how the </w:t>
      </w:r>
      <w:r>
        <w:rPr>
          <w:rStyle w:val="a4"/>
          <w:rFonts w:ascii="Times New Roman" w:hAnsi="Times New Roman" w:cs="Times New Roman"/>
          <w:sz w:val="20"/>
          <w:szCs w:val="20"/>
        </w:rPr>
        <w:t>alignment–stabilization–evidence–safeguards</w:t>
      </w:r>
      <w:r>
        <w:rPr>
          <w:rFonts w:ascii="Times New Roman" w:hAnsi="Times New Roman" w:cs="Times New Roman"/>
          <w:sz w:val="20"/>
          <w:szCs w:val="20"/>
        </w:rPr>
        <w:t xml:space="preserve"> chain addresses the three persistent challenges. These logs complement quantitative analyses</w:t>
      </w:r>
      <w:r>
        <w:rPr>
          <w:rFonts w:ascii="Times New Roman" w:hAnsi="Times New Roman" w:cs="Times New Roman"/>
          <w:sz w:val="20"/>
          <w:szCs w:val="20"/>
        </w:rPr>
        <w:t xml:space="preserve"> and support the </w:t>
      </w:r>
      <w:r>
        <w:rPr>
          <w:rStyle w:val="a4"/>
          <w:rFonts w:ascii="Times New Roman" w:hAnsi="Times New Roman" w:cs="Times New Roman"/>
          <w:sz w:val="20"/>
          <w:szCs w:val="20"/>
        </w:rPr>
        <w:t>Stability</w:t>
      </w:r>
      <w:r>
        <w:rPr>
          <w:rFonts w:ascii="Times New Roman" w:hAnsi="Times New Roman" w:cs="Times New Roman"/>
          <w:sz w:val="20"/>
          <w:szCs w:val="20"/>
        </w:rPr>
        <w:t xml:space="preserve"> and </w:t>
      </w:r>
      <w:r>
        <w:rPr>
          <w:rStyle w:val="a4"/>
          <w:rFonts w:ascii="Times New Roman" w:hAnsi="Times New Roman" w:cs="Times New Roman"/>
          <w:sz w:val="20"/>
          <w:szCs w:val="20"/>
        </w:rPr>
        <w:t>Evidence</w:t>
      </w:r>
      <w:r>
        <w:rPr>
          <w:rFonts w:ascii="Times New Roman" w:hAnsi="Times New Roman" w:cs="Times New Roman"/>
          <w:sz w:val="20"/>
          <w:szCs w:val="20"/>
        </w:rPr>
        <w:t xml:space="preserve"> dimensions of the SERG framework.</w:t>
      </w:r>
    </w:p>
    <w:p w14:paraId="55411525" w14:textId="77777777" w:rsidR="006132FB" w:rsidRDefault="004B21E9">
      <w:pPr>
        <w:pStyle w:val="a3"/>
        <w:rPr>
          <w:rFonts w:ascii="Times New Roman" w:hAnsi="Times New Roman" w:cs="Times New Roman"/>
          <w:sz w:val="20"/>
          <w:szCs w:val="20"/>
        </w:rPr>
      </w:pPr>
      <w:r>
        <w:rPr>
          <w:rStyle w:val="a4"/>
          <w:rFonts w:ascii="Times New Roman" w:hAnsi="Times New Roman" w:cs="Times New Roman"/>
          <w:sz w:val="20"/>
          <w:szCs w:val="20"/>
        </w:rPr>
        <w:t>Method.</w:t>
      </w:r>
      <w:r>
        <w:rPr>
          <w:rFonts w:ascii="Times New Roman" w:hAnsi="Times New Roman" w:cs="Times New Roman"/>
          <w:sz w:val="20"/>
          <w:szCs w:val="20"/>
        </w:rPr>
        <w:t xml:space="preserve"> Observers (research team members) conducted structured observations of </w:t>
      </w:r>
      <w:r>
        <w:rPr>
          <w:rStyle w:val="a4"/>
          <w:rFonts w:ascii="Times New Roman" w:hAnsi="Times New Roman" w:cs="Times New Roman"/>
          <w:sz w:val="20"/>
          <w:szCs w:val="20"/>
        </w:rPr>
        <w:t>20 class sessions</w:t>
      </w:r>
      <w:r>
        <w:rPr>
          <w:rFonts w:ascii="Times New Roman" w:hAnsi="Times New Roman" w:cs="Times New Roman"/>
          <w:sz w:val="20"/>
          <w:szCs w:val="20"/>
        </w:rPr>
        <w:t xml:space="preserve"> (90 minutes each) across </w:t>
      </w:r>
      <w:r>
        <w:rPr>
          <w:rStyle w:val="a4"/>
          <w:rFonts w:ascii="Times New Roman" w:hAnsi="Times New Roman" w:cs="Times New Roman"/>
          <w:sz w:val="20"/>
          <w:szCs w:val="20"/>
        </w:rPr>
        <w:t>10 experimental-group classes</w:t>
      </w:r>
      <w:r>
        <w:rPr>
          <w:rFonts w:ascii="Times New Roman" w:hAnsi="Times New Roman" w:cs="Times New Roman"/>
          <w:sz w:val="20"/>
          <w:szCs w:val="20"/>
        </w:rPr>
        <w:t xml:space="preserve"> at </w:t>
      </w:r>
      <w:r>
        <w:rPr>
          <w:rStyle w:val="a4"/>
          <w:rFonts w:ascii="Times New Roman" w:hAnsi="Times New Roman" w:cs="Times New Roman"/>
          <w:sz w:val="20"/>
          <w:szCs w:val="20"/>
        </w:rPr>
        <w:t>T1 (Weeks 3–4)</w:t>
      </w:r>
      <w:r>
        <w:rPr>
          <w:rFonts w:ascii="Times New Roman" w:hAnsi="Times New Roman" w:cs="Times New Roman"/>
          <w:sz w:val="20"/>
          <w:szCs w:val="20"/>
        </w:rPr>
        <w:t xml:space="preserve"> and </w:t>
      </w:r>
      <w:r>
        <w:rPr>
          <w:rStyle w:val="a4"/>
          <w:rFonts w:ascii="Times New Roman" w:hAnsi="Times New Roman" w:cs="Times New Roman"/>
          <w:sz w:val="20"/>
          <w:szCs w:val="20"/>
        </w:rPr>
        <w:t>T2 (Week</w:t>
      </w:r>
      <w:r>
        <w:rPr>
          <w:rStyle w:val="a4"/>
          <w:rFonts w:ascii="Times New Roman" w:hAnsi="Times New Roman" w:cs="Times New Roman"/>
          <w:sz w:val="20"/>
          <w:szCs w:val="20"/>
        </w:rPr>
        <w:t>s 5–14)</w:t>
      </w:r>
      <w:r>
        <w:rPr>
          <w:rFonts w:ascii="Times New Roman" w:hAnsi="Times New Roman" w:cs="Times New Roman"/>
          <w:sz w:val="20"/>
          <w:szCs w:val="20"/>
        </w:rPr>
        <w:t>. Key events were recorded, including technology use, failures and responses, and assessment feedback. Logs were de-identified to comply with privacy requirements. Representative excerpts follow.</w:t>
      </w:r>
    </w:p>
    <w:p w14:paraId="3CD51BC9" w14:textId="77777777" w:rsidR="006132FB" w:rsidRDefault="004B21E9">
      <w:pPr>
        <w:pStyle w:val="3"/>
        <w:rPr>
          <w:rFonts w:ascii="Times New Roman" w:hAnsi="Times New Roman" w:cs="Times New Roman"/>
          <w:sz w:val="20"/>
          <w:szCs w:val="20"/>
        </w:rPr>
      </w:pPr>
      <w:r>
        <w:rPr>
          <w:rFonts w:ascii="Times New Roman" w:hAnsi="Times New Roman" w:cs="Times New Roman"/>
          <w:sz w:val="20"/>
          <w:szCs w:val="20"/>
        </w:rPr>
        <w:t>Log Samples</w:t>
      </w:r>
    </w:p>
    <w:p w14:paraId="5697C4B6" w14:textId="77777777" w:rsidR="006132FB" w:rsidRDefault="004B21E9">
      <w:pPr>
        <w:pStyle w:val="a3"/>
        <w:numPr>
          <w:ilvl w:val="0"/>
          <w:numId w:val="6"/>
        </w:numPr>
        <w:rPr>
          <w:rFonts w:ascii="Times New Roman" w:hAnsi="Times New Roman" w:cs="Times New Roman"/>
          <w:sz w:val="20"/>
          <w:szCs w:val="20"/>
        </w:rPr>
      </w:pPr>
      <w:r>
        <w:rPr>
          <w:rStyle w:val="a4"/>
          <w:rFonts w:ascii="Times New Roman" w:hAnsi="Times New Roman" w:cs="Times New Roman"/>
          <w:sz w:val="20"/>
          <w:szCs w:val="20"/>
        </w:rPr>
        <w:t>Class:</w:t>
      </w:r>
      <w:r>
        <w:rPr>
          <w:rFonts w:ascii="Times New Roman" w:hAnsi="Times New Roman" w:cs="Times New Roman"/>
          <w:sz w:val="20"/>
          <w:szCs w:val="20"/>
        </w:rPr>
        <w:t xml:space="preserve"> EG-3 (Analytical Chemistry, HPLC e</w:t>
      </w:r>
      <w:r>
        <w:rPr>
          <w:rFonts w:ascii="Times New Roman" w:hAnsi="Times New Roman" w:cs="Times New Roman"/>
          <w:sz w:val="20"/>
          <w:szCs w:val="20"/>
        </w:rPr>
        <w:t>xperiment, T2 Week 8)</w:t>
      </w:r>
    </w:p>
    <w:p w14:paraId="17625A07" w14:textId="77777777" w:rsidR="006132FB" w:rsidRDefault="004B21E9">
      <w:pPr>
        <w:pStyle w:val="a3"/>
        <w:numPr>
          <w:ilvl w:val="1"/>
          <w:numId w:val="6"/>
        </w:numPr>
        <w:rPr>
          <w:rFonts w:ascii="Times New Roman" w:hAnsi="Times New Roman" w:cs="Times New Roman"/>
          <w:sz w:val="20"/>
          <w:szCs w:val="20"/>
        </w:rPr>
      </w:pPr>
      <w:r>
        <w:rPr>
          <w:rStyle w:val="a4"/>
          <w:rFonts w:ascii="Times New Roman" w:hAnsi="Times New Roman" w:cs="Times New Roman"/>
          <w:sz w:val="20"/>
          <w:szCs w:val="20"/>
        </w:rPr>
        <w:t>Time:</w:t>
      </w:r>
      <w:r>
        <w:rPr>
          <w:rFonts w:ascii="Times New Roman" w:hAnsi="Times New Roman" w:cs="Times New Roman"/>
          <w:sz w:val="20"/>
          <w:szCs w:val="20"/>
        </w:rPr>
        <w:t xml:space="preserve"> 14:20–14:25</w:t>
      </w:r>
    </w:p>
    <w:p w14:paraId="33248534" w14:textId="77777777" w:rsidR="006132FB" w:rsidRDefault="004B21E9">
      <w:pPr>
        <w:pStyle w:val="a3"/>
        <w:numPr>
          <w:ilvl w:val="1"/>
          <w:numId w:val="6"/>
        </w:numPr>
        <w:rPr>
          <w:rFonts w:ascii="Times New Roman" w:hAnsi="Times New Roman" w:cs="Times New Roman"/>
          <w:sz w:val="20"/>
          <w:szCs w:val="20"/>
        </w:rPr>
      </w:pPr>
      <w:r>
        <w:rPr>
          <w:rStyle w:val="a4"/>
          <w:rFonts w:ascii="Times New Roman" w:hAnsi="Times New Roman" w:cs="Times New Roman"/>
          <w:sz w:val="20"/>
          <w:szCs w:val="20"/>
        </w:rPr>
        <w:t>Event:</w:t>
      </w:r>
      <w:r>
        <w:rPr>
          <w:rFonts w:ascii="Times New Roman" w:hAnsi="Times New Roman" w:cs="Times New Roman"/>
          <w:sz w:val="20"/>
          <w:szCs w:val="20"/>
        </w:rPr>
        <w:t xml:space="preserve"> The cloud-based AI platform stalled due to network fluctuation. The teacher executed the contingency plan and switched to a local Excel script within </w:t>
      </w:r>
      <w:r>
        <w:rPr>
          <w:rStyle w:val="a4"/>
          <w:rFonts w:ascii="Times New Roman" w:hAnsi="Times New Roman" w:cs="Times New Roman"/>
          <w:sz w:val="20"/>
          <w:szCs w:val="20"/>
        </w:rPr>
        <w:t>30 seconds</w:t>
      </w:r>
      <w:r>
        <w:rPr>
          <w:rFonts w:ascii="Times New Roman" w:hAnsi="Times New Roman" w:cs="Times New Roman"/>
          <w:sz w:val="20"/>
          <w:szCs w:val="20"/>
        </w:rPr>
        <w:t>, allowing students to continue curve fitting.</w:t>
      </w:r>
    </w:p>
    <w:p w14:paraId="1B16DA62" w14:textId="77777777" w:rsidR="006132FB" w:rsidRDefault="004B21E9">
      <w:pPr>
        <w:pStyle w:val="a3"/>
        <w:numPr>
          <w:ilvl w:val="1"/>
          <w:numId w:val="6"/>
        </w:numPr>
        <w:rPr>
          <w:rFonts w:ascii="Times New Roman" w:hAnsi="Times New Roman" w:cs="Times New Roman"/>
          <w:sz w:val="20"/>
          <w:szCs w:val="20"/>
        </w:rPr>
      </w:pPr>
      <w:r>
        <w:rPr>
          <w:rStyle w:val="a4"/>
          <w:rFonts w:ascii="Times New Roman" w:hAnsi="Times New Roman" w:cs="Times New Roman"/>
          <w:sz w:val="20"/>
          <w:szCs w:val="20"/>
        </w:rPr>
        <w:t>Ob</w:t>
      </w:r>
      <w:r>
        <w:rPr>
          <w:rStyle w:val="a4"/>
          <w:rFonts w:ascii="Times New Roman" w:hAnsi="Times New Roman" w:cs="Times New Roman"/>
          <w:sz w:val="20"/>
          <w:szCs w:val="20"/>
        </w:rPr>
        <w:t>server note:</w:t>
      </w:r>
      <w:r>
        <w:rPr>
          <w:rFonts w:ascii="Times New Roman" w:hAnsi="Times New Roman" w:cs="Times New Roman"/>
          <w:sz w:val="20"/>
          <w:szCs w:val="20"/>
        </w:rPr>
        <w:t xml:space="preserve"> “The switch was smooth and did not disrupt pacing. Students showed no evident anxiety and continued discussing the relationship between peak area and concentration.”</w:t>
      </w:r>
    </w:p>
    <w:p w14:paraId="56C4A7CF" w14:textId="77777777" w:rsidR="006132FB" w:rsidRDefault="004B21E9">
      <w:pPr>
        <w:pStyle w:val="a3"/>
        <w:numPr>
          <w:ilvl w:val="1"/>
          <w:numId w:val="6"/>
        </w:numPr>
        <w:rPr>
          <w:rFonts w:ascii="Times New Roman" w:hAnsi="Times New Roman" w:cs="Times New Roman"/>
          <w:sz w:val="20"/>
          <w:szCs w:val="20"/>
        </w:rPr>
      </w:pPr>
      <w:r>
        <w:rPr>
          <w:rStyle w:val="a4"/>
          <w:rFonts w:ascii="Times New Roman" w:hAnsi="Times New Roman" w:cs="Times New Roman"/>
          <w:sz w:val="20"/>
          <w:szCs w:val="20"/>
        </w:rPr>
        <w:t>Linked challenge:</w:t>
      </w:r>
      <w:r>
        <w:rPr>
          <w:rFonts w:ascii="Times New Roman" w:hAnsi="Times New Roman" w:cs="Times New Roman"/>
          <w:sz w:val="20"/>
          <w:szCs w:val="20"/>
        </w:rPr>
        <w:t xml:space="preserve"> </w:t>
      </w:r>
      <w:r>
        <w:rPr>
          <w:rStyle w:val="a4"/>
          <w:rFonts w:ascii="Times New Roman" w:hAnsi="Times New Roman" w:cs="Times New Roman"/>
          <w:sz w:val="20"/>
          <w:szCs w:val="20"/>
        </w:rPr>
        <w:t>Instability</w:t>
      </w:r>
      <w:r>
        <w:rPr>
          <w:rFonts w:ascii="Times New Roman" w:hAnsi="Times New Roman" w:cs="Times New Roman"/>
          <w:sz w:val="20"/>
          <w:szCs w:val="20"/>
        </w:rPr>
        <w:t xml:space="preserve"> (SERG: </w:t>
      </w:r>
      <w:r>
        <w:rPr>
          <w:rStyle w:val="a4"/>
          <w:rFonts w:ascii="Times New Roman" w:hAnsi="Times New Roman" w:cs="Times New Roman"/>
          <w:sz w:val="20"/>
          <w:szCs w:val="20"/>
        </w:rPr>
        <w:t>Stability</w:t>
      </w:r>
      <w:r>
        <w:rPr>
          <w:rFonts w:ascii="Times New Roman" w:hAnsi="Times New Roman" w:cs="Times New Roman"/>
          <w:sz w:val="20"/>
          <w:szCs w:val="20"/>
        </w:rPr>
        <w:t>) — the dual-channel fallback e</w:t>
      </w:r>
      <w:r>
        <w:rPr>
          <w:rFonts w:ascii="Times New Roman" w:hAnsi="Times New Roman" w:cs="Times New Roman"/>
          <w:sz w:val="20"/>
          <w:szCs w:val="20"/>
        </w:rPr>
        <w:t>ffectively reduced interruption risk.</w:t>
      </w:r>
    </w:p>
    <w:p w14:paraId="5166919B" w14:textId="77777777" w:rsidR="006132FB" w:rsidRDefault="004B21E9">
      <w:pPr>
        <w:pStyle w:val="a3"/>
        <w:numPr>
          <w:ilvl w:val="0"/>
          <w:numId w:val="6"/>
        </w:numPr>
        <w:rPr>
          <w:rFonts w:ascii="Times New Roman" w:hAnsi="Times New Roman" w:cs="Times New Roman"/>
          <w:sz w:val="20"/>
          <w:szCs w:val="20"/>
        </w:rPr>
      </w:pPr>
      <w:r>
        <w:rPr>
          <w:rStyle w:val="a4"/>
          <w:rFonts w:ascii="Times New Roman" w:hAnsi="Times New Roman" w:cs="Times New Roman"/>
          <w:sz w:val="20"/>
          <w:szCs w:val="20"/>
        </w:rPr>
        <w:t>Class:</w:t>
      </w:r>
      <w:r>
        <w:rPr>
          <w:rFonts w:ascii="Times New Roman" w:hAnsi="Times New Roman" w:cs="Times New Roman"/>
          <w:sz w:val="20"/>
          <w:szCs w:val="20"/>
        </w:rPr>
        <w:t xml:space="preserve"> EG-7 (Physical Chemistry, kinetics experiment, T2 Week 10)</w:t>
      </w:r>
    </w:p>
    <w:p w14:paraId="66ECC63E" w14:textId="77777777" w:rsidR="006132FB" w:rsidRDefault="004B21E9">
      <w:pPr>
        <w:pStyle w:val="a3"/>
        <w:numPr>
          <w:ilvl w:val="1"/>
          <w:numId w:val="6"/>
        </w:numPr>
        <w:rPr>
          <w:rFonts w:ascii="Times New Roman" w:hAnsi="Times New Roman" w:cs="Times New Roman"/>
          <w:sz w:val="20"/>
          <w:szCs w:val="20"/>
        </w:rPr>
      </w:pPr>
      <w:r>
        <w:rPr>
          <w:rStyle w:val="a4"/>
          <w:rFonts w:ascii="Times New Roman" w:hAnsi="Times New Roman" w:cs="Times New Roman"/>
          <w:sz w:val="20"/>
          <w:szCs w:val="20"/>
        </w:rPr>
        <w:t>Time:</w:t>
      </w:r>
      <w:r>
        <w:rPr>
          <w:rFonts w:ascii="Times New Roman" w:hAnsi="Times New Roman" w:cs="Times New Roman"/>
          <w:sz w:val="20"/>
          <w:szCs w:val="20"/>
        </w:rPr>
        <w:t xml:space="preserve"> 15:10–15:30</w:t>
      </w:r>
    </w:p>
    <w:p w14:paraId="247E17AF" w14:textId="77777777" w:rsidR="006132FB" w:rsidRDefault="004B21E9">
      <w:pPr>
        <w:pStyle w:val="a3"/>
        <w:numPr>
          <w:ilvl w:val="1"/>
          <w:numId w:val="6"/>
        </w:numPr>
        <w:rPr>
          <w:rFonts w:ascii="Times New Roman" w:hAnsi="Times New Roman" w:cs="Times New Roman"/>
          <w:sz w:val="20"/>
          <w:szCs w:val="20"/>
        </w:rPr>
      </w:pPr>
      <w:r>
        <w:rPr>
          <w:rStyle w:val="a4"/>
          <w:rFonts w:ascii="Times New Roman" w:hAnsi="Times New Roman" w:cs="Times New Roman"/>
          <w:sz w:val="20"/>
          <w:szCs w:val="20"/>
        </w:rPr>
        <w:t>Event:</w:t>
      </w:r>
      <w:r>
        <w:rPr>
          <w:rFonts w:ascii="Times New Roman" w:hAnsi="Times New Roman" w:cs="Times New Roman"/>
          <w:sz w:val="20"/>
          <w:szCs w:val="20"/>
        </w:rPr>
        <w:t xml:space="preserve"> Student teams used AI tools to visualize rate constants and, guided by the rubric for self-assessment, identified error sources (temperature control ±0.1 °C). Peer review then informed refinement of report conclusions.</w:t>
      </w:r>
    </w:p>
    <w:p w14:paraId="145F6247" w14:textId="77777777" w:rsidR="006132FB" w:rsidRDefault="004B21E9">
      <w:pPr>
        <w:pStyle w:val="a3"/>
        <w:numPr>
          <w:ilvl w:val="1"/>
          <w:numId w:val="6"/>
        </w:numPr>
        <w:rPr>
          <w:rFonts w:ascii="Times New Roman" w:hAnsi="Times New Roman" w:cs="Times New Roman"/>
          <w:sz w:val="20"/>
          <w:szCs w:val="20"/>
        </w:rPr>
      </w:pPr>
      <w:r>
        <w:rPr>
          <w:rStyle w:val="a4"/>
          <w:rFonts w:ascii="Times New Roman" w:hAnsi="Times New Roman" w:cs="Times New Roman"/>
          <w:sz w:val="20"/>
          <w:szCs w:val="20"/>
        </w:rPr>
        <w:t>Observer note:</w:t>
      </w:r>
      <w:r>
        <w:rPr>
          <w:rFonts w:ascii="Times New Roman" w:hAnsi="Times New Roman" w:cs="Times New Roman"/>
          <w:sz w:val="20"/>
          <w:szCs w:val="20"/>
        </w:rPr>
        <w:t xml:space="preserve"> “Students actively cited the uncertainty prompt card. Discussion shifted from ‘is the result correct’ to ‘how does error affect the conclusion.’ AI feedback flagged data deviations in real time; the teacher provided targeted prompts.”</w:t>
      </w:r>
    </w:p>
    <w:p w14:paraId="2A49FF22" w14:textId="77777777" w:rsidR="006132FB" w:rsidRDefault="004B21E9">
      <w:pPr>
        <w:pStyle w:val="a3"/>
        <w:numPr>
          <w:ilvl w:val="1"/>
          <w:numId w:val="6"/>
        </w:numPr>
        <w:rPr>
          <w:rFonts w:ascii="Times New Roman" w:hAnsi="Times New Roman" w:cs="Times New Roman"/>
          <w:sz w:val="20"/>
          <w:szCs w:val="20"/>
        </w:rPr>
      </w:pPr>
      <w:r>
        <w:rPr>
          <w:rStyle w:val="a4"/>
          <w:rFonts w:ascii="Times New Roman" w:hAnsi="Times New Roman" w:cs="Times New Roman"/>
          <w:sz w:val="20"/>
          <w:szCs w:val="20"/>
        </w:rPr>
        <w:t>Linked challenge:</w:t>
      </w:r>
      <w:r>
        <w:rPr>
          <w:rFonts w:ascii="Times New Roman" w:hAnsi="Times New Roman" w:cs="Times New Roman"/>
          <w:sz w:val="20"/>
          <w:szCs w:val="20"/>
        </w:rPr>
        <w:t xml:space="preserve"> </w:t>
      </w:r>
      <w:r>
        <w:rPr>
          <w:rStyle w:val="a4"/>
          <w:rFonts w:ascii="Times New Roman" w:hAnsi="Times New Roman" w:cs="Times New Roman"/>
          <w:sz w:val="20"/>
          <w:szCs w:val="20"/>
        </w:rPr>
        <w:t>Mi</w:t>
      </w:r>
      <w:r>
        <w:rPr>
          <w:rStyle w:val="a4"/>
          <w:rFonts w:ascii="Times New Roman" w:hAnsi="Times New Roman" w:cs="Times New Roman"/>
          <w:sz w:val="20"/>
          <w:szCs w:val="20"/>
        </w:rPr>
        <w:t>ssing evaluation</w:t>
      </w:r>
      <w:r>
        <w:rPr>
          <w:rFonts w:ascii="Times New Roman" w:hAnsi="Times New Roman" w:cs="Times New Roman"/>
          <w:sz w:val="20"/>
          <w:szCs w:val="20"/>
        </w:rPr>
        <w:t xml:space="preserve"> (SERG: </w:t>
      </w:r>
      <w:r>
        <w:rPr>
          <w:rStyle w:val="a4"/>
          <w:rFonts w:ascii="Times New Roman" w:hAnsi="Times New Roman" w:cs="Times New Roman"/>
          <w:sz w:val="20"/>
          <w:szCs w:val="20"/>
        </w:rPr>
        <w:t>Evidence</w:t>
      </w:r>
      <w:r>
        <w:rPr>
          <w:rFonts w:ascii="Times New Roman" w:hAnsi="Times New Roman" w:cs="Times New Roman"/>
          <w:sz w:val="20"/>
          <w:szCs w:val="20"/>
        </w:rPr>
        <w:t>) — formative assessment plus AI support strengthened the evidence chain.</w:t>
      </w:r>
    </w:p>
    <w:p w14:paraId="73CD7DCF" w14:textId="77777777" w:rsidR="006132FB" w:rsidRDefault="004B21E9">
      <w:pPr>
        <w:pStyle w:val="a3"/>
        <w:numPr>
          <w:ilvl w:val="0"/>
          <w:numId w:val="6"/>
        </w:numPr>
        <w:rPr>
          <w:rFonts w:ascii="Times New Roman" w:hAnsi="Times New Roman" w:cs="Times New Roman"/>
          <w:sz w:val="20"/>
          <w:szCs w:val="20"/>
        </w:rPr>
      </w:pPr>
      <w:r>
        <w:rPr>
          <w:rStyle w:val="a4"/>
          <w:rFonts w:ascii="Times New Roman" w:hAnsi="Times New Roman" w:cs="Times New Roman"/>
          <w:sz w:val="20"/>
          <w:szCs w:val="20"/>
        </w:rPr>
        <w:t>Class:</w:t>
      </w:r>
      <w:r>
        <w:rPr>
          <w:rFonts w:ascii="Times New Roman" w:hAnsi="Times New Roman" w:cs="Times New Roman"/>
          <w:sz w:val="20"/>
          <w:szCs w:val="20"/>
        </w:rPr>
        <w:t xml:space="preserve"> EG-1 (Organic Chemistry, titration experiment, T1 Week 4)</w:t>
      </w:r>
    </w:p>
    <w:p w14:paraId="2D6072D3" w14:textId="77777777" w:rsidR="006132FB" w:rsidRDefault="004B21E9">
      <w:pPr>
        <w:pStyle w:val="a3"/>
        <w:numPr>
          <w:ilvl w:val="1"/>
          <w:numId w:val="6"/>
        </w:numPr>
        <w:rPr>
          <w:rFonts w:ascii="Times New Roman" w:hAnsi="Times New Roman" w:cs="Times New Roman"/>
          <w:sz w:val="20"/>
          <w:szCs w:val="20"/>
        </w:rPr>
      </w:pPr>
      <w:r>
        <w:rPr>
          <w:rStyle w:val="a4"/>
          <w:rFonts w:ascii="Times New Roman" w:hAnsi="Times New Roman" w:cs="Times New Roman"/>
          <w:sz w:val="20"/>
          <w:szCs w:val="20"/>
        </w:rPr>
        <w:t>Time:</w:t>
      </w:r>
      <w:r>
        <w:rPr>
          <w:rFonts w:ascii="Times New Roman" w:hAnsi="Times New Roman" w:cs="Times New Roman"/>
          <w:sz w:val="20"/>
          <w:szCs w:val="20"/>
        </w:rPr>
        <w:t xml:space="preserve"> 13:45–14:00</w:t>
      </w:r>
    </w:p>
    <w:p w14:paraId="6821CF9B" w14:textId="77777777" w:rsidR="006132FB" w:rsidRDefault="004B21E9">
      <w:pPr>
        <w:pStyle w:val="a3"/>
        <w:numPr>
          <w:ilvl w:val="1"/>
          <w:numId w:val="6"/>
        </w:numPr>
        <w:rPr>
          <w:rFonts w:ascii="Times New Roman" w:hAnsi="Times New Roman" w:cs="Times New Roman"/>
          <w:sz w:val="20"/>
          <w:szCs w:val="20"/>
        </w:rPr>
      </w:pPr>
      <w:r>
        <w:rPr>
          <w:rStyle w:val="a4"/>
          <w:rFonts w:ascii="Times New Roman" w:hAnsi="Times New Roman" w:cs="Times New Roman"/>
          <w:sz w:val="20"/>
          <w:szCs w:val="20"/>
        </w:rPr>
        <w:t>Event:</w:t>
      </w:r>
      <w:r>
        <w:rPr>
          <w:rFonts w:ascii="Times New Roman" w:hAnsi="Times New Roman" w:cs="Times New Roman"/>
          <w:sz w:val="20"/>
          <w:szCs w:val="20"/>
        </w:rPr>
        <w:t xml:space="preserve"> Guided by the TPACK handbook, the teacher delivered a micro-</w:t>
      </w:r>
      <w:r>
        <w:rPr>
          <w:rFonts w:ascii="Times New Roman" w:hAnsi="Times New Roman" w:cs="Times New Roman"/>
          <w:sz w:val="20"/>
          <w:szCs w:val="20"/>
        </w:rPr>
        <w:t xml:space="preserve">lesson. The AI process map led students from data import to curve fitting; the task sheet specified </w:t>
      </w:r>
      <w:r>
        <w:rPr>
          <w:rStyle w:val="a4"/>
          <w:rFonts w:ascii="Times New Roman" w:hAnsi="Times New Roman" w:cs="Times New Roman"/>
          <w:sz w:val="20"/>
          <w:szCs w:val="20"/>
        </w:rPr>
        <w:t>objective–method–reflection</w:t>
      </w:r>
      <w:r>
        <w:rPr>
          <w:rFonts w:ascii="Times New Roman" w:hAnsi="Times New Roman" w:cs="Times New Roman"/>
          <w:sz w:val="20"/>
          <w:szCs w:val="20"/>
        </w:rPr>
        <w:t xml:space="preserve"> requirements.</w:t>
      </w:r>
    </w:p>
    <w:p w14:paraId="74266E08" w14:textId="77777777" w:rsidR="006132FB" w:rsidRDefault="004B21E9">
      <w:pPr>
        <w:pStyle w:val="a3"/>
        <w:numPr>
          <w:ilvl w:val="1"/>
          <w:numId w:val="6"/>
        </w:numPr>
        <w:rPr>
          <w:rFonts w:ascii="Times New Roman" w:hAnsi="Times New Roman" w:cs="Times New Roman"/>
          <w:sz w:val="20"/>
          <w:szCs w:val="20"/>
        </w:rPr>
      </w:pPr>
      <w:r>
        <w:rPr>
          <w:rStyle w:val="a4"/>
          <w:rFonts w:ascii="Times New Roman" w:hAnsi="Times New Roman" w:cs="Times New Roman"/>
          <w:sz w:val="20"/>
          <w:szCs w:val="20"/>
        </w:rPr>
        <w:lastRenderedPageBreak/>
        <w:t>Observer note:</w:t>
      </w:r>
      <w:r>
        <w:rPr>
          <w:rFonts w:ascii="Times New Roman" w:hAnsi="Times New Roman" w:cs="Times New Roman"/>
          <w:sz w:val="20"/>
          <w:szCs w:val="20"/>
        </w:rPr>
        <w:t xml:space="preserve"> “Students followed the workflow; lesson design and enactment were highly aligned. AI tools were emb</w:t>
      </w:r>
      <w:r>
        <w:rPr>
          <w:rFonts w:ascii="Times New Roman" w:hAnsi="Times New Roman" w:cs="Times New Roman"/>
          <w:sz w:val="20"/>
          <w:szCs w:val="20"/>
        </w:rPr>
        <w:t>edded in the experimental logic. Student questions focused on technical details rather than procedural confusion.”</w:t>
      </w:r>
    </w:p>
    <w:p w14:paraId="2E84250A" w14:textId="77777777" w:rsidR="006132FB" w:rsidRDefault="004B21E9">
      <w:pPr>
        <w:pStyle w:val="a3"/>
        <w:numPr>
          <w:ilvl w:val="1"/>
          <w:numId w:val="6"/>
        </w:numPr>
        <w:rPr>
          <w:rFonts w:ascii="Times New Roman" w:hAnsi="Times New Roman" w:cs="Times New Roman"/>
          <w:sz w:val="20"/>
          <w:szCs w:val="20"/>
        </w:rPr>
      </w:pPr>
      <w:r>
        <w:rPr>
          <w:rStyle w:val="a4"/>
          <w:rFonts w:ascii="Times New Roman" w:hAnsi="Times New Roman" w:cs="Times New Roman"/>
          <w:sz w:val="20"/>
          <w:szCs w:val="20"/>
        </w:rPr>
        <w:t>Linked challenge:</w:t>
      </w:r>
      <w:r>
        <w:rPr>
          <w:rFonts w:ascii="Times New Roman" w:hAnsi="Times New Roman" w:cs="Times New Roman"/>
          <w:sz w:val="20"/>
          <w:szCs w:val="20"/>
        </w:rPr>
        <w:t xml:space="preserve"> </w:t>
      </w:r>
      <w:r>
        <w:rPr>
          <w:rStyle w:val="a4"/>
          <w:rFonts w:ascii="Times New Roman" w:hAnsi="Times New Roman" w:cs="Times New Roman"/>
          <w:sz w:val="20"/>
          <w:szCs w:val="20"/>
        </w:rPr>
        <w:t>Misalignment</w:t>
      </w:r>
      <w:r>
        <w:rPr>
          <w:rFonts w:ascii="Times New Roman" w:hAnsi="Times New Roman" w:cs="Times New Roman"/>
          <w:sz w:val="20"/>
          <w:szCs w:val="20"/>
        </w:rPr>
        <w:t xml:space="preserve"> (SERG: </w:t>
      </w:r>
      <w:r>
        <w:rPr>
          <w:rStyle w:val="a4"/>
          <w:rFonts w:ascii="Times New Roman" w:hAnsi="Times New Roman" w:cs="Times New Roman"/>
          <w:sz w:val="20"/>
          <w:szCs w:val="20"/>
        </w:rPr>
        <w:t>Reusability</w:t>
      </w:r>
      <w:r>
        <w:rPr>
          <w:rFonts w:ascii="Times New Roman" w:hAnsi="Times New Roman" w:cs="Times New Roman"/>
          <w:sz w:val="20"/>
          <w:szCs w:val="20"/>
        </w:rPr>
        <w:t>) — technology–pedagogy alignment reduced “technology for technology’s sake.”</w:t>
      </w:r>
    </w:p>
    <w:p w14:paraId="1E8DC874" w14:textId="77777777" w:rsidR="006132FB" w:rsidRDefault="004B21E9">
      <w:pPr>
        <w:pStyle w:val="3"/>
        <w:rPr>
          <w:rFonts w:ascii="Times New Roman" w:hAnsi="Times New Roman" w:cs="Times New Roman"/>
          <w:sz w:val="20"/>
          <w:szCs w:val="20"/>
        </w:rPr>
      </w:pPr>
      <w:r>
        <w:rPr>
          <w:rFonts w:ascii="Times New Roman" w:hAnsi="Times New Roman" w:cs="Times New Roman"/>
          <w:sz w:val="20"/>
          <w:szCs w:val="20"/>
        </w:rPr>
        <w:t>Summary</w:t>
      </w:r>
    </w:p>
    <w:p w14:paraId="404FC49F" w14:textId="77777777" w:rsidR="006132FB" w:rsidRDefault="004B21E9">
      <w:pPr>
        <w:pStyle w:val="a3"/>
        <w:rPr>
          <w:rFonts w:ascii="Times New Roman" w:hAnsi="Times New Roman" w:cs="Times New Roman"/>
          <w:sz w:val="20"/>
          <w:szCs w:val="20"/>
        </w:rPr>
      </w:pPr>
      <w:r>
        <w:rPr>
          <w:rFonts w:ascii="Times New Roman" w:hAnsi="Times New Roman" w:cs="Times New Roman"/>
          <w:sz w:val="20"/>
          <w:szCs w:val="20"/>
        </w:rPr>
        <w:t>The ob</w:t>
      </w:r>
      <w:r>
        <w:rPr>
          <w:rFonts w:ascii="Times New Roman" w:hAnsi="Times New Roman" w:cs="Times New Roman"/>
          <w:sz w:val="20"/>
          <w:szCs w:val="20"/>
        </w:rPr>
        <w:t xml:space="preserve">servation logs substantiate implementation fidelity: </w:t>
      </w:r>
      <w:r>
        <w:rPr>
          <w:rStyle w:val="a4"/>
          <w:rFonts w:ascii="Times New Roman" w:hAnsi="Times New Roman" w:cs="Times New Roman"/>
          <w:sz w:val="20"/>
          <w:szCs w:val="20"/>
        </w:rPr>
        <w:t>dual-channel switching (≈30–45 s)</w:t>
      </w:r>
      <w:r>
        <w:rPr>
          <w:rFonts w:ascii="Times New Roman" w:hAnsi="Times New Roman" w:cs="Times New Roman"/>
          <w:sz w:val="20"/>
          <w:szCs w:val="20"/>
        </w:rPr>
        <w:t xml:space="preserve"> secured classroom stability; the integration of </w:t>
      </w:r>
      <w:r>
        <w:rPr>
          <w:rStyle w:val="a4"/>
          <w:rFonts w:ascii="Times New Roman" w:hAnsi="Times New Roman" w:cs="Times New Roman"/>
          <w:sz w:val="20"/>
          <w:szCs w:val="20"/>
        </w:rPr>
        <w:t>AI and rubrics</w:t>
      </w:r>
      <w:r>
        <w:rPr>
          <w:rFonts w:ascii="Times New Roman" w:hAnsi="Times New Roman" w:cs="Times New Roman"/>
          <w:sz w:val="20"/>
          <w:szCs w:val="20"/>
        </w:rPr>
        <w:t xml:space="preserve"> improved the </w:t>
      </w:r>
      <w:r>
        <w:rPr>
          <w:rStyle w:val="a4"/>
          <w:rFonts w:ascii="Times New Roman" w:hAnsi="Times New Roman" w:cs="Times New Roman"/>
          <w:sz w:val="20"/>
          <w:szCs w:val="20"/>
        </w:rPr>
        <w:t>evidence chain</w:t>
      </w:r>
      <w:r>
        <w:rPr>
          <w:rFonts w:ascii="Times New Roman" w:hAnsi="Times New Roman" w:cs="Times New Roman"/>
          <w:sz w:val="20"/>
          <w:szCs w:val="20"/>
        </w:rPr>
        <w:t xml:space="preserve">; and </w:t>
      </w:r>
      <w:r>
        <w:rPr>
          <w:rStyle w:val="a4"/>
          <w:rFonts w:ascii="Times New Roman" w:hAnsi="Times New Roman" w:cs="Times New Roman"/>
          <w:sz w:val="20"/>
          <w:szCs w:val="20"/>
        </w:rPr>
        <w:t>TPACK-informed alignment</w:t>
      </w:r>
      <w:r>
        <w:rPr>
          <w:rFonts w:ascii="Times New Roman" w:hAnsi="Times New Roman" w:cs="Times New Roman"/>
          <w:sz w:val="20"/>
          <w:szCs w:val="20"/>
        </w:rPr>
        <w:t xml:space="preserve"> optimized task design. These records triangulate</w:t>
      </w:r>
      <w:r>
        <w:rPr>
          <w:rFonts w:ascii="Times New Roman" w:hAnsi="Times New Roman" w:cs="Times New Roman"/>
          <w:sz w:val="20"/>
          <w:szCs w:val="20"/>
        </w:rPr>
        <w:t xml:space="preserve"> with </w:t>
      </w:r>
      <w:r>
        <w:rPr>
          <w:rStyle w:val="a4"/>
          <w:rFonts w:ascii="Times New Roman" w:hAnsi="Times New Roman" w:cs="Times New Roman"/>
          <w:sz w:val="20"/>
          <w:szCs w:val="20"/>
        </w:rPr>
        <w:t>Table 2</w:t>
      </w:r>
      <w:r>
        <w:rPr>
          <w:rFonts w:ascii="Times New Roman" w:hAnsi="Times New Roman" w:cs="Times New Roman"/>
          <w:sz w:val="20"/>
          <w:szCs w:val="20"/>
        </w:rPr>
        <w:t xml:space="preserve"> (declining failure rates), </w:t>
      </w:r>
      <w:r>
        <w:rPr>
          <w:rStyle w:val="a4"/>
          <w:rFonts w:ascii="Times New Roman" w:hAnsi="Times New Roman" w:cs="Times New Roman"/>
          <w:sz w:val="20"/>
          <w:szCs w:val="20"/>
        </w:rPr>
        <w:t>Table 3</w:t>
      </w:r>
      <w:r>
        <w:rPr>
          <w:rFonts w:ascii="Times New Roman" w:hAnsi="Times New Roman" w:cs="Times New Roman"/>
          <w:sz w:val="20"/>
          <w:szCs w:val="20"/>
        </w:rPr>
        <w:t xml:space="preserve"> (improved report quality), and </w:t>
      </w:r>
      <w:r>
        <w:rPr>
          <w:rStyle w:val="a4"/>
          <w:rFonts w:ascii="Times New Roman" w:hAnsi="Times New Roman" w:cs="Times New Roman"/>
          <w:sz w:val="20"/>
          <w:szCs w:val="20"/>
        </w:rPr>
        <w:t>Table 4</w:t>
      </w:r>
      <w:r>
        <w:rPr>
          <w:rFonts w:ascii="Times New Roman" w:hAnsi="Times New Roman" w:cs="Times New Roman"/>
          <w:sz w:val="20"/>
          <w:szCs w:val="20"/>
        </w:rPr>
        <w:t xml:space="preserve"> (stronger lesson–enactment alignment), demonstrating a system-level resolution of the three challenges and supporting SERG’s closed-loop validation.</w:t>
      </w:r>
    </w:p>
    <w:p w14:paraId="1656BAA6" w14:textId="77777777" w:rsidR="006132FB" w:rsidRDefault="006132FB">
      <w:pPr>
        <w:rPr>
          <w:rFonts w:ascii="Times New Roman" w:hAnsi="Times New Roman" w:cs="Times New Roman"/>
        </w:rPr>
      </w:pPr>
    </w:p>
    <w:sectPr w:rsidR="006132FB" w:rsidSect="008D7267">
      <w:pgSz w:w="12240" w:h="15840" w:code="1"/>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0B5C04" w14:textId="77777777" w:rsidR="004B21E9" w:rsidRDefault="004B21E9" w:rsidP="008D7267">
      <w:r>
        <w:separator/>
      </w:r>
    </w:p>
  </w:endnote>
  <w:endnote w:type="continuationSeparator" w:id="0">
    <w:p w14:paraId="5062E33F" w14:textId="77777777" w:rsidR="004B21E9" w:rsidRDefault="004B21E9" w:rsidP="008D72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default"/>
    <w:sig w:usb0="00000000" w:usb1="0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6974A1" w14:textId="77777777" w:rsidR="004B21E9" w:rsidRDefault="004B21E9" w:rsidP="008D7267">
      <w:r>
        <w:separator/>
      </w:r>
    </w:p>
  </w:footnote>
  <w:footnote w:type="continuationSeparator" w:id="0">
    <w:p w14:paraId="14AFB2B8" w14:textId="77777777" w:rsidR="004B21E9" w:rsidRDefault="004B21E9" w:rsidP="008D726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01180B"/>
    <w:multiLevelType w:val="multilevel"/>
    <w:tmpl w:val="1401180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167A0AC7"/>
    <w:multiLevelType w:val="multilevel"/>
    <w:tmpl w:val="167A0AC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1AB36868"/>
    <w:multiLevelType w:val="multilevel"/>
    <w:tmpl w:val="1AB3686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42DF15DB"/>
    <w:multiLevelType w:val="multilevel"/>
    <w:tmpl w:val="42DF15D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5F643D2A"/>
    <w:multiLevelType w:val="multilevel"/>
    <w:tmpl w:val="5F643D2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78215EAE"/>
    <w:multiLevelType w:val="multilevel"/>
    <w:tmpl w:val="78215EA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abstractNumId w:val="0"/>
  </w:num>
  <w:num w:numId="2">
    <w:abstractNumId w:val="4"/>
  </w:num>
  <w:num w:numId="3">
    <w:abstractNumId w:val="3"/>
  </w:num>
  <w:num w:numId="4">
    <w:abstractNumId w:val="1"/>
  </w:num>
  <w:num w:numId="5">
    <w:abstractNumId w:val="2"/>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0704"/>
    <w:rsid w:val="004B21E9"/>
    <w:rsid w:val="00570704"/>
    <w:rsid w:val="006132FB"/>
    <w:rsid w:val="008D7267"/>
    <w:rsid w:val="3CE515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FD7F2CB1-48B1-4D14-BA26-E801CC90D7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link w:val="10"/>
    <w:uiPriority w:val="9"/>
    <w:qFormat/>
    <w:pPr>
      <w:widowControl/>
      <w:spacing w:before="100" w:beforeAutospacing="1" w:after="100" w:afterAutospacing="1"/>
      <w:jc w:val="left"/>
      <w:outlineLvl w:val="0"/>
    </w:pPr>
    <w:rPr>
      <w:rFonts w:ascii="宋体" w:eastAsia="宋体" w:hAnsi="宋体" w:cs="宋体"/>
      <w:b/>
      <w:bCs/>
      <w:kern w:val="36"/>
      <w:sz w:val="48"/>
      <w:szCs w:val="48"/>
    </w:rPr>
  </w:style>
  <w:style w:type="paragraph" w:styleId="2">
    <w:name w:val="heading 2"/>
    <w:basedOn w:val="a"/>
    <w:link w:val="20"/>
    <w:uiPriority w:val="9"/>
    <w:qFormat/>
    <w:pPr>
      <w:widowControl/>
      <w:spacing w:before="100" w:beforeAutospacing="1" w:after="100" w:afterAutospacing="1"/>
      <w:jc w:val="left"/>
      <w:outlineLvl w:val="1"/>
    </w:pPr>
    <w:rPr>
      <w:rFonts w:ascii="宋体" w:eastAsia="宋体" w:hAnsi="宋体" w:cs="宋体"/>
      <w:b/>
      <w:bCs/>
      <w:kern w:val="0"/>
      <w:sz w:val="36"/>
      <w:szCs w:val="36"/>
    </w:rPr>
  </w:style>
  <w:style w:type="paragraph" w:styleId="3">
    <w:name w:val="heading 3"/>
    <w:basedOn w:val="a"/>
    <w:next w:val="a"/>
    <w:link w:val="30"/>
    <w:uiPriority w:val="9"/>
    <w:semiHidden/>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pPr>
      <w:widowControl/>
      <w:spacing w:before="100" w:beforeAutospacing="1" w:after="100" w:afterAutospacing="1"/>
      <w:jc w:val="left"/>
    </w:pPr>
    <w:rPr>
      <w:rFonts w:ascii="宋体" w:eastAsia="宋体" w:hAnsi="宋体" w:cs="宋体"/>
      <w:kern w:val="0"/>
      <w:sz w:val="24"/>
      <w:szCs w:val="24"/>
    </w:rPr>
  </w:style>
  <w:style w:type="character" w:styleId="a4">
    <w:name w:val="Strong"/>
    <w:basedOn w:val="a0"/>
    <w:uiPriority w:val="22"/>
    <w:qFormat/>
    <w:rPr>
      <w:b/>
      <w:bCs/>
    </w:rPr>
  </w:style>
  <w:style w:type="character" w:styleId="a5">
    <w:name w:val="Emphasis"/>
    <w:basedOn w:val="a0"/>
    <w:uiPriority w:val="20"/>
    <w:qFormat/>
    <w:rPr>
      <w:i/>
      <w:iCs/>
    </w:rPr>
  </w:style>
  <w:style w:type="character" w:customStyle="1" w:styleId="10">
    <w:name w:val="标题 1 字符"/>
    <w:basedOn w:val="a0"/>
    <w:link w:val="1"/>
    <w:uiPriority w:val="9"/>
    <w:rPr>
      <w:rFonts w:ascii="宋体" w:eastAsia="宋体" w:hAnsi="宋体" w:cs="宋体"/>
      <w:b/>
      <w:bCs/>
      <w:kern w:val="36"/>
      <w:sz w:val="48"/>
      <w:szCs w:val="48"/>
    </w:rPr>
  </w:style>
  <w:style w:type="character" w:customStyle="1" w:styleId="20">
    <w:name w:val="标题 2 字符"/>
    <w:basedOn w:val="a0"/>
    <w:link w:val="2"/>
    <w:uiPriority w:val="9"/>
    <w:rPr>
      <w:rFonts w:ascii="宋体" w:eastAsia="宋体" w:hAnsi="宋体" w:cs="宋体"/>
      <w:b/>
      <w:bCs/>
      <w:kern w:val="0"/>
      <w:sz w:val="36"/>
      <w:szCs w:val="36"/>
    </w:rPr>
  </w:style>
  <w:style w:type="character" w:customStyle="1" w:styleId="30">
    <w:name w:val="标题 3 字符"/>
    <w:basedOn w:val="a0"/>
    <w:link w:val="3"/>
    <w:uiPriority w:val="9"/>
    <w:semiHidden/>
    <w:rPr>
      <w:b/>
      <w:bCs/>
      <w:sz w:val="32"/>
      <w:szCs w:val="32"/>
    </w:rPr>
  </w:style>
  <w:style w:type="paragraph" w:styleId="a6">
    <w:name w:val="header"/>
    <w:basedOn w:val="a"/>
    <w:link w:val="a7"/>
    <w:uiPriority w:val="99"/>
    <w:unhideWhenUsed/>
    <w:rsid w:val="008D7267"/>
    <w:pPr>
      <w:pBdr>
        <w:bottom w:val="single" w:sz="6" w:space="1" w:color="auto"/>
      </w:pBdr>
      <w:tabs>
        <w:tab w:val="center" w:pos="4153"/>
        <w:tab w:val="right" w:pos="8306"/>
      </w:tabs>
      <w:snapToGrid w:val="0"/>
      <w:jc w:val="center"/>
    </w:pPr>
    <w:rPr>
      <w:sz w:val="18"/>
      <w:szCs w:val="18"/>
    </w:rPr>
  </w:style>
  <w:style w:type="character" w:customStyle="1" w:styleId="a7">
    <w:name w:val="页眉 字符"/>
    <w:basedOn w:val="a0"/>
    <w:link w:val="a6"/>
    <w:uiPriority w:val="99"/>
    <w:rsid w:val="008D7267"/>
    <w:rPr>
      <w:kern w:val="2"/>
      <w:sz w:val="18"/>
      <w:szCs w:val="18"/>
    </w:rPr>
  </w:style>
  <w:style w:type="paragraph" w:styleId="a8">
    <w:name w:val="footer"/>
    <w:basedOn w:val="a"/>
    <w:link w:val="a9"/>
    <w:uiPriority w:val="99"/>
    <w:unhideWhenUsed/>
    <w:rsid w:val="008D7267"/>
    <w:pPr>
      <w:tabs>
        <w:tab w:val="center" w:pos="4153"/>
        <w:tab w:val="right" w:pos="8306"/>
      </w:tabs>
      <w:snapToGrid w:val="0"/>
      <w:jc w:val="left"/>
    </w:pPr>
    <w:rPr>
      <w:sz w:val="18"/>
      <w:szCs w:val="18"/>
    </w:rPr>
  </w:style>
  <w:style w:type="character" w:customStyle="1" w:styleId="a9">
    <w:name w:val="页脚 字符"/>
    <w:basedOn w:val="a0"/>
    <w:link w:val="a8"/>
    <w:uiPriority w:val="99"/>
    <w:rsid w:val="008D7267"/>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5</Pages>
  <Words>1268</Words>
  <Characters>8309</Characters>
  <Application>Microsoft Office Word</Application>
  <DocSecurity>0</DocSecurity>
  <Lines>145</Lines>
  <Paragraphs>59</Paragraphs>
  <ScaleCrop>false</ScaleCrop>
  <Company/>
  <LinksUpToDate>false</LinksUpToDate>
  <CharactersWithSpaces>9518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Zuozhaohong</dc:creator>
  <cp:lastModifiedBy>Zuozhaohong</cp:lastModifiedBy>
  <cp:revision>2</cp:revision>
  <dcterms:created xsi:type="dcterms:W3CDTF">2025-08-28T15:13:00Z</dcterms:created>
  <dcterms:modified xsi:type="dcterms:W3CDTF">2025-08-31T15:15:00Z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02a9c393-1ffd-44fb-9da0-3390b05a0758</vt:lpwstr>
  </property>
  <property fmtid="{D5CDD505-2E9C-101B-9397-08002B2CF9AE}" pid="3" name="KSOTemplateDocerSaveRecord">
    <vt:lpwstr>eyJoZGlkIjoiYzg5Mzc0NDQ3OTQ0YzgwYTYwM2Q2NWZlNWFiMDA0NmIiLCJ1c2VySWQiOiI2MDgxOTA5OTcifQ==</vt:lpwstr>
  </property>
  <property fmtid="{D5CDD505-2E9C-101B-9397-08002B2CF9AE}" pid="4" name="KSOProductBuildVer">
    <vt:lpwstr>2052-12.1.0.22529</vt:lpwstr>
  </property>
  <property fmtid="{D5CDD505-2E9C-101B-9397-08002B2CF9AE}" pid="5" name="ICV">
    <vt:lpwstr>0557D7395C974E30919D9524A1809C75_12</vt:lpwstr>
  </property>
</Properties>
</file>