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Table: Partial Proportional Odds Model for Post-Operative Pain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75"/>
        <w:gridCol w:w="2795"/>
        <w:gridCol w:w="115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OR_CI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Mild|Moderate.(Intercept)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 (Reference / Scale)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Moderate|Severe.(Intercept)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5.82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Procedure Type (Mild vs Mod/Sev)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Procedure Type (Mild/Mod vs Sev)*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 (Mild vs Mod/Sev)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Smoking Status (Mild/Mod vs Sev)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Mild|Moderate.smoking_cat.Q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Moderate|Severe.smoking_cat.Q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 (Reference / Scale)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(Linear 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 (0.09 –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(Quadratic 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 (0.30 –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(Cubic trend)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 (0.51 –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Analgesics Plan: Typical + Tramadol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 (1.39 – 6.88)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Average Expected Pain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(1.03 – 1.41)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2026-10-18T20:07:50Z</dcterms:modified>
  <cp:category/>
</cp:coreProperties>
</file>