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6A6C" w14:textId="77777777" w:rsidR="009F1F46" w:rsidRPr="00EC3E42" w:rsidRDefault="009F1F46">
      <w:pPr>
        <w:spacing w:after="240"/>
        <w:rPr>
          <w:rFonts w:asciiTheme="majorBidi" w:hAnsiTheme="majorBidi" w:cstheme="majorBidi"/>
        </w:rPr>
      </w:pPr>
    </w:p>
    <w:p w14:paraId="704F6A6D" w14:textId="77777777" w:rsidR="009F1F46" w:rsidRPr="00EC3E42" w:rsidRDefault="009F1F46">
      <w:pPr>
        <w:spacing w:after="240"/>
        <w:rPr>
          <w:rFonts w:asciiTheme="majorBidi" w:hAnsiTheme="majorBidi" w:cstheme="majorBidi"/>
        </w:rPr>
      </w:pPr>
    </w:p>
    <w:p w14:paraId="704F6A6E" w14:textId="77777777" w:rsidR="009F1F46" w:rsidRPr="00EC3E42" w:rsidRDefault="009F1F46">
      <w:pPr>
        <w:spacing w:after="240"/>
        <w:rPr>
          <w:rFonts w:asciiTheme="majorBidi" w:hAnsiTheme="majorBidi" w:cstheme="majorBidi"/>
        </w:rPr>
      </w:pPr>
    </w:p>
    <w:p w14:paraId="704F6A6F" w14:textId="77777777" w:rsidR="009F1F46" w:rsidRPr="00EC3E42" w:rsidRDefault="009F1F46">
      <w:pPr>
        <w:spacing w:after="240"/>
        <w:rPr>
          <w:rFonts w:asciiTheme="majorBidi" w:hAnsiTheme="majorBidi" w:cstheme="majorBidi"/>
        </w:rPr>
      </w:pPr>
    </w:p>
    <w:p w14:paraId="704F6A70" w14:textId="77777777" w:rsidR="009F1F46" w:rsidRPr="00EC3E42" w:rsidRDefault="009F1F46">
      <w:pPr>
        <w:spacing w:after="240"/>
        <w:rPr>
          <w:rFonts w:asciiTheme="majorBidi" w:hAnsiTheme="majorBidi" w:cstheme="majorBidi"/>
        </w:rPr>
      </w:pPr>
    </w:p>
    <w:p w14:paraId="704F6A71" w14:textId="77777777" w:rsidR="009F1F46" w:rsidRPr="00EC3E42" w:rsidRDefault="009F1F46">
      <w:pPr>
        <w:spacing w:after="240"/>
        <w:rPr>
          <w:rFonts w:asciiTheme="majorBidi" w:hAnsiTheme="majorBidi" w:cstheme="majorBidi"/>
        </w:rPr>
      </w:pPr>
    </w:p>
    <w:p w14:paraId="704F6A72" w14:textId="77777777" w:rsidR="009F1F46" w:rsidRPr="00EC3E42" w:rsidRDefault="009F1F46">
      <w:pPr>
        <w:spacing w:after="240"/>
        <w:rPr>
          <w:rFonts w:asciiTheme="majorBidi" w:hAnsiTheme="majorBidi" w:cstheme="majorBidi"/>
        </w:rPr>
      </w:pPr>
    </w:p>
    <w:p w14:paraId="704F6A73" w14:textId="77777777" w:rsidR="009F1F46" w:rsidRPr="00EC3E42" w:rsidRDefault="0047242B">
      <w:pPr>
        <w:spacing w:after="120"/>
        <w:jc w:val="center"/>
        <w:rPr>
          <w:rFonts w:asciiTheme="majorBidi" w:hAnsiTheme="majorBidi" w:cstheme="majorBidi"/>
        </w:rPr>
      </w:pPr>
      <w:r w:rsidRPr="00EC3E42">
        <w:rPr>
          <w:rFonts w:asciiTheme="majorBidi" w:hAnsiTheme="majorBidi" w:cstheme="majorBidi"/>
          <w:b/>
          <w:bCs/>
          <w:sz w:val="42"/>
          <w:szCs w:val="42"/>
        </w:rPr>
        <w:t>Influencer Marketing ROI: Comprehensive Performance Audit &amp; Benchmarking Synthesis</w:t>
      </w:r>
    </w:p>
    <w:p w14:paraId="704F6A74" w14:textId="77777777" w:rsidR="009F1F46" w:rsidRPr="00EC3E42" w:rsidRDefault="0047242B">
      <w:pPr>
        <w:spacing w:after="240"/>
        <w:jc w:val="center"/>
        <w:rPr>
          <w:rFonts w:asciiTheme="majorBidi" w:hAnsiTheme="majorBidi" w:cstheme="majorBidi"/>
        </w:rPr>
      </w:pPr>
      <w:r w:rsidRPr="00EC3E42">
        <w:rPr>
          <w:rFonts w:asciiTheme="majorBidi" w:hAnsiTheme="majorBidi" w:cstheme="majorBidi"/>
          <w:b/>
          <w:bCs/>
          <w:sz w:val="22"/>
          <w:szCs w:val="22"/>
        </w:rPr>
        <w:t>Course:</w:t>
      </w:r>
      <w:r w:rsidRPr="00EC3E42">
        <w:rPr>
          <w:rFonts w:asciiTheme="majorBidi" w:hAnsiTheme="majorBidi" w:cstheme="majorBidi"/>
          <w:sz w:val="22"/>
          <w:szCs w:val="22"/>
        </w:rPr>
        <w:t xml:space="preserve"> BAI 3301      |      </w:t>
      </w:r>
      <w:r w:rsidRPr="00EC3E42">
        <w:rPr>
          <w:rFonts w:asciiTheme="majorBidi" w:hAnsiTheme="majorBidi" w:cstheme="majorBidi"/>
          <w:b/>
          <w:bCs/>
          <w:sz w:val="22"/>
          <w:szCs w:val="22"/>
        </w:rPr>
        <w:t>Term:</w:t>
      </w:r>
      <w:r w:rsidRPr="00EC3E42">
        <w:rPr>
          <w:rFonts w:asciiTheme="majorBidi" w:hAnsiTheme="majorBidi" w:cstheme="majorBidi"/>
          <w:sz w:val="22"/>
          <w:szCs w:val="22"/>
        </w:rPr>
        <w:t xml:space="preserve"> Spring 2026      |      </w:t>
      </w:r>
      <w:r w:rsidRPr="00EC3E42">
        <w:rPr>
          <w:rFonts w:asciiTheme="majorBidi" w:hAnsiTheme="majorBidi" w:cstheme="majorBidi"/>
          <w:b/>
          <w:bCs/>
          <w:sz w:val="22"/>
          <w:szCs w:val="22"/>
        </w:rPr>
        <w:t xml:space="preserve">Team: </w:t>
      </w:r>
      <w:r w:rsidRPr="00EC3E42">
        <w:rPr>
          <w:rFonts w:asciiTheme="majorBidi" w:hAnsiTheme="majorBidi" w:cstheme="majorBidi"/>
          <w:sz w:val="22"/>
          <w:szCs w:val="22"/>
        </w:rPr>
        <w:t>White Mountain Analysts</w:t>
      </w:r>
    </w:p>
    <w:p w14:paraId="704F6A75" w14:textId="072CC9DE" w:rsidR="009F1F46" w:rsidRPr="0042584C" w:rsidRDefault="0047242B">
      <w:pPr>
        <w:spacing w:after="240"/>
        <w:jc w:val="center"/>
        <w:rPr>
          <w:rFonts w:asciiTheme="majorBidi" w:hAnsiTheme="majorBidi" w:cstheme="majorBidi"/>
          <w:sz w:val="22"/>
          <w:szCs w:val="22"/>
          <w:u w:val="single"/>
        </w:rPr>
      </w:pPr>
      <w:hyperlink r:id="rId5" w:history="1">
        <w:r w:rsidRPr="0042584C">
          <w:rPr>
            <w:rStyle w:val="Hyperlink"/>
            <w:rFonts w:asciiTheme="majorBidi" w:hAnsiTheme="majorBidi" w:cstheme="majorBidi"/>
            <w:b/>
            <w:bCs/>
            <w:sz w:val="22"/>
            <w:szCs w:val="22"/>
          </w:rPr>
          <w:t>Project Repository</w:t>
        </w:r>
      </w:hyperlink>
      <w:r w:rsidR="00E56B68" w:rsidRPr="0042584C">
        <w:rPr>
          <w:rFonts w:asciiTheme="majorBidi" w:hAnsiTheme="majorBidi" w:cstheme="majorBidi"/>
          <w:sz w:val="22"/>
          <w:szCs w:val="22"/>
          <w:u w:val="single"/>
        </w:rPr>
        <w:t xml:space="preserve"> </w:t>
      </w:r>
    </w:p>
    <w:p w14:paraId="3DA325EE" w14:textId="77777777" w:rsidR="00E56B68" w:rsidRPr="00EC3E42" w:rsidRDefault="00E56B68">
      <w:pPr>
        <w:spacing w:after="240"/>
        <w:jc w:val="center"/>
        <w:rPr>
          <w:rFonts w:asciiTheme="majorBidi" w:hAnsiTheme="majorBidi" w:cstheme="majorBidi"/>
          <w:sz w:val="22"/>
          <w:szCs w:val="22"/>
        </w:rPr>
      </w:pPr>
    </w:p>
    <w:p w14:paraId="3FB5E523" w14:textId="77777777" w:rsidR="00E56B68" w:rsidRPr="00EC3E42" w:rsidRDefault="00E56B68">
      <w:pPr>
        <w:spacing w:after="240"/>
        <w:jc w:val="center"/>
        <w:rPr>
          <w:rFonts w:asciiTheme="majorBidi" w:hAnsiTheme="majorBidi" w:cstheme="majorBidi"/>
        </w:rPr>
      </w:pPr>
    </w:p>
    <w:p w14:paraId="704F6A76" w14:textId="77777777" w:rsidR="009F1F46" w:rsidRPr="00EC3E42" w:rsidRDefault="009F1F46">
      <w:pPr>
        <w:rPr>
          <w:rFonts w:asciiTheme="majorBidi" w:hAnsiTheme="majorBidi" w:cstheme="majorBidi"/>
        </w:rPr>
        <w:sectPr w:rsidR="009F1F46" w:rsidRPr="00EC3E42">
          <w:pgSz w:w="12240" w:h="15840"/>
          <w:pgMar w:top="1800" w:right="1440" w:bottom="1440" w:left="1440" w:header="708" w:footer="708" w:gutter="0"/>
          <w:cols w:space="720"/>
          <w:docGrid w:linePitch="360"/>
        </w:sectPr>
      </w:pPr>
    </w:p>
    <w:p w14:paraId="704F6A77" w14:textId="77777777" w:rsidR="009F1F46" w:rsidRPr="00EC3E42" w:rsidRDefault="0047242B">
      <w:pPr>
        <w:pStyle w:val="Heading2"/>
        <w:spacing w:before="200" w:after="80"/>
        <w:rPr>
          <w:rFonts w:asciiTheme="majorBidi" w:hAnsiTheme="majorBidi" w:cstheme="majorBidi"/>
          <w:sz w:val="30"/>
          <w:szCs w:val="30"/>
        </w:rPr>
      </w:pPr>
      <w:r w:rsidRPr="00EC3E42">
        <w:rPr>
          <w:rFonts w:asciiTheme="majorBidi" w:hAnsiTheme="majorBidi" w:cstheme="majorBidi"/>
          <w:b/>
          <w:bCs/>
          <w:color w:val="1F1F1F"/>
          <w:sz w:val="30"/>
          <w:szCs w:val="30"/>
        </w:rPr>
        <w:lastRenderedPageBreak/>
        <w:t>1. Executive Summary</w:t>
      </w:r>
    </w:p>
    <w:p w14:paraId="704F6A78"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Influencer marketing budgets have grown considerably over the past decade, yet most brands still struggle to answer one basic question: what is a campaign </w:t>
      </w:r>
      <w:proofErr w:type="gramStart"/>
      <w:r w:rsidRPr="00EC3E42">
        <w:rPr>
          <w:rFonts w:asciiTheme="majorBidi" w:hAnsiTheme="majorBidi" w:cstheme="majorBidi"/>
          <w:sz w:val="24"/>
          <w:szCs w:val="24"/>
        </w:rPr>
        <w:t>actually worth</w:t>
      </w:r>
      <w:proofErr w:type="gramEnd"/>
      <w:r w:rsidRPr="00EC3E42">
        <w:rPr>
          <w:rFonts w:asciiTheme="majorBidi" w:hAnsiTheme="majorBidi" w:cstheme="majorBidi"/>
          <w:sz w:val="24"/>
          <w:szCs w:val="24"/>
        </w:rPr>
        <w:t>? Engagement rates look impressive in decks, follower counts feel like social proof, and viral moments generate excitement — but none of those things reliably translate into revenue. This audit was built around that gap.</w:t>
      </w:r>
    </w:p>
    <w:p w14:paraId="7F793CB2" w14:textId="203D8676" w:rsidR="00EC3E42" w:rsidRPr="00EC3E42" w:rsidRDefault="0047242B" w:rsidP="00EC3E42">
      <w:pPr>
        <w:spacing w:after="110"/>
        <w:rPr>
          <w:rFonts w:asciiTheme="majorBidi" w:hAnsiTheme="majorBidi" w:cstheme="majorBidi"/>
          <w:sz w:val="24"/>
          <w:szCs w:val="24"/>
        </w:rPr>
      </w:pPr>
      <w:r w:rsidRPr="00EC3E42">
        <w:rPr>
          <w:rFonts w:asciiTheme="majorBidi" w:hAnsiTheme="majorBidi" w:cstheme="majorBidi"/>
          <w:sz w:val="24"/>
          <w:szCs w:val="24"/>
        </w:rPr>
        <w:t>Using a Kaggle-sourced dataset of 150,000 campaigns scaled to one million rows through bootstrapping and Gaussian noise injection, the team developed a KPI framework designed to separate genuine performance signals from noise. The dataset augmentation was not cosmetic — it was necessary to stress-test findings at a population scale without introducing the prediction shortcuts that come with small samples. From there, Tableau benchmarking and Multiple Linear Regression were used to formally test which variab</w:t>
      </w:r>
      <w:r w:rsidRPr="00EC3E42">
        <w:rPr>
          <w:rFonts w:asciiTheme="majorBidi" w:hAnsiTheme="majorBidi" w:cstheme="majorBidi"/>
          <w:sz w:val="24"/>
          <w:szCs w:val="24"/>
        </w:rPr>
        <w:t xml:space="preserve">les </w:t>
      </w:r>
      <w:proofErr w:type="gramStart"/>
      <w:r w:rsidRPr="00EC3E42">
        <w:rPr>
          <w:rFonts w:asciiTheme="majorBidi" w:hAnsiTheme="majorBidi" w:cstheme="majorBidi"/>
          <w:sz w:val="24"/>
          <w:szCs w:val="24"/>
        </w:rPr>
        <w:t>actually correlate</w:t>
      </w:r>
      <w:proofErr w:type="gramEnd"/>
      <w:r w:rsidRPr="00EC3E42">
        <w:rPr>
          <w:rFonts w:asciiTheme="majorBidi" w:hAnsiTheme="majorBidi" w:cstheme="majorBidi"/>
          <w:sz w:val="24"/>
          <w:szCs w:val="24"/>
        </w:rPr>
        <w:t xml:space="preserve"> with sales and which ones just inflate the appearance of success.</w:t>
      </w:r>
    </w:p>
    <w:p w14:paraId="704F6A7A" w14:textId="77777777" w:rsidR="009F1F46" w:rsidRPr="00EC3E42" w:rsidRDefault="0047242B">
      <w:pPr>
        <w:pStyle w:val="Heading2"/>
        <w:spacing w:before="200" w:after="80"/>
        <w:rPr>
          <w:rFonts w:asciiTheme="majorBidi" w:hAnsiTheme="majorBidi" w:cstheme="majorBidi"/>
          <w:sz w:val="30"/>
          <w:szCs w:val="30"/>
        </w:rPr>
      </w:pPr>
      <w:r w:rsidRPr="00EC3E42">
        <w:rPr>
          <w:rFonts w:asciiTheme="majorBidi" w:hAnsiTheme="majorBidi" w:cstheme="majorBidi"/>
          <w:b/>
          <w:bCs/>
          <w:color w:val="1F1F1F"/>
          <w:sz w:val="30"/>
          <w:szCs w:val="30"/>
        </w:rPr>
        <w:t>2. Performance Definition &amp; KPI Engineering</w:t>
      </w:r>
    </w:p>
    <w:p w14:paraId="704F6A7B"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Before any analysis could begin, the team had to define what “good” </w:t>
      </w:r>
      <w:proofErr w:type="gramStart"/>
      <w:r w:rsidRPr="00EC3E42">
        <w:rPr>
          <w:rFonts w:asciiTheme="majorBidi" w:hAnsiTheme="majorBidi" w:cstheme="majorBidi"/>
          <w:sz w:val="24"/>
          <w:szCs w:val="24"/>
        </w:rPr>
        <w:t>actually looks</w:t>
      </w:r>
      <w:proofErr w:type="gramEnd"/>
      <w:r w:rsidRPr="00EC3E42">
        <w:rPr>
          <w:rFonts w:asciiTheme="majorBidi" w:hAnsiTheme="majorBidi" w:cstheme="majorBidi"/>
          <w:sz w:val="24"/>
          <w:szCs w:val="24"/>
        </w:rPr>
        <w:t xml:space="preserve"> like. That sounds obvious, but in practice most campaign evaluations rely on whatever metrics the platform surfaces by default — which are almost always designed to make the platform look valuable, not the campaign. To get around this, performance was organized across three verticals: engagement quality, growth efficiency, and overall effectiveness.</w:t>
      </w:r>
    </w:p>
    <w:p w14:paraId="36A75977" w14:textId="55A6F2AB" w:rsidR="00EC3E42" w:rsidRPr="00EC3E42" w:rsidRDefault="0047242B" w:rsidP="00EC3E42">
      <w:pPr>
        <w:spacing w:after="110"/>
        <w:rPr>
          <w:rFonts w:asciiTheme="majorBidi" w:hAnsiTheme="majorBidi" w:cstheme="majorBidi"/>
          <w:sz w:val="24"/>
          <w:szCs w:val="24"/>
        </w:rPr>
      </w:pPr>
      <w:r w:rsidRPr="00EC3E42">
        <w:rPr>
          <w:rFonts w:asciiTheme="majorBidi" w:hAnsiTheme="majorBidi" w:cstheme="majorBidi"/>
          <w:sz w:val="24"/>
          <w:szCs w:val="24"/>
        </w:rPr>
        <w:t xml:space="preserve">Six KPIs were derived from those verticals. True Engagement Rate measures the share of the exposed audience that </w:t>
      </w:r>
      <w:proofErr w:type="gramStart"/>
      <w:r w:rsidRPr="00EC3E42">
        <w:rPr>
          <w:rFonts w:asciiTheme="majorBidi" w:hAnsiTheme="majorBidi" w:cstheme="majorBidi"/>
          <w:sz w:val="24"/>
          <w:szCs w:val="24"/>
        </w:rPr>
        <w:t>actually interacted</w:t>
      </w:r>
      <w:proofErr w:type="gramEnd"/>
      <w:r w:rsidRPr="00EC3E42">
        <w:rPr>
          <w:rFonts w:asciiTheme="majorBidi" w:hAnsiTheme="majorBidi" w:cstheme="majorBidi"/>
          <w:sz w:val="24"/>
          <w:szCs w:val="24"/>
        </w:rPr>
        <w:t xml:space="preserve">, rather than inflating the denominator with follower counts. Daily Engagement Velocity tracks interaction momentum on a per-day basis, which later proved critical for identifying the decay curves in Section 3. On the growth side, Reach-to-Sales Conversion captures top-of-funnel exposure efficiency, while the Engagement-to-Sales Ratio answers the more pointed question of whether deeply engaged audiences </w:t>
      </w:r>
      <w:proofErr w:type="gramStart"/>
      <w:r w:rsidRPr="00EC3E42">
        <w:rPr>
          <w:rFonts w:asciiTheme="majorBidi" w:hAnsiTheme="majorBidi" w:cstheme="majorBidi"/>
          <w:sz w:val="24"/>
          <w:szCs w:val="24"/>
        </w:rPr>
        <w:t>actually buy</w:t>
      </w:r>
      <w:proofErr w:type="gramEnd"/>
      <w:r w:rsidRPr="00EC3E42">
        <w:rPr>
          <w:rFonts w:asciiTheme="majorBidi" w:hAnsiTheme="majorBidi" w:cstheme="majorBidi"/>
          <w:sz w:val="24"/>
          <w:szCs w:val="24"/>
        </w:rPr>
        <w:t xml:space="preserve">. Rounding things out, Sales Velocity and Reach Velocity serve as proxies </w:t>
      </w:r>
      <w:r w:rsidRPr="00EC3E42">
        <w:rPr>
          <w:rFonts w:asciiTheme="majorBidi" w:hAnsiTheme="majorBidi" w:cstheme="majorBidi"/>
          <w:sz w:val="24"/>
          <w:szCs w:val="24"/>
        </w:rPr>
        <w:t xml:space="preserve">for the speed of business impact and algorithmic spread, respectively. All denominators were sanitized against division-by-zero failures to keep the outputs clean across the full one-million-row dataset. A composite Benchmark Index was also built to compare each campaign against its platform average, and a </w:t>
      </w:r>
      <w:proofErr w:type="spellStart"/>
      <w:r w:rsidRPr="00EC3E42">
        <w:rPr>
          <w:rFonts w:asciiTheme="majorBidi" w:hAnsiTheme="majorBidi" w:cstheme="majorBidi"/>
          <w:sz w:val="24"/>
          <w:szCs w:val="24"/>
        </w:rPr>
        <w:t>boolean</w:t>
      </w:r>
      <w:proofErr w:type="spellEnd"/>
      <w:r w:rsidRPr="00EC3E42">
        <w:rPr>
          <w:rFonts w:asciiTheme="majorBidi" w:hAnsiTheme="majorBidi" w:cstheme="majorBidi"/>
          <w:sz w:val="24"/>
          <w:szCs w:val="24"/>
        </w:rPr>
        <w:t xml:space="preserve"> viral outlier flag was applied using IQR thresholding to isolate statistical anomalies for separate modeling.</w:t>
      </w:r>
    </w:p>
    <w:p w14:paraId="704F6A7D" w14:textId="77777777" w:rsidR="009F1F46" w:rsidRPr="00EC3E42" w:rsidRDefault="0047242B">
      <w:pPr>
        <w:pStyle w:val="Heading2"/>
        <w:spacing w:before="200" w:after="80"/>
        <w:rPr>
          <w:rFonts w:asciiTheme="majorBidi" w:hAnsiTheme="majorBidi" w:cstheme="majorBidi"/>
          <w:sz w:val="30"/>
          <w:szCs w:val="30"/>
        </w:rPr>
      </w:pPr>
      <w:r w:rsidRPr="00EC3E42">
        <w:rPr>
          <w:rFonts w:asciiTheme="majorBidi" w:hAnsiTheme="majorBidi" w:cstheme="majorBidi"/>
          <w:b/>
          <w:bCs/>
          <w:color w:val="1F1F1F"/>
          <w:sz w:val="30"/>
          <w:szCs w:val="30"/>
        </w:rPr>
        <w:t>3. Descriptive Benchmarking &amp; Trend Analysis</w:t>
      </w:r>
    </w:p>
    <w:p w14:paraId="704F6A7E"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Three findings </w:t>
      </w:r>
      <w:proofErr w:type="gramStart"/>
      <w:r w:rsidRPr="00EC3E42">
        <w:rPr>
          <w:rFonts w:asciiTheme="majorBidi" w:hAnsiTheme="majorBidi" w:cstheme="majorBidi"/>
          <w:sz w:val="24"/>
          <w:szCs w:val="24"/>
        </w:rPr>
        <w:t>stood</w:t>
      </w:r>
      <w:proofErr w:type="gramEnd"/>
      <w:r w:rsidRPr="00EC3E42">
        <w:rPr>
          <w:rFonts w:asciiTheme="majorBidi" w:hAnsiTheme="majorBidi" w:cstheme="majorBidi"/>
          <w:sz w:val="24"/>
          <w:szCs w:val="24"/>
        </w:rPr>
        <w:t xml:space="preserve"> out from the Tableau analysis, each with real strategic implications. The first — what the team called the Vanity Filter — emerged from plotting True Engagement Rate against the Engagement-to-Sales Ratio across niches. Travel and Fashion consistently attracted above-average engagement, but their conversion performance sat below platform baselines. The audiences are active, but they’re browsing, not buying. Tech and Gaming showed the </w:t>
      </w:r>
      <w:proofErr w:type="gramStart"/>
      <w:r w:rsidRPr="00EC3E42">
        <w:rPr>
          <w:rFonts w:asciiTheme="majorBidi" w:hAnsiTheme="majorBidi" w:cstheme="majorBidi"/>
          <w:sz w:val="24"/>
          <w:szCs w:val="24"/>
        </w:rPr>
        <w:t>inverse</w:t>
      </w:r>
      <w:proofErr w:type="gramEnd"/>
      <w:r w:rsidRPr="00EC3E42">
        <w:rPr>
          <w:rFonts w:asciiTheme="majorBidi" w:hAnsiTheme="majorBidi" w:cstheme="majorBidi"/>
          <w:sz w:val="24"/>
          <w:szCs w:val="24"/>
        </w:rPr>
        <w:t>: lower absolute reach, but Benchmark Index scores above 1.0 o</w:t>
      </w:r>
      <w:r w:rsidRPr="00EC3E42">
        <w:rPr>
          <w:rFonts w:asciiTheme="majorBidi" w:hAnsiTheme="majorBidi" w:cstheme="majorBidi"/>
          <w:sz w:val="24"/>
          <w:szCs w:val="24"/>
        </w:rPr>
        <w:t>n bottom-funnel conversion. The difference comes down to audience intent and trust, not campaign size.</w:t>
      </w:r>
    </w:p>
    <w:p w14:paraId="704F6A7F"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The second finding concerned timing. By modeling performance against campaign duration rather than calendar dates — a deliberate choice to avoid time-drift artifacts — the data produced a consistent decay curve. Both engagement and </w:t>
      </w:r>
      <w:proofErr w:type="gramStart"/>
      <w:r w:rsidRPr="00EC3E42">
        <w:rPr>
          <w:rFonts w:asciiTheme="majorBidi" w:hAnsiTheme="majorBidi" w:cstheme="majorBidi"/>
          <w:sz w:val="24"/>
          <w:szCs w:val="24"/>
        </w:rPr>
        <w:t>sales velocity</w:t>
      </w:r>
      <w:proofErr w:type="gramEnd"/>
      <w:r w:rsidRPr="00EC3E42">
        <w:rPr>
          <w:rFonts w:asciiTheme="majorBidi" w:hAnsiTheme="majorBidi" w:cstheme="majorBidi"/>
          <w:sz w:val="24"/>
          <w:szCs w:val="24"/>
        </w:rPr>
        <w:t xml:space="preserve"> peak sharply within the first two to four days of </w:t>
      </w:r>
      <w:proofErr w:type="gramStart"/>
      <w:r w:rsidRPr="00EC3E42">
        <w:rPr>
          <w:rFonts w:asciiTheme="majorBidi" w:hAnsiTheme="majorBidi" w:cstheme="majorBidi"/>
          <w:sz w:val="24"/>
          <w:szCs w:val="24"/>
        </w:rPr>
        <w:t>a campaign</w:t>
      </w:r>
      <w:proofErr w:type="gramEnd"/>
      <w:r w:rsidRPr="00EC3E42">
        <w:rPr>
          <w:rFonts w:asciiTheme="majorBidi" w:hAnsiTheme="majorBidi" w:cstheme="majorBidi"/>
          <w:sz w:val="24"/>
          <w:szCs w:val="24"/>
        </w:rPr>
        <w:t xml:space="preserve">, then fall off at a rate that makes continued </w:t>
      </w:r>
      <w:proofErr w:type="gramStart"/>
      <w:r w:rsidRPr="00EC3E42">
        <w:rPr>
          <w:rFonts w:asciiTheme="majorBidi" w:hAnsiTheme="majorBidi" w:cstheme="majorBidi"/>
          <w:sz w:val="24"/>
          <w:szCs w:val="24"/>
        </w:rPr>
        <w:t>spend</w:t>
      </w:r>
      <w:proofErr w:type="gramEnd"/>
      <w:r w:rsidRPr="00EC3E42">
        <w:rPr>
          <w:rFonts w:asciiTheme="majorBidi" w:hAnsiTheme="majorBidi" w:cstheme="majorBidi"/>
          <w:sz w:val="24"/>
          <w:szCs w:val="24"/>
        </w:rPr>
        <w:t xml:space="preserve"> increasingly inefficient. This </w:t>
      </w:r>
      <w:proofErr w:type="gramStart"/>
      <w:r w:rsidRPr="00EC3E42">
        <w:rPr>
          <w:rFonts w:asciiTheme="majorBidi" w:hAnsiTheme="majorBidi" w:cstheme="majorBidi"/>
          <w:sz w:val="24"/>
          <w:szCs w:val="24"/>
        </w:rPr>
        <w:t>held</w:t>
      </w:r>
      <w:proofErr w:type="gramEnd"/>
      <w:r w:rsidRPr="00EC3E42">
        <w:rPr>
          <w:rFonts w:asciiTheme="majorBidi" w:hAnsiTheme="majorBidi" w:cstheme="majorBidi"/>
          <w:sz w:val="24"/>
          <w:szCs w:val="24"/>
        </w:rPr>
        <w:t xml:space="preserve"> across niches and formats, which makes it an actionable rule rather than an edge case.</w:t>
      </w:r>
    </w:p>
    <w:p w14:paraId="5D4F3A7B" w14:textId="639106BC" w:rsidR="00EC3E42" w:rsidRPr="00EC3E42" w:rsidRDefault="0047242B" w:rsidP="00EC3E42">
      <w:pPr>
        <w:spacing w:after="110"/>
        <w:rPr>
          <w:rFonts w:asciiTheme="majorBidi" w:hAnsiTheme="majorBidi" w:cstheme="majorBidi"/>
          <w:sz w:val="24"/>
          <w:szCs w:val="24"/>
        </w:rPr>
      </w:pPr>
      <w:r w:rsidRPr="00EC3E42">
        <w:rPr>
          <w:rFonts w:asciiTheme="majorBidi" w:hAnsiTheme="majorBidi" w:cstheme="majorBidi"/>
          <w:sz w:val="24"/>
          <w:szCs w:val="24"/>
        </w:rPr>
        <w:t xml:space="preserve">The third finding involved campaign format. Product Launches and Event Promotions consistently led on conversion metrics, reflecting the specificity of their calls to action. Giveaways, on the other hand, generated strong algorithmic reach — sometimes dramatically so — but failed to produce proportionate </w:t>
      </w:r>
      <w:r w:rsidRPr="00EC3E42">
        <w:rPr>
          <w:rFonts w:asciiTheme="majorBidi" w:hAnsiTheme="majorBidi" w:cstheme="majorBidi"/>
          <w:sz w:val="24"/>
          <w:szCs w:val="24"/>
        </w:rPr>
        <w:lastRenderedPageBreak/>
        <w:t>revenue. They drive follows and shares from people who want free things, not necessarily from people who would ever purchase.</w:t>
      </w:r>
    </w:p>
    <w:p w14:paraId="704F6A81" w14:textId="77777777" w:rsidR="009F1F46" w:rsidRPr="00EC3E42" w:rsidRDefault="0047242B">
      <w:pPr>
        <w:pStyle w:val="Heading2"/>
        <w:spacing w:before="200" w:after="80"/>
        <w:rPr>
          <w:rFonts w:asciiTheme="majorBidi" w:hAnsiTheme="majorBidi" w:cstheme="majorBidi"/>
          <w:sz w:val="30"/>
          <w:szCs w:val="30"/>
        </w:rPr>
      </w:pPr>
      <w:r w:rsidRPr="00EC3E42">
        <w:rPr>
          <w:rFonts w:asciiTheme="majorBidi" w:hAnsiTheme="majorBidi" w:cstheme="majorBidi"/>
          <w:b/>
          <w:bCs/>
          <w:color w:val="1F1F1F"/>
          <w:sz w:val="30"/>
          <w:szCs w:val="30"/>
        </w:rPr>
        <w:t>4. Predictive Analytics &amp; Hypothesis Testing</w:t>
      </w:r>
    </w:p>
    <w:p w14:paraId="704F6A82"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The regression phase of this project was structured around hypothesis testing, not prediction accuracy. The question was never “can we build a model that scores well?” but “what do the models reveal about the underlying relationships?”</w:t>
      </w:r>
    </w:p>
    <w:p w14:paraId="704F6A83"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Models 1 through 4 tested the hypothesis that high engagement on major platforms predicts sales. All four returned R² values near zero, which is a meaningful result. It formally confirms what the benchmarking suggested: social attention and platform prestige do not produce a linear path to revenue. The relationship, whatever it is, is more complex than that. Model 3 extended this by </w:t>
      </w:r>
      <w:proofErr w:type="spellStart"/>
      <w:r w:rsidRPr="00EC3E42">
        <w:rPr>
          <w:rFonts w:asciiTheme="majorBidi" w:hAnsiTheme="majorBidi" w:cstheme="majorBidi"/>
          <w:sz w:val="24"/>
          <w:szCs w:val="24"/>
        </w:rPr>
        <w:t>subsetting</w:t>
      </w:r>
      <w:proofErr w:type="spellEnd"/>
      <w:r w:rsidRPr="00EC3E42">
        <w:rPr>
          <w:rFonts w:asciiTheme="majorBidi" w:hAnsiTheme="majorBidi" w:cstheme="majorBidi"/>
          <w:sz w:val="24"/>
          <w:szCs w:val="24"/>
        </w:rPr>
        <w:t xml:space="preserve"> the data using the viral outlier flag. Campaigns with extreme algorithmic reach </w:t>
      </w:r>
      <w:proofErr w:type="gramStart"/>
      <w:r w:rsidRPr="00EC3E42">
        <w:rPr>
          <w:rFonts w:asciiTheme="majorBidi" w:hAnsiTheme="majorBidi" w:cstheme="majorBidi"/>
          <w:sz w:val="24"/>
          <w:szCs w:val="24"/>
        </w:rPr>
        <w:t>actually showed</w:t>
      </w:r>
      <w:proofErr w:type="gramEnd"/>
      <w:r w:rsidRPr="00EC3E42">
        <w:rPr>
          <w:rFonts w:asciiTheme="majorBidi" w:hAnsiTheme="majorBidi" w:cstheme="majorBidi"/>
          <w:sz w:val="24"/>
          <w:szCs w:val="24"/>
        </w:rPr>
        <w:t xml:space="preserve"> weaker and more erratic conversion patterns than standard campaigns — viral spread, it turns out, amplifies unpredictability rather than scaling revenue proportionally. This adds weight to the argument that chasing virality is structurally less reliable than targeting a smaller, higher-intent audience.</w:t>
      </w:r>
    </w:p>
    <w:p w14:paraId="23D25A38" w14:textId="2FD10ACF" w:rsidR="00EC3E42" w:rsidRPr="00EC3E42" w:rsidRDefault="0047242B" w:rsidP="00EC3E42">
      <w:pPr>
        <w:spacing w:after="110"/>
        <w:rPr>
          <w:rFonts w:asciiTheme="majorBidi" w:hAnsiTheme="majorBidi" w:cstheme="majorBidi"/>
          <w:sz w:val="24"/>
          <w:szCs w:val="24"/>
        </w:rPr>
      </w:pPr>
      <w:r w:rsidRPr="00EC3E42">
        <w:rPr>
          <w:rFonts w:asciiTheme="majorBidi" w:hAnsiTheme="majorBidi" w:cstheme="majorBidi"/>
          <w:sz w:val="24"/>
          <w:szCs w:val="24"/>
        </w:rPr>
        <w:t xml:space="preserve">Model 5 introduced a deliberate cautionary note. A Random Forest Regressor initially produced near-perfect predictions, which prompted an immediate audit of the feature set. The culprit was </w:t>
      </w:r>
      <w:proofErr w:type="gramStart"/>
      <w:r w:rsidRPr="00EC3E42">
        <w:rPr>
          <w:rFonts w:asciiTheme="majorBidi" w:hAnsiTheme="majorBidi" w:cstheme="majorBidi"/>
          <w:sz w:val="24"/>
          <w:szCs w:val="24"/>
        </w:rPr>
        <w:t>target</w:t>
      </w:r>
      <w:proofErr w:type="gramEnd"/>
      <w:r w:rsidRPr="00EC3E42">
        <w:rPr>
          <w:rFonts w:asciiTheme="majorBidi" w:hAnsiTheme="majorBidi" w:cstheme="majorBidi"/>
          <w:sz w:val="24"/>
          <w:szCs w:val="24"/>
        </w:rPr>
        <w:t xml:space="preserve"> leakage: </w:t>
      </w:r>
      <w:proofErr w:type="spellStart"/>
      <w:r w:rsidRPr="00EC3E42">
        <w:rPr>
          <w:rFonts w:asciiTheme="majorBidi" w:hAnsiTheme="majorBidi" w:cstheme="majorBidi"/>
          <w:sz w:val="24"/>
          <w:szCs w:val="24"/>
        </w:rPr>
        <w:t>sales_velocity</w:t>
      </w:r>
      <w:proofErr w:type="spellEnd"/>
      <w:r w:rsidRPr="00EC3E42">
        <w:rPr>
          <w:rFonts w:asciiTheme="majorBidi" w:hAnsiTheme="majorBidi" w:cstheme="majorBidi"/>
          <w:sz w:val="24"/>
          <w:szCs w:val="24"/>
        </w:rPr>
        <w:t>, a feature that was algebraically derived from the target variable, had been included in the model inputs. Removing it collapsed the model’s performance to expected levels. This was kept in the report intentionally — it is exactly the kind of error that gets missed in large enterprise pipelines when feature engineering happens faster than feature review.</w:t>
      </w:r>
    </w:p>
    <w:p w14:paraId="704F6A85" w14:textId="77777777" w:rsidR="009F1F46" w:rsidRPr="00EC3E42" w:rsidRDefault="0047242B">
      <w:pPr>
        <w:pStyle w:val="Heading2"/>
        <w:spacing w:before="200" w:after="80"/>
        <w:rPr>
          <w:rFonts w:asciiTheme="majorBidi" w:hAnsiTheme="majorBidi" w:cstheme="majorBidi"/>
          <w:sz w:val="30"/>
          <w:szCs w:val="30"/>
        </w:rPr>
      </w:pPr>
      <w:r w:rsidRPr="00EC3E42">
        <w:rPr>
          <w:rFonts w:asciiTheme="majorBidi" w:hAnsiTheme="majorBidi" w:cstheme="majorBidi"/>
          <w:b/>
          <w:bCs/>
          <w:color w:val="1F1F1F"/>
          <w:sz w:val="30"/>
          <w:szCs w:val="30"/>
        </w:rPr>
        <w:t>5. Strategic Recommendations</w:t>
      </w:r>
    </w:p>
    <w:p w14:paraId="704F6A86" w14:textId="77777777" w:rsidR="009F1F46" w:rsidRPr="00EC3E42" w:rsidRDefault="0047242B">
      <w:pPr>
        <w:pStyle w:val="ListParagraph"/>
        <w:numPr>
          <w:ilvl w:val="0"/>
          <w:numId w:val="2"/>
        </w:numPr>
        <w:spacing w:after="80"/>
        <w:rPr>
          <w:rFonts w:asciiTheme="majorBidi" w:hAnsiTheme="majorBidi" w:cstheme="majorBidi"/>
          <w:sz w:val="24"/>
          <w:szCs w:val="24"/>
        </w:rPr>
      </w:pPr>
      <w:r w:rsidRPr="00EC3E42">
        <w:rPr>
          <w:rFonts w:asciiTheme="majorBidi" w:hAnsiTheme="majorBidi" w:cstheme="majorBidi"/>
          <w:b/>
          <w:bCs/>
          <w:sz w:val="24"/>
          <w:szCs w:val="24"/>
        </w:rPr>
        <w:t xml:space="preserve">Reallocate away from vanity-driven campaigns. </w:t>
      </w:r>
      <w:r w:rsidRPr="00EC3E42">
        <w:rPr>
          <w:rFonts w:asciiTheme="majorBidi" w:hAnsiTheme="majorBidi" w:cstheme="majorBidi"/>
          <w:sz w:val="24"/>
          <w:szCs w:val="24"/>
        </w:rPr>
        <w:t>Brand Awareness and Giveaway formats consistently underperformed on revenue metrics. The regression results confirm that reach volume is not a meaningful predictor of conversion. Budgets tied to these formats should be redirected.</w:t>
      </w:r>
    </w:p>
    <w:p w14:paraId="704F6A87" w14:textId="77777777" w:rsidR="009F1F46" w:rsidRPr="00EC3E42" w:rsidRDefault="0047242B">
      <w:pPr>
        <w:pStyle w:val="ListParagraph"/>
        <w:numPr>
          <w:ilvl w:val="0"/>
          <w:numId w:val="2"/>
        </w:numPr>
        <w:spacing w:after="80"/>
        <w:rPr>
          <w:rFonts w:asciiTheme="majorBidi" w:hAnsiTheme="majorBidi" w:cstheme="majorBidi"/>
          <w:sz w:val="24"/>
          <w:szCs w:val="24"/>
        </w:rPr>
      </w:pPr>
      <w:r w:rsidRPr="00EC3E42">
        <w:rPr>
          <w:rFonts w:asciiTheme="majorBidi" w:hAnsiTheme="majorBidi" w:cstheme="majorBidi"/>
          <w:b/>
          <w:bCs/>
          <w:sz w:val="24"/>
          <w:szCs w:val="24"/>
        </w:rPr>
        <w:t xml:space="preserve">Prioritize high-trust, high-intent niches. </w:t>
      </w:r>
      <w:r w:rsidRPr="00EC3E42">
        <w:rPr>
          <w:rFonts w:asciiTheme="majorBidi" w:hAnsiTheme="majorBidi" w:cstheme="majorBidi"/>
          <w:sz w:val="24"/>
          <w:szCs w:val="24"/>
        </w:rPr>
        <w:t>Tech and Gaming influencer categories demonstrated structurally superior Engagement-to-Sales Ratios. Investing in smaller, more targeted audiences within these verticals will likely outperform broader placements in lifestyle categories.</w:t>
      </w:r>
    </w:p>
    <w:p w14:paraId="704F6A88" w14:textId="77777777" w:rsidR="009F1F46" w:rsidRPr="00EC3E42" w:rsidRDefault="0047242B">
      <w:pPr>
        <w:pStyle w:val="ListParagraph"/>
        <w:numPr>
          <w:ilvl w:val="0"/>
          <w:numId w:val="2"/>
        </w:numPr>
        <w:spacing w:after="80"/>
        <w:rPr>
          <w:rFonts w:asciiTheme="majorBidi" w:hAnsiTheme="majorBidi" w:cstheme="majorBidi"/>
          <w:sz w:val="24"/>
          <w:szCs w:val="24"/>
        </w:rPr>
      </w:pPr>
      <w:r w:rsidRPr="00EC3E42">
        <w:rPr>
          <w:rFonts w:asciiTheme="majorBidi" w:hAnsiTheme="majorBidi" w:cstheme="majorBidi"/>
          <w:b/>
          <w:bCs/>
          <w:sz w:val="24"/>
          <w:szCs w:val="24"/>
        </w:rPr>
        <w:t xml:space="preserve">Cap campaign </w:t>
      </w:r>
      <w:proofErr w:type="gramStart"/>
      <w:r w:rsidRPr="00EC3E42">
        <w:rPr>
          <w:rFonts w:asciiTheme="majorBidi" w:hAnsiTheme="majorBidi" w:cstheme="majorBidi"/>
          <w:b/>
          <w:bCs/>
          <w:sz w:val="24"/>
          <w:szCs w:val="24"/>
        </w:rPr>
        <w:t>spend</w:t>
      </w:r>
      <w:proofErr w:type="gramEnd"/>
      <w:r w:rsidRPr="00EC3E42">
        <w:rPr>
          <w:rFonts w:asciiTheme="majorBidi" w:hAnsiTheme="majorBidi" w:cstheme="majorBidi"/>
          <w:b/>
          <w:bCs/>
          <w:sz w:val="24"/>
          <w:szCs w:val="24"/>
        </w:rPr>
        <w:t xml:space="preserve"> at four active days. </w:t>
      </w:r>
      <w:r w:rsidRPr="00EC3E42">
        <w:rPr>
          <w:rFonts w:asciiTheme="majorBidi" w:hAnsiTheme="majorBidi" w:cstheme="majorBidi"/>
          <w:sz w:val="24"/>
          <w:szCs w:val="24"/>
        </w:rPr>
        <w:t>The decay curves leave little room for interpretation. Post-day-four spend produces sharply diminishing returns across all formats and niches. Short, high-intensity bursts aligned with product launches or live events are the most capital-efficient structure.</w:t>
      </w:r>
    </w:p>
    <w:p w14:paraId="704F6A89" w14:textId="77777777" w:rsidR="009F1F46" w:rsidRPr="00EC3E42" w:rsidRDefault="0047242B">
      <w:pPr>
        <w:pStyle w:val="Heading2"/>
        <w:spacing w:before="200" w:after="80"/>
        <w:rPr>
          <w:rFonts w:asciiTheme="majorBidi" w:hAnsiTheme="majorBidi" w:cstheme="majorBidi"/>
          <w:sz w:val="30"/>
          <w:szCs w:val="30"/>
        </w:rPr>
      </w:pPr>
      <w:r w:rsidRPr="00EC3E42">
        <w:rPr>
          <w:rFonts w:asciiTheme="majorBidi" w:hAnsiTheme="majorBidi" w:cstheme="majorBidi"/>
          <w:b/>
          <w:bCs/>
          <w:color w:val="1F1F1F"/>
          <w:sz w:val="30"/>
          <w:szCs w:val="30"/>
        </w:rPr>
        <w:t>6. Limitations &amp; Future Research</w:t>
      </w:r>
    </w:p>
    <w:p w14:paraId="704F6A8A"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The synthetic variance introduced by Gaussian noise injection is the most significant constraint on this analysis. Scaling the dataset was necessary, but the added noise sets a ceiling on how precise </w:t>
      </w:r>
      <w:proofErr w:type="gramStart"/>
      <w:r w:rsidRPr="00EC3E42">
        <w:rPr>
          <w:rFonts w:asciiTheme="majorBidi" w:hAnsiTheme="majorBidi" w:cstheme="majorBidi"/>
          <w:sz w:val="24"/>
          <w:szCs w:val="24"/>
        </w:rPr>
        <w:t>the predictive</w:t>
      </w:r>
      <w:proofErr w:type="gramEnd"/>
      <w:r w:rsidRPr="00EC3E42">
        <w:rPr>
          <w:rFonts w:asciiTheme="majorBidi" w:hAnsiTheme="majorBidi" w:cstheme="majorBidi"/>
          <w:sz w:val="24"/>
          <w:szCs w:val="24"/>
        </w:rPr>
        <w:t xml:space="preserve"> models can realistically be — patterns are real, but exact coefficient values should be interpreted with that in mind. Additionally, excluding specific date fields to prevent time-drift means seasonal variation could not be studied, which is a genuine gap given how strongly seasonal purchasing behavior shapes conversion in categories like Fashion and Consumer Electronics.</w:t>
      </w:r>
    </w:p>
    <w:p w14:paraId="704F6A8B" w14:textId="77777777" w:rsidR="009F1F46" w:rsidRPr="00EC3E42" w:rsidRDefault="0047242B">
      <w:pPr>
        <w:spacing w:after="110"/>
        <w:rPr>
          <w:rFonts w:asciiTheme="majorBidi" w:hAnsiTheme="majorBidi" w:cstheme="majorBidi"/>
          <w:sz w:val="24"/>
          <w:szCs w:val="24"/>
        </w:rPr>
      </w:pPr>
      <w:r w:rsidRPr="00EC3E42">
        <w:rPr>
          <w:rFonts w:asciiTheme="majorBidi" w:hAnsiTheme="majorBidi" w:cstheme="majorBidi"/>
          <w:sz w:val="24"/>
          <w:szCs w:val="24"/>
        </w:rPr>
        <w:t xml:space="preserve">Future iterations of this work would benefit from two </w:t>
      </w:r>
      <w:proofErr w:type="gramStart"/>
      <w:r w:rsidRPr="00EC3E42">
        <w:rPr>
          <w:rFonts w:asciiTheme="majorBidi" w:hAnsiTheme="majorBidi" w:cstheme="majorBidi"/>
          <w:sz w:val="24"/>
          <w:szCs w:val="24"/>
        </w:rPr>
        <w:t>additions in particular</w:t>
      </w:r>
      <w:proofErr w:type="gramEnd"/>
      <w:r w:rsidRPr="00EC3E42">
        <w:rPr>
          <w:rFonts w:asciiTheme="majorBidi" w:hAnsiTheme="majorBidi" w:cstheme="majorBidi"/>
          <w:sz w:val="24"/>
          <w:szCs w:val="24"/>
        </w:rPr>
        <w:t>. First, incorporating NLP analysis of campaign transcripts and comment sentiment would allow the qualitative dimensions of influencer content — tone, specificity, credibility — to be factored into conversion modeling. Second, replacing linear regression with gradient-boosted decision trees would better capture the non-linear relationships this analysis confirmed exist between engagement signals and revenue outcomes. Both are tractable with the dataset structure already in place.</w:t>
      </w:r>
    </w:p>
    <w:sectPr w:rsidR="009F1F46" w:rsidRPr="00EC3E4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057E6"/>
    <w:multiLevelType w:val="hybridMultilevel"/>
    <w:tmpl w:val="D95C3062"/>
    <w:lvl w:ilvl="0" w:tplc="ADECCCC0">
      <w:start w:val="1"/>
      <w:numFmt w:val="bullet"/>
      <w:lvlText w:val="•"/>
      <w:lvlJc w:val="left"/>
      <w:pPr>
        <w:ind w:left="540" w:hanging="270"/>
      </w:pPr>
    </w:lvl>
    <w:lvl w:ilvl="1" w:tplc="8C283CE6">
      <w:numFmt w:val="decimal"/>
      <w:lvlText w:val=""/>
      <w:lvlJc w:val="left"/>
    </w:lvl>
    <w:lvl w:ilvl="2" w:tplc="9E14CF74">
      <w:numFmt w:val="decimal"/>
      <w:lvlText w:val=""/>
      <w:lvlJc w:val="left"/>
    </w:lvl>
    <w:lvl w:ilvl="3" w:tplc="32E04D36">
      <w:numFmt w:val="decimal"/>
      <w:lvlText w:val=""/>
      <w:lvlJc w:val="left"/>
    </w:lvl>
    <w:lvl w:ilvl="4" w:tplc="6AE09910">
      <w:numFmt w:val="decimal"/>
      <w:lvlText w:val=""/>
      <w:lvlJc w:val="left"/>
    </w:lvl>
    <w:lvl w:ilvl="5" w:tplc="77323792">
      <w:numFmt w:val="decimal"/>
      <w:lvlText w:val=""/>
      <w:lvlJc w:val="left"/>
    </w:lvl>
    <w:lvl w:ilvl="6" w:tplc="467EBD60">
      <w:numFmt w:val="decimal"/>
      <w:lvlText w:val=""/>
      <w:lvlJc w:val="left"/>
    </w:lvl>
    <w:lvl w:ilvl="7" w:tplc="8C5E55CA">
      <w:numFmt w:val="decimal"/>
      <w:lvlText w:val=""/>
      <w:lvlJc w:val="left"/>
    </w:lvl>
    <w:lvl w:ilvl="8" w:tplc="A25E79CC">
      <w:numFmt w:val="decimal"/>
      <w:lvlText w:val=""/>
      <w:lvlJc w:val="left"/>
    </w:lvl>
  </w:abstractNum>
  <w:abstractNum w:abstractNumId="1" w15:restartNumberingAfterBreak="0">
    <w:nsid w:val="31B22D1F"/>
    <w:multiLevelType w:val="hybridMultilevel"/>
    <w:tmpl w:val="92AEAE16"/>
    <w:lvl w:ilvl="0" w:tplc="F8069AB4">
      <w:start w:val="1"/>
      <w:numFmt w:val="bullet"/>
      <w:lvlText w:val="●"/>
      <w:lvlJc w:val="left"/>
      <w:pPr>
        <w:ind w:left="720" w:hanging="360"/>
      </w:pPr>
    </w:lvl>
    <w:lvl w:ilvl="1" w:tplc="509AA720">
      <w:start w:val="1"/>
      <w:numFmt w:val="bullet"/>
      <w:lvlText w:val="○"/>
      <w:lvlJc w:val="left"/>
      <w:pPr>
        <w:ind w:left="1440" w:hanging="360"/>
      </w:pPr>
    </w:lvl>
    <w:lvl w:ilvl="2" w:tplc="F0023D42">
      <w:start w:val="1"/>
      <w:numFmt w:val="bullet"/>
      <w:lvlText w:val="■"/>
      <w:lvlJc w:val="left"/>
      <w:pPr>
        <w:ind w:left="2160" w:hanging="360"/>
      </w:pPr>
    </w:lvl>
    <w:lvl w:ilvl="3" w:tplc="7ADCABF2">
      <w:start w:val="1"/>
      <w:numFmt w:val="bullet"/>
      <w:lvlText w:val="●"/>
      <w:lvlJc w:val="left"/>
      <w:pPr>
        <w:ind w:left="2880" w:hanging="360"/>
      </w:pPr>
    </w:lvl>
    <w:lvl w:ilvl="4" w:tplc="E7203476">
      <w:start w:val="1"/>
      <w:numFmt w:val="bullet"/>
      <w:lvlText w:val="○"/>
      <w:lvlJc w:val="left"/>
      <w:pPr>
        <w:ind w:left="3600" w:hanging="360"/>
      </w:pPr>
    </w:lvl>
    <w:lvl w:ilvl="5" w:tplc="DBFCF97E">
      <w:start w:val="1"/>
      <w:numFmt w:val="bullet"/>
      <w:lvlText w:val="■"/>
      <w:lvlJc w:val="left"/>
      <w:pPr>
        <w:ind w:left="4320" w:hanging="360"/>
      </w:pPr>
    </w:lvl>
    <w:lvl w:ilvl="6" w:tplc="00147826">
      <w:start w:val="1"/>
      <w:numFmt w:val="bullet"/>
      <w:lvlText w:val="●"/>
      <w:lvlJc w:val="left"/>
      <w:pPr>
        <w:ind w:left="5040" w:hanging="360"/>
      </w:pPr>
    </w:lvl>
    <w:lvl w:ilvl="7" w:tplc="ACB2C248">
      <w:start w:val="1"/>
      <w:numFmt w:val="bullet"/>
      <w:lvlText w:val="●"/>
      <w:lvlJc w:val="left"/>
      <w:pPr>
        <w:ind w:left="5760" w:hanging="360"/>
      </w:pPr>
    </w:lvl>
    <w:lvl w:ilvl="8" w:tplc="E74A7F76">
      <w:start w:val="1"/>
      <w:numFmt w:val="bullet"/>
      <w:lvlText w:val="●"/>
      <w:lvlJc w:val="left"/>
      <w:pPr>
        <w:ind w:left="6480" w:hanging="360"/>
      </w:pPr>
    </w:lvl>
  </w:abstractNum>
  <w:num w:numId="1" w16cid:durableId="1477264813">
    <w:abstractNumId w:val="1"/>
    <w:lvlOverride w:ilvl="0">
      <w:startOverride w:val="1"/>
    </w:lvlOverride>
  </w:num>
  <w:num w:numId="2" w16cid:durableId="1328242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F46"/>
    <w:rsid w:val="0042584C"/>
    <w:rsid w:val="009F1F46"/>
    <w:rsid w:val="00CB38A0"/>
    <w:rsid w:val="00D43EA2"/>
    <w:rsid w:val="00E56B68"/>
    <w:rsid w:val="00EC3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6A6C"/>
  <w15:docId w15:val="{57CA94B0-2540-4C45-BD27-E502F0E5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1F1F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56B68"/>
    <w:rPr>
      <w:color w:val="605E5C"/>
      <w:shd w:val="clear" w:color="auto" w:fill="E1DFDD"/>
    </w:rPr>
  </w:style>
  <w:style w:type="character" w:styleId="FollowedHyperlink">
    <w:name w:val="FollowedHyperlink"/>
    <w:basedOn w:val="DefaultParagraphFont"/>
    <w:uiPriority w:val="99"/>
    <w:semiHidden/>
    <w:unhideWhenUsed/>
    <w:rsid w:val="00E56B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oulaymanealahiane/influencer-roi-big-data-au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25e04c-70ca-48bf-ab7b-73954cb846ad}" enabled="0" method="" siteId="{7025e04c-70ca-48bf-ab7b-73954cb846ad}"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1138</Words>
  <Characters>6880</Characters>
  <Application>Microsoft Office Word</Application>
  <DocSecurity>0</DocSecurity>
  <Lines>103</Lines>
  <Paragraphs>24</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Soulaymane Alahiane &lt; 158002 &gt;</cp:lastModifiedBy>
  <cp:revision>3</cp:revision>
  <dcterms:created xsi:type="dcterms:W3CDTF">2026-04-06T22:35:00Z</dcterms:created>
  <dcterms:modified xsi:type="dcterms:W3CDTF">2026-04-06T22:35:00Z</dcterms:modified>
</cp:coreProperties>
</file>