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fictif — Malik Ouedraogo</w:t>
      </w:r>
    </w:p>
    <w:p>
      <w:pPr>
        <w:pStyle w:val="Heading1"/>
      </w:pPr>
      <w:r>
        <w:t>Identité</w:t>
      </w:r>
    </w:p>
    <w:p>
      <w:r>
        <w:t>Personne concernée : Malik Ouedraogo (alias M. Ouedraogo).</w:t>
      </w:r>
    </w:p>
    <w:p>
      <w:pPr>
        <w:pStyle w:val="Heading1"/>
      </w:pPr>
      <w:r>
        <w:t>Situation déclarée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160"/>
        <w:gridCol w:w="5760"/>
      </w:tblGrid>
      <w:tr>
        <w:tc>
          <w:tcPr>
            <w:tcW w:type="dxa" w:w="1440"/>
            <w:shd w:fill="F2F4F7"/>
            <w:vAlign w:val="center"/>
          </w:tcPr>
          <w:p>
            <w:r>
              <w:rPr>
                <w:b/>
              </w:rPr>
              <w:t>Révision</w:t>
            </w:r>
          </w:p>
        </w:tc>
        <w:tc>
          <w:tcPr>
            <w:tcW w:type="dxa" w:w="2160"/>
            <w:shd w:fill="F2F4F7"/>
            <w:vAlign w:val="center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760"/>
            <w:shd w:fill="F2F4F7"/>
            <w:vAlign w:val="center"/>
          </w:tcPr>
          <w:p>
            <w:r>
              <w:rPr>
                <w:b/>
              </w:rPr>
              <w:t>Preuve</w:t>
            </w:r>
          </w:p>
        </w:tc>
      </w:tr>
      <w:tr>
        <w:tc>
          <w:tcPr>
            <w:tcW w:type="dxa" w:w="1440"/>
            <w:vAlign w:val="center"/>
          </w:tcPr>
          <w:p>
            <w:r>
              <w:t>R2</w:t>
            </w:r>
          </w:p>
        </w:tc>
        <w:tc>
          <w:tcPr>
            <w:tcW w:type="dxa" w:w="2160"/>
            <w:vAlign w:val="center"/>
          </w:tcPr>
          <w:p>
            <w:r>
              <w:t>Marié</w:t>
            </w:r>
          </w:p>
        </w:tc>
        <w:tc>
          <w:tcPr>
            <w:tcW w:type="dxa" w:w="5760"/>
            <w:vAlign w:val="center"/>
          </w:tcPr>
          <w:p>
            <w:r>
              <w:t>Acte fictif enregistré le 14 mai 2025.</w:t>
            </w:r>
          </w:p>
        </w:tc>
      </w:tr>
    </w:tbl>
    <w:p>
      <w:pPr>
        <w:pStyle w:val="Heading1"/>
      </w:pPr>
      <w:r>
        <w:t>Limite</w:t>
      </w:r>
    </w:p>
    <w:p>
      <w:r>
        <w:t>Ce document ne contient aucune information sur sa profession ni son adresse.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