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Inventaire de caisses — jeu contrôlé</w:t>
      </w:r>
    </w:p>
    <w:p>
      <w:r>
        <w:t>Les en-têtes définissent le sens de chaque valeur. Les références proches ne sont pas interchangeables.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0"/>
        <w:gridCol w:w="1800"/>
        <w:gridCol w:w="4320"/>
      </w:tblGrid>
      <w:tr>
        <w:tc>
          <w:tcPr>
            <w:tcW w:type="dxa" w:w="1800"/>
            <w:shd w:fill="E8EEF5"/>
            <w:vAlign w:val="center"/>
          </w:tcPr>
          <w:p>
            <w:r>
              <w:rPr>
                <w:b/>
              </w:rPr>
              <w:t>Référence</w:t>
            </w:r>
          </w:p>
        </w:tc>
        <w:tc>
          <w:tcPr>
            <w:tcW w:type="dxa" w:w="1440"/>
            <w:shd w:fill="E8EEF5"/>
            <w:vAlign w:val="center"/>
          </w:tcPr>
          <w:p>
            <w:r>
              <w:rPr>
                <w:b/>
              </w:rPr>
              <w:t>Capacité</w:t>
            </w:r>
          </w:p>
        </w:tc>
        <w:tc>
          <w:tcPr>
            <w:tcW w:type="dxa" w:w="1800"/>
            <w:shd w:fill="E8EEF5"/>
            <w:vAlign w:val="center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4320"/>
            <w:shd w:fill="E8EEF5"/>
            <w:vAlign w:val="center"/>
          </w:tcPr>
          <w:p>
            <w:r>
              <w:rPr>
                <w:b/>
              </w:rPr>
              <w:t>Commentaire</w:t>
            </w:r>
          </w:p>
        </w:tc>
      </w:tr>
      <w:tr>
        <w:tc>
          <w:tcPr>
            <w:tcW w:type="dxa" w:w="1800"/>
            <w:vAlign w:val="center"/>
          </w:tcPr>
          <w:p>
            <w:r>
              <w:t>BX-77</w:t>
            </w:r>
          </w:p>
        </w:tc>
        <w:tc>
          <w:tcPr>
            <w:tcW w:type="dxa" w:w="1440"/>
            <w:vAlign w:val="center"/>
          </w:tcPr>
          <w:p>
            <w:r>
              <w:t>42 kg</w:t>
            </w:r>
          </w:p>
        </w:tc>
        <w:tc>
          <w:tcPr>
            <w:tcW w:type="dxa" w:w="1800"/>
            <w:vAlign w:val="center"/>
          </w:tcPr>
          <w:p>
            <w:r>
              <w:t>renforcée</w:t>
            </w:r>
          </w:p>
        </w:tc>
        <w:tc>
          <w:tcPr>
            <w:tcW w:type="dxa" w:w="4320"/>
            <w:vAlign w:val="center"/>
          </w:tcPr>
          <w:p>
            <w:r>
              <w:t>usage intérieur</w:t>
            </w:r>
          </w:p>
        </w:tc>
      </w:tr>
      <w:tr>
        <w:tc>
          <w:tcPr>
            <w:tcW w:type="dxa" w:w="1800"/>
            <w:vAlign w:val="center"/>
          </w:tcPr>
          <w:p>
            <w:r>
              <w:t>BX-71</w:t>
            </w:r>
          </w:p>
        </w:tc>
        <w:tc>
          <w:tcPr>
            <w:tcW w:type="dxa" w:w="1440"/>
            <w:vAlign w:val="center"/>
          </w:tcPr>
          <w:p>
            <w:r>
              <w:t>24 kg</w:t>
            </w:r>
          </w:p>
        </w:tc>
        <w:tc>
          <w:tcPr>
            <w:tcW w:type="dxa" w:w="1800"/>
            <w:vAlign w:val="center"/>
          </w:tcPr>
          <w:p>
            <w:r>
              <w:t>standard</w:t>
            </w:r>
          </w:p>
        </w:tc>
        <w:tc>
          <w:tcPr>
            <w:tcW w:type="dxa" w:w="4320"/>
            <w:vAlign w:val="center"/>
          </w:tcPr>
          <w:p>
            <w:r>
              <w:t>ne pas confondre avec BX-77</w:t>
            </w:r>
          </w:p>
        </w:tc>
      </w:tr>
      <w:tr>
        <w:tc>
          <w:tcPr>
            <w:tcW w:type="dxa" w:w="1800"/>
            <w:vAlign w:val="center"/>
          </w:tcPr>
          <w:p>
            <w:r>
              <w:t>8X-77</w:t>
            </w:r>
          </w:p>
        </w:tc>
        <w:tc>
          <w:tcPr>
            <w:tcW w:type="dxa" w:w="1440"/>
            <w:vAlign w:val="center"/>
          </w:tcPr>
          <w:p>
            <w:r>
              <w:t>7 kg</w:t>
            </w:r>
          </w:p>
        </w:tc>
        <w:tc>
          <w:tcPr>
            <w:tcW w:type="dxa" w:w="1800"/>
            <w:vAlign w:val="center"/>
          </w:tcPr>
          <w:p>
            <w:r>
              <w:t>prototype</w:t>
            </w:r>
          </w:p>
        </w:tc>
        <w:tc>
          <w:tcPr>
            <w:tcW w:type="dxa" w:w="4320"/>
            <w:vAlign w:val="center"/>
          </w:tcPr>
          <w:p>
            <w:r>
              <w:t>OCR volontaire : huit, pas B</w:t>
            </w:r>
          </w:p>
        </w:tc>
      </w:tr>
    </w:tbl>
    <w:p>
      <w:pPr>
        <w:spacing w:before="160"/>
      </w:pPr>
      <w:r>
        <w:t>Note : une capacité absente ne doit jamais être déduite d'une référence similaire.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