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4394"/>
        <w:gridCol w:w="4394"/>
      </w:tblGrid>
      <w:tr>
        <w:tc>
          <w:tcPr>
            <w:tcW w:type="dxa" w:w="4394"/>
          </w:tcPr>
          <w:p>
            <w:pPr>
              <w:jc w:val="left"/>
            </w:pPr>
            <w:r>
              <w:drawing>
                <wp:inline xmlns:a="http://schemas.openxmlformats.org/drawingml/2006/main" xmlns:pic="http://schemas.openxmlformats.org/drawingml/2006/picture">
                  <wp:extent cx="1800000" cy="864000"/>
                  <wp:docPr id="1" name="Picture 1"/>
                  <wp:cNvGraphicFramePr>
                    <a:graphicFrameLocks noChangeAspect="1"/>
                  </wp:cNvGraphicFramePr>
                  <a:graphic>
                    <a:graphicData uri="http://schemas.openxmlformats.org/drawingml/2006/picture">
                      <pic:pic>
                        <pic:nvPicPr>
                          <pic:cNvPr id="0" name="14518ad006362d68c9948ef2b155814428506f51.png"/>
                          <pic:cNvPicPr/>
                        </pic:nvPicPr>
                        <pic:blipFill>
                          <a:blip r:embed="rId9"/>
                          <a:stretch>
                            <a:fillRect/>
                          </a:stretch>
                        </pic:blipFill>
                        <pic:spPr>
                          <a:xfrm>
                            <a:off x="0" y="0"/>
                            <a:ext cx="1800000" cy="864000"/>
                          </a:xfrm>
                          <a:prstGeom prst="rect"/>
                        </pic:spPr>
                      </pic:pic>
                    </a:graphicData>
                  </a:graphic>
                </wp:inline>
              </w:drawing>
            </w:r>
          </w:p>
        </w:tc>
        <w:tc>
          <w:tcPr>
            <w:tcW w:type="dxa" w:w="4394"/>
          </w:tcPr>
          <w:p>
            <w:pPr>
              <w:jc w:val="right"/>
            </w:pPr>
            <w:r>
              <w:drawing>
                <wp:inline xmlns:a="http://schemas.openxmlformats.org/drawingml/2006/main" xmlns:pic="http://schemas.openxmlformats.org/drawingml/2006/picture">
                  <wp:extent cx="1591023" cy="1007999"/>
                  <wp:docPr id="2" name="Picture 2"/>
                  <wp:cNvGraphicFramePr>
                    <a:graphicFrameLocks noChangeAspect="1"/>
                  </wp:cNvGraphicFramePr>
                  <a:graphic>
                    <a:graphicData uri="http://schemas.openxmlformats.org/drawingml/2006/picture">
                      <pic:pic>
                        <pic:nvPicPr>
                          <pic:cNvPr id="0" name="1a1e88b7b37ea3fb5b85c07c44d804697606eecd.png"/>
                          <pic:cNvPicPr/>
                        </pic:nvPicPr>
                        <pic:blipFill>
                          <a:blip r:embed="rId10"/>
                          <a:stretch>
                            <a:fillRect/>
                          </a:stretch>
                        </pic:blipFill>
                        <pic:spPr>
                          <a:xfrm>
                            <a:off x="0" y="0"/>
                            <a:ext cx="1591023" cy="1007999"/>
                          </a:xfrm>
                          <a:prstGeom prst="rect"/>
                        </pic:spPr>
                      </pic:pic>
                    </a:graphicData>
                  </a:graphic>
                </wp:inline>
              </w:drawing>
            </w:r>
          </w:p>
        </w:tc>
      </w:tr>
    </w:tbl>
    <w:p>
      <w:pPr>
        <w:pBdr>
          <w:bottom w:val="single" w:sz="12" w:space="1" w:color="000000"/>
        </w:pBdr>
        <w:spacing w:after="200"/>
      </w:pPr>
    </w:p>
    <w:p>
      <w:pPr>
        <w:spacing w:before="0" w:after="20"/>
        <w:jc w:val="center"/>
      </w:pPr>
      <w:r>
        <w:rPr>
          <w:rFonts w:ascii="Times New Roman" w:hAnsi="Times New Roman"/>
          <w:b/>
          <w:i w:val="0"/>
          <w:sz w:val="24"/>
        </w:rPr>
        <w:t>RÉPUBLIQUE DE CÔTE D'IVOIRE</w:t>
      </w:r>
    </w:p>
    <w:p>
      <w:pPr>
        <w:spacing w:before="0" w:after="20"/>
        <w:jc w:val="center"/>
      </w:pPr>
      <w:r>
        <w:rPr>
          <w:rFonts w:ascii="Times New Roman" w:hAnsi="Times New Roman"/>
          <w:b w:val="0"/>
          <w:i/>
          <w:sz w:val="22"/>
        </w:rPr>
        <w:t>Union – Discipline – Travail</w:t>
      </w:r>
    </w:p>
    <w:p>
      <w:pPr>
        <w:spacing w:before="0" w:after="20"/>
        <w:jc w:val="center"/>
      </w:pPr>
      <w:r>
        <w:rPr>
          <w:rFonts w:ascii="Times New Roman" w:hAnsi="Times New Roman"/>
          <w:b/>
          <w:i w:val="0"/>
          <w:sz w:val="22"/>
        </w:rPr>
        <w:t>MINISTÈRE DE L'ENSEIGNEMENT SUPÉRIEUR ET DE LA RECHERCHE SCIENTIFIQUE</w:t>
      </w:r>
    </w:p>
    <w:p>
      <w:pPr>
        <w:spacing w:before="0" w:after="20"/>
        <w:jc w:val="center"/>
      </w:pPr>
      <w:r>
        <w:rPr>
          <w:rFonts w:ascii="Times New Roman" w:hAnsi="Times New Roman"/>
          <w:b/>
          <w:i w:val="0"/>
          <w:sz w:val="22"/>
        </w:rPr>
        <w:t>Université Virtuelle de Côte d'Ivoire (UVCI)</w:t>
      </w:r>
    </w:p>
    <w:p>
      <w:pPr>
        <w:spacing w:before="0" w:after="20"/>
        <w:jc w:val="center"/>
      </w:pPr>
      <w:r>
        <w:rPr>
          <w:rFonts w:ascii="Times New Roman" w:hAnsi="Times New Roman"/>
          <w:b w:val="0"/>
          <w:i w:val="0"/>
          <w:sz w:val="22"/>
        </w:rPr>
        <w:t>UFR : Informatique et Sciences du Numérique</w:t>
      </w:r>
    </w:p>
    <w:p>
      <w:pPr>
        <w:spacing w:before="0" w:after="20"/>
        <w:jc w:val="center"/>
      </w:pPr>
      <w:r>
        <w:rPr>
          <w:rFonts w:ascii="Times New Roman" w:hAnsi="Times New Roman"/>
          <w:b w:val="0"/>
          <w:i w:val="0"/>
          <w:sz w:val="22"/>
        </w:rPr>
        <w:t>Licence 3 – Option : Développement d'Applications et e-Services (DAS)</w:t>
      </w:r>
    </w:p>
    <w:p>
      <w:pPr>
        <w:keepNext w:val="0"/>
        <w:spacing w:before="0" w:after="120"/>
        <w:jc w:val="both"/>
      </w:pPr>
    </w:p>
    <w:p>
      <w:pPr>
        <w:spacing w:before="0" w:after="20"/>
        <w:jc w:val="center"/>
      </w:pPr>
      <w:r>
        <w:rPr>
          <w:rFonts w:ascii="Times New Roman" w:hAnsi="Times New Roman"/>
          <w:b/>
          <w:i w:val="0"/>
          <w:sz w:val="26"/>
        </w:rPr>
        <w:t>PROJET COLLECTIF TUTORÉ</w:t>
      </w:r>
    </w:p>
    <w:p>
      <w:pPr>
        <w:spacing w:before="0" w:after="20"/>
        <w:jc w:val="center"/>
      </w:pPr>
      <w:r>
        <w:rPr>
          <w:rFonts w:ascii="Times New Roman" w:hAnsi="Times New Roman"/>
          <w:b w:val="0"/>
          <w:i/>
          <w:sz w:val="22"/>
        </w:rPr>
        <w:t>En vue de l'obtention du diplôme de Licence en Informatique et Sciences du Numérique</w:t>
      </w:r>
    </w:p>
    <w:p>
      <w:pPr>
        <w:keepNext w:val="0"/>
        <w:spacing w:before="0" w:after="160"/>
        <w:jc w:val="both"/>
      </w:pPr>
    </w:p>
    <w:tbl>
      <w:tblPr>
        <w:tblStyle w:val="TableGrid"/>
        <w:tblW w:type="auto" w:w="0"/>
        <w:jc w:val="center"/>
        <w:tblLook w:firstColumn="1" w:firstRow="1" w:lastColumn="0" w:lastRow="0" w:noHBand="0" w:noVBand="1" w:val="04A0"/>
      </w:tblPr>
      <w:tblGrid>
        <w:gridCol w:w="8788"/>
      </w:tblGrid>
      <w:tr>
        <w:tc>
          <w:tcPr>
            <w:tcW w:type="dxa" w:w="8504"/>
          </w:tcPr>
          <w:p>
            <w:pPr>
              <w:jc w:val="center"/>
            </w:pPr>
            <w:r>
              <w:rPr>
                <w:rFonts w:ascii="Times New Roman" w:hAnsi="Times New Roman"/>
                <w:b w:val="0"/>
                <w:i/>
                <w:sz w:val="22"/>
              </w:rPr>
              <w:t>LIVRABLE</w:t>
            </w:r>
          </w:p>
          <w:p>
            <w:pPr>
              <w:jc w:val="center"/>
            </w:pPr>
            <w:r>
              <w:rPr>
                <w:rFonts w:ascii="Times New Roman" w:hAnsi="Times New Roman"/>
                <w:b/>
                <w:i w:val="0"/>
                <w:sz w:val="28"/>
              </w:rPr>
              <w:t>GUIDE UTILISATEUR</w:t>
              <w:br/>
              <w:t>APPLICATION DE GESTION DES HEURES</w:t>
              <w:br/>
              <w:t>DES ENSEIGNANTS DE L'UVCI</w:t>
            </w:r>
          </w:p>
        </w:tc>
      </w:tr>
    </w:tbl>
    <w:p>
      <w:pPr>
        <w:keepNext w:val="0"/>
        <w:spacing w:before="0" w:after="160"/>
        <w:jc w:val="both"/>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E8E8E8"/>
          </w:tcPr>
          <w:p>
            <w:pPr>
              <w:jc w:val="center"/>
            </w:pPr>
            <w:r>
              <w:rPr>
                <w:rFonts w:ascii="Times New Roman" w:hAnsi="Times New Roman"/>
                <w:b/>
                <w:i w:val="0"/>
                <w:sz w:val="22"/>
              </w:rPr>
              <w:t>PRÉSENTÉ PAR :</w:t>
            </w:r>
          </w:p>
        </w:tc>
        <w:tc>
          <w:tcPr>
            <w:tcW w:type="dxa" w:w="4394"/>
            <w:shd w:val="clear" w:color="auto" w:fill="E8E8E8"/>
          </w:tcPr>
          <w:p>
            <w:pPr>
              <w:jc w:val="center"/>
            </w:pPr>
            <w:r>
              <w:rPr>
                <w:rFonts w:ascii="Times New Roman" w:hAnsi="Times New Roman"/>
                <w:b/>
                <w:i w:val="0"/>
                <w:sz w:val="22"/>
              </w:rPr>
              <w:t>TUTEUR D'ENCADREMENT :</w:t>
            </w:r>
          </w:p>
        </w:tc>
      </w:tr>
      <w:tr>
        <w:tc>
          <w:tcPr>
            <w:tcW w:type="dxa" w:w="4394"/>
            <w:vAlign w:val="top"/>
          </w:tcPr>
          <w:p>
            <w:pPr>
              <w:jc w:val="left"/>
            </w:pPr>
            <w:r>
              <w:rPr>
                <w:rFonts w:ascii="Times New Roman" w:hAnsi="Times New Roman"/>
                <w:b w:val="0"/>
                <w:i w:val="0"/>
                <w:sz w:val="22"/>
              </w:rPr>
              <w:t>YEO YANOUGUI SOULEYMANE</w:t>
              <w:br/>
            </w:r>
            <w:r>
              <w:rPr>
                <w:rFonts w:ascii="Times New Roman" w:hAnsi="Times New Roman"/>
                <w:b w:val="0"/>
                <w:i w:val="0"/>
                <w:sz w:val="22"/>
              </w:rPr>
              <w:t>TUO CHIGATA JEAN MARC</w:t>
              <w:br/>
            </w:r>
            <w:r>
              <w:rPr>
                <w:rFonts w:ascii="Times New Roman" w:hAnsi="Times New Roman"/>
                <w:b w:val="0"/>
                <w:i w:val="0"/>
                <w:sz w:val="22"/>
              </w:rPr>
              <w:t>SOUMAHORO SOUALIO</w:t>
              <w:br/>
            </w:r>
            <w:r>
              <w:rPr>
                <w:rFonts w:ascii="Times New Roman" w:hAnsi="Times New Roman"/>
                <w:b w:val="0"/>
                <w:i w:val="0"/>
                <w:sz w:val="22"/>
              </w:rPr>
              <w:t>SEDJI YEDO LINDA COLOMBE TIPHAINE</w:t>
              <w:br/>
            </w:r>
            <w:r>
              <w:rPr>
                <w:rFonts w:ascii="Times New Roman" w:hAnsi="Times New Roman"/>
                <w:b w:val="0"/>
                <w:i w:val="0"/>
                <w:sz w:val="22"/>
              </w:rPr>
              <w:t>ASSALÉ CHIMÈNE-FLORE</w:t>
              <w:br/>
            </w:r>
          </w:p>
        </w:tc>
        <w:tc>
          <w:tcPr>
            <w:tcW w:type="dxa" w:w="4394"/>
            <w:vAlign w:val="top"/>
          </w:tcPr>
          <w:p>
            <w:pPr>
              <w:jc w:val="left"/>
            </w:pPr>
            <w:r>
              <w:rPr>
                <w:rFonts w:ascii="Times New Roman" w:hAnsi="Times New Roman"/>
                <w:b/>
                <w:i w:val="0"/>
                <w:sz w:val="22"/>
              </w:rPr>
              <w:t>M. SANGARÉ SEYDOU</w:t>
              <w:br/>
            </w:r>
            <w:r>
              <w:rPr>
                <w:rFonts w:ascii="Times New Roman" w:hAnsi="Times New Roman"/>
                <w:b w:val="0"/>
                <w:i w:val="0"/>
                <w:sz w:val="22"/>
              </w:rPr>
              <w:t>Docteur en Informatique</w:t>
            </w:r>
          </w:p>
        </w:tc>
      </w:tr>
    </w:tbl>
    <w:p>
      <w:pPr>
        <w:keepNext w:val="0"/>
        <w:spacing w:before="0" w:after="200"/>
        <w:jc w:val="both"/>
      </w:pPr>
    </w:p>
    <w:p>
      <w:pPr>
        <w:jc w:val="center"/>
        <w:pBdr>
          <w:top w:val="single" w:sz="6" w:space="1" w:color="000000"/>
        </w:pBdr>
      </w:pPr>
      <w:r>
        <w:rPr>
          <w:rFonts w:ascii="Times New Roman" w:hAnsi="Times New Roman"/>
          <w:b/>
          <w:i w:val="0"/>
          <w:sz w:val="20"/>
        </w:rPr>
        <w:t>Groupe : PCT25-26_DAS-N°11     |     Année académique : 2025 – 2026     |     Version 1.0 – Juin 2026</w:t>
      </w:r>
    </w:p>
    <w:p>
      <w:r>
        <w:br w:type="page"/>
      </w:r>
    </w:p>
    <w:p>
      <w:pPr>
        <w:spacing w:after="280"/>
        <w:jc w:val="left"/>
      </w:pPr>
      <w:r>
        <w:rPr>
          <w:rFonts w:ascii="Times New Roman" w:hAnsi="Times New Roman"/>
          <w:b/>
          <w:i w:val="0"/>
          <w:sz w:val="26"/>
        </w:rPr>
        <w:t>SOMMAIRE</w:t>
      </w:r>
    </w:p>
    <w:p>
      <w:pPr>
        <w:spacing w:before="0" w:after="60"/>
        <w:tabs>
          <w:tab w:val="right" w:leader="dot" w:pos="8640"/>
        </w:tabs>
      </w:pPr>
      <w:r>
        <w:rPr>
          <w:rFonts w:ascii="Times New Roman" w:hAnsi="Times New Roman"/>
          <w:b/>
          <w:i w:val="0"/>
          <w:sz w:val="22"/>
        </w:rPr>
        <w:t>LISTE DES FIGURES</w:t>
      </w:r>
      <w:r>
        <w:rPr>
          <w:rFonts w:ascii="Times New Roman" w:hAnsi="Times New Roman"/>
          <w:b w:val="0"/>
          <w:i w:val="0"/>
          <w:sz w:val="22"/>
        </w:rPr>
        <w:tab/>
        <w:t>3</w:t>
      </w:r>
    </w:p>
    <w:p>
      <w:pPr>
        <w:spacing w:before="0" w:after="60"/>
        <w:tabs>
          <w:tab w:val="right" w:leader="dot" w:pos="8640"/>
        </w:tabs>
      </w:pPr>
      <w:r>
        <w:rPr>
          <w:rFonts w:ascii="Times New Roman" w:hAnsi="Times New Roman"/>
          <w:b/>
          <w:i w:val="0"/>
          <w:sz w:val="22"/>
        </w:rPr>
        <w:t>LISTE DES TABLEAUX</w:t>
      </w:r>
      <w:r>
        <w:rPr>
          <w:rFonts w:ascii="Times New Roman" w:hAnsi="Times New Roman"/>
          <w:b w:val="0"/>
          <w:i w:val="0"/>
          <w:sz w:val="22"/>
        </w:rPr>
        <w:tab/>
        <w:t>3</w:t>
      </w:r>
    </w:p>
    <w:p>
      <w:pPr>
        <w:spacing w:before="0" w:after="60"/>
        <w:tabs>
          <w:tab w:val="right" w:leader="dot" w:pos="8640"/>
        </w:tabs>
      </w:pPr>
      <w:r>
        <w:rPr>
          <w:rFonts w:ascii="Times New Roman" w:hAnsi="Times New Roman"/>
          <w:b/>
          <w:i w:val="0"/>
          <w:sz w:val="22"/>
        </w:rPr>
        <w:t>INTRODUCTION GÉNÉRALE</w:t>
      </w:r>
      <w:r>
        <w:rPr>
          <w:rFonts w:ascii="Times New Roman" w:hAnsi="Times New Roman"/>
          <w:b w:val="0"/>
          <w:i w:val="0"/>
          <w:sz w:val="22"/>
        </w:rPr>
        <w:tab/>
        <w:t>4</w:t>
      </w:r>
    </w:p>
    <w:p>
      <w:pPr>
        <w:spacing w:before="0" w:after="60"/>
        <w:tabs>
          <w:tab w:val="right" w:leader="dot" w:pos="8640"/>
        </w:tabs>
      </w:pPr>
      <w:r>
        <w:rPr>
          <w:rFonts w:ascii="Times New Roman" w:hAnsi="Times New Roman"/>
          <w:b/>
          <w:i w:val="0"/>
          <w:sz w:val="22"/>
        </w:rPr>
        <w:t>CHAPITRE I : PRÉSENTATION DE L'APPLICATION</w:t>
      </w:r>
      <w:r>
        <w:rPr>
          <w:rFonts w:ascii="Times New Roman" w:hAnsi="Times New Roman"/>
          <w:b w:val="0"/>
          <w:i w:val="0"/>
          <w:sz w:val="22"/>
        </w:rPr>
        <w:tab/>
        <w:t>5</w:t>
      </w:r>
    </w:p>
    <w:p>
      <w:pPr>
        <w:spacing w:before="0" w:after="60"/>
        <w:ind w:left="567"/>
        <w:tabs>
          <w:tab w:val="right" w:leader="dot" w:pos="8640"/>
        </w:tabs>
      </w:pPr>
      <w:r>
        <w:rPr>
          <w:rFonts w:ascii="Times New Roman" w:hAnsi="Times New Roman"/>
          <w:b w:val="0"/>
          <w:i w:val="0"/>
          <w:sz w:val="22"/>
        </w:rPr>
        <w:t>I. Objectif et périmètre fonctionnel</w:t>
      </w:r>
      <w:r>
        <w:rPr>
          <w:rFonts w:ascii="Times New Roman" w:hAnsi="Times New Roman"/>
          <w:b w:val="0"/>
          <w:i w:val="0"/>
          <w:sz w:val="22"/>
        </w:rPr>
        <w:tab/>
        <w:t>5</w:t>
      </w:r>
    </w:p>
    <w:p>
      <w:pPr>
        <w:spacing w:before="0" w:after="60"/>
        <w:ind w:left="567"/>
        <w:tabs>
          <w:tab w:val="right" w:leader="dot" w:pos="8640"/>
        </w:tabs>
      </w:pPr>
      <w:r>
        <w:rPr>
          <w:rFonts w:ascii="Times New Roman" w:hAnsi="Times New Roman"/>
          <w:b w:val="0"/>
          <w:i w:val="0"/>
          <w:sz w:val="22"/>
        </w:rPr>
        <w:t>II. Architecture du système</w:t>
      </w:r>
      <w:r>
        <w:rPr>
          <w:rFonts w:ascii="Times New Roman" w:hAnsi="Times New Roman"/>
          <w:b w:val="0"/>
          <w:i w:val="0"/>
          <w:sz w:val="22"/>
        </w:rPr>
        <w:tab/>
        <w:t>5</w:t>
      </w:r>
    </w:p>
    <w:p>
      <w:pPr>
        <w:spacing w:before="0" w:after="60"/>
        <w:ind w:left="567"/>
        <w:tabs>
          <w:tab w:val="right" w:leader="dot" w:pos="8640"/>
        </w:tabs>
      </w:pPr>
      <w:r>
        <w:rPr>
          <w:rFonts w:ascii="Times New Roman" w:hAnsi="Times New Roman"/>
          <w:b w:val="0"/>
          <w:i w:val="0"/>
          <w:sz w:val="22"/>
        </w:rPr>
        <w:t>III. Profils utilisateurs et droits d'accès</w:t>
      </w:r>
      <w:r>
        <w:rPr>
          <w:rFonts w:ascii="Times New Roman" w:hAnsi="Times New Roman"/>
          <w:b w:val="0"/>
          <w:i w:val="0"/>
          <w:sz w:val="22"/>
        </w:rPr>
        <w:tab/>
        <w:t>5</w:t>
      </w:r>
    </w:p>
    <w:p>
      <w:pPr>
        <w:spacing w:before="0" w:after="60"/>
        <w:ind w:left="567"/>
        <w:tabs>
          <w:tab w:val="right" w:leader="dot" w:pos="8640"/>
        </w:tabs>
      </w:pPr>
      <w:r>
        <w:rPr>
          <w:rFonts w:ascii="Times New Roman" w:hAnsi="Times New Roman"/>
          <w:b w:val="0"/>
          <w:i w:val="0"/>
          <w:sz w:val="22"/>
        </w:rPr>
        <w:t>IV. Prérequis techniques</w:t>
      </w:r>
      <w:r>
        <w:rPr>
          <w:rFonts w:ascii="Times New Roman" w:hAnsi="Times New Roman"/>
          <w:b w:val="0"/>
          <w:i w:val="0"/>
          <w:sz w:val="22"/>
        </w:rPr>
        <w:tab/>
        <w:t>6</w:t>
      </w:r>
    </w:p>
    <w:p>
      <w:pPr>
        <w:spacing w:before="0" w:after="60"/>
        <w:tabs>
          <w:tab w:val="right" w:leader="dot" w:pos="8640"/>
        </w:tabs>
      </w:pPr>
      <w:r>
        <w:rPr>
          <w:rFonts w:ascii="Times New Roman" w:hAnsi="Times New Roman"/>
          <w:b/>
          <w:i w:val="0"/>
          <w:sz w:val="22"/>
        </w:rPr>
        <w:t>CHAPITRE II : ACCÈS ET AUTHENTIFICATION</w:t>
      </w:r>
      <w:r>
        <w:rPr>
          <w:rFonts w:ascii="Times New Roman" w:hAnsi="Times New Roman"/>
          <w:b w:val="0"/>
          <w:i w:val="0"/>
          <w:sz w:val="22"/>
        </w:rPr>
        <w:tab/>
        <w:t>7</w:t>
      </w:r>
    </w:p>
    <w:p>
      <w:pPr>
        <w:spacing w:before="0" w:after="60"/>
        <w:ind w:left="567"/>
        <w:tabs>
          <w:tab w:val="right" w:leader="dot" w:pos="8640"/>
        </w:tabs>
      </w:pPr>
      <w:r>
        <w:rPr>
          <w:rFonts w:ascii="Times New Roman" w:hAnsi="Times New Roman"/>
          <w:b w:val="0"/>
          <w:i w:val="0"/>
          <w:sz w:val="22"/>
        </w:rPr>
        <w:t>I. Procédure de connexion</w:t>
      </w:r>
      <w:r>
        <w:rPr>
          <w:rFonts w:ascii="Times New Roman" w:hAnsi="Times New Roman"/>
          <w:b w:val="0"/>
          <w:i w:val="0"/>
          <w:sz w:val="22"/>
        </w:rPr>
        <w:tab/>
        <w:t>7</w:t>
      </w:r>
    </w:p>
    <w:p>
      <w:pPr>
        <w:spacing w:before="0" w:after="60"/>
        <w:ind w:left="567"/>
        <w:tabs>
          <w:tab w:val="right" w:leader="dot" w:pos="8640"/>
        </w:tabs>
      </w:pPr>
      <w:r>
        <w:rPr>
          <w:rFonts w:ascii="Times New Roman" w:hAnsi="Times New Roman"/>
          <w:b w:val="0"/>
          <w:i w:val="0"/>
          <w:sz w:val="22"/>
        </w:rPr>
        <w:t>II. Gestion de la session</w:t>
      </w:r>
      <w:r>
        <w:rPr>
          <w:rFonts w:ascii="Times New Roman" w:hAnsi="Times New Roman"/>
          <w:b w:val="0"/>
          <w:i w:val="0"/>
          <w:sz w:val="22"/>
        </w:rPr>
        <w:tab/>
        <w:t>7</w:t>
      </w:r>
    </w:p>
    <w:p>
      <w:pPr>
        <w:spacing w:before="0" w:after="60"/>
        <w:ind w:left="567"/>
        <w:tabs>
          <w:tab w:val="right" w:leader="dot" w:pos="8640"/>
        </w:tabs>
      </w:pPr>
      <w:r>
        <w:rPr>
          <w:rFonts w:ascii="Times New Roman" w:hAnsi="Times New Roman"/>
          <w:b w:val="0"/>
          <w:i w:val="0"/>
          <w:sz w:val="22"/>
        </w:rPr>
        <w:t>III. Comptes disponibles</w:t>
      </w:r>
      <w:r>
        <w:rPr>
          <w:rFonts w:ascii="Times New Roman" w:hAnsi="Times New Roman"/>
          <w:b w:val="0"/>
          <w:i w:val="0"/>
          <w:sz w:val="22"/>
        </w:rPr>
        <w:tab/>
        <w:t>8</w:t>
      </w:r>
    </w:p>
    <w:p>
      <w:pPr>
        <w:spacing w:before="0" w:after="60"/>
        <w:tabs>
          <w:tab w:val="right" w:leader="dot" w:pos="8640"/>
        </w:tabs>
      </w:pPr>
      <w:r>
        <w:rPr>
          <w:rFonts w:ascii="Times New Roman" w:hAnsi="Times New Roman"/>
          <w:b/>
          <w:i w:val="0"/>
          <w:sz w:val="22"/>
        </w:rPr>
        <w:t>CHAPITRE III : GUIDE DE L'ADMINISTRATEUR</w:t>
      </w:r>
      <w:r>
        <w:rPr>
          <w:rFonts w:ascii="Times New Roman" w:hAnsi="Times New Roman"/>
          <w:b w:val="0"/>
          <w:i w:val="0"/>
          <w:sz w:val="22"/>
        </w:rPr>
        <w:tab/>
        <w:t>9</w:t>
      </w:r>
    </w:p>
    <w:p>
      <w:pPr>
        <w:spacing w:before="0" w:after="60"/>
        <w:ind w:left="567"/>
        <w:tabs>
          <w:tab w:val="right" w:leader="dot" w:pos="8640"/>
        </w:tabs>
      </w:pPr>
      <w:r>
        <w:rPr>
          <w:rFonts w:ascii="Times New Roman" w:hAnsi="Times New Roman"/>
          <w:b w:val="0"/>
          <w:i w:val="0"/>
          <w:sz w:val="22"/>
        </w:rPr>
        <w:t>I. Tableau de bord</w:t>
      </w:r>
      <w:r>
        <w:rPr>
          <w:rFonts w:ascii="Times New Roman" w:hAnsi="Times New Roman"/>
          <w:b w:val="0"/>
          <w:i w:val="0"/>
          <w:sz w:val="22"/>
        </w:rPr>
        <w:tab/>
        <w:t>9</w:t>
      </w:r>
    </w:p>
    <w:p>
      <w:pPr>
        <w:spacing w:before="0" w:after="60"/>
        <w:ind w:left="567"/>
        <w:tabs>
          <w:tab w:val="right" w:leader="dot" w:pos="8640"/>
        </w:tabs>
      </w:pPr>
      <w:r>
        <w:rPr>
          <w:rFonts w:ascii="Times New Roman" w:hAnsi="Times New Roman"/>
          <w:b w:val="0"/>
          <w:i w:val="0"/>
          <w:sz w:val="22"/>
        </w:rPr>
        <w:t>II. Gestion des enseignants</w:t>
      </w:r>
      <w:r>
        <w:rPr>
          <w:rFonts w:ascii="Times New Roman" w:hAnsi="Times New Roman"/>
          <w:b w:val="0"/>
          <w:i w:val="0"/>
          <w:sz w:val="22"/>
        </w:rPr>
        <w:tab/>
        <w:t>10</w:t>
      </w:r>
    </w:p>
    <w:p>
      <w:pPr>
        <w:spacing w:before="0" w:after="60"/>
        <w:ind w:left="567"/>
        <w:tabs>
          <w:tab w:val="right" w:leader="dot" w:pos="8640"/>
        </w:tabs>
      </w:pPr>
      <w:r>
        <w:rPr>
          <w:rFonts w:ascii="Times New Roman" w:hAnsi="Times New Roman"/>
          <w:b w:val="0"/>
          <w:i w:val="0"/>
          <w:sz w:val="22"/>
        </w:rPr>
        <w:t>III. Gestion des cours</w:t>
      </w:r>
      <w:r>
        <w:rPr>
          <w:rFonts w:ascii="Times New Roman" w:hAnsi="Times New Roman"/>
          <w:b w:val="0"/>
          <w:i w:val="0"/>
          <w:sz w:val="22"/>
        </w:rPr>
        <w:tab/>
        <w:t>11</w:t>
      </w:r>
    </w:p>
    <w:p>
      <w:pPr>
        <w:spacing w:before="0" w:after="60"/>
        <w:ind w:left="567"/>
        <w:tabs>
          <w:tab w:val="right" w:leader="dot" w:pos="8640"/>
        </w:tabs>
      </w:pPr>
      <w:r>
        <w:rPr>
          <w:rFonts w:ascii="Times New Roman" w:hAnsi="Times New Roman"/>
          <w:b w:val="0"/>
          <w:i w:val="0"/>
          <w:sz w:val="22"/>
        </w:rPr>
        <w:t>IV. Saisie des activités pédagogiques</w:t>
      </w:r>
      <w:r>
        <w:rPr>
          <w:rFonts w:ascii="Times New Roman" w:hAnsi="Times New Roman"/>
          <w:b w:val="0"/>
          <w:i w:val="0"/>
          <w:sz w:val="22"/>
        </w:rPr>
        <w:tab/>
        <w:t>11</w:t>
      </w:r>
    </w:p>
    <w:p>
      <w:pPr>
        <w:spacing w:before="0" w:after="60"/>
        <w:ind w:left="567"/>
        <w:tabs>
          <w:tab w:val="right" w:leader="dot" w:pos="8640"/>
        </w:tabs>
      </w:pPr>
      <w:r>
        <w:rPr>
          <w:rFonts w:ascii="Times New Roman" w:hAnsi="Times New Roman"/>
          <w:b w:val="0"/>
          <w:i w:val="0"/>
          <w:sz w:val="22"/>
        </w:rPr>
        <w:t>V. Validation des activités</w:t>
      </w:r>
      <w:r>
        <w:rPr>
          <w:rFonts w:ascii="Times New Roman" w:hAnsi="Times New Roman"/>
          <w:b w:val="0"/>
          <w:i w:val="0"/>
          <w:sz w:val="22"/>
        </w:rPr>
        <w:tab/>
        <w:t>12</w:t>
      </w:r>
    </w:p>
    <w:p>
      <w:pPr>
        <w:spacing w:before="0" w:after="60"/>
        <w:ind w:left="567"/>
        <w:tabs>
          <w:tab w:val="right" w:leader="dot" w:pos="8640"/>
        </w:tabs>
      </w:pPr>
      <w:r>
        <w:rPr>
          <w:rFonts w:ascii="Times New Roman" w:hAnsi="Times New Roman"/>
          <w:b w:val="0"/>
          <w:i w:val="0"/>
          <w:sz w:val="22"/>
        </w:rPr>
        <w:t>VI. Rapports et exportations</w:t>
      </w:r>
      <w:r>
        <w:rPr>
          <w:rFonts w:ascii="Times New Roman" w:hAnsi="Times New Roman"/>
          <w:b w:val="0"/>
          <w:i w:val="0"/>
          <w:sz w:val="22"/>
        </w:rPr>
        <w:tab/>
        <w:t>12</w:t>
      </w:r>
    </w:p>
    <w:p>
      <w:pPr>
        <w:spacing w:before="0" w:after="60"/>
        <w:ind w:left="567"/>
        <w:tabs>
          <w:tab w:val="right" w:leader="dot" w:pos="8640"/>
        </w:tabs>
      </w:pPr>
      <w:r>
        <w:rPr>
          <w:rFonts w:ascii="Times New Roman" w:hAnsi="Times New Roman"/>
          <w:b w:val="0"/>
          <w:i w:val="0"/>
          <w:sz w:val="22"/>
        </w:rPr>
        <w:t>VII. Paramétrage du système</w:t>
      </w:r>
      <w:r>
        <w:rPr>
          <w:rFonts w:ascii="Times New Roman" w:hAnsi="Times New Roman"/>
          <w:b w:val="0"/>
          <w:i w:val="0"/>
          <w:sz w:val="22"/>
        </w:rPr>
        <w:tab/>
        <w:t>13</w:t>
      </w:r>
    </w:p>
    <w:p>
      <w:pPr>
        <w:spacing w:before="0" w:after="60"/>
        <w:tabs>
          <w:tab w:val="right" w:leader="dot" w:pos="8640"/>
        </w:tabs>
      </w:pPr>
      <w:r>
        <w:rPr>
          <w:rFonts w:ascii="Times New Roman" w:hAnsi="Times New Roman"/>
          <w:b/>
          <w:i w:val="0"/>
          <w:sz w:val="22"/>
        </w:rPr>
        <w:t>CHAPITRE IV : GUIDE DU SECRÉTAIRE</w:t>
      </w:r>
      <w:r>
        <w:rPr>
          <w:rFonts w:ascii="Times New Roman" w:hAnsi="Times New Roman"/>
          <w:b w:val="0"/>
          <w:i w:val="0"/>
          <w:sz w:val="22"/>
        </w:rPr>
        <w:tab/>
        <w:t>14</w:t>
      </w:r>
    </w:p>
    <w:p>
      <w:pPr>
        <w:spacing w:before="0" w:after="60"/>
        <w:ind w:left="567"/>
        <w:tabs>
          <w:tab w:val="right" w:leader="dot" w:pos="8640"/>
        </w:tabs>
      </w:pPr>
      <w:r>
        <w:rPr>
          <w:rFonts w:ascii="Times New Roman" w:hAnsi="Times New Roman"/>
          <w:b w:val="0"/>
          <w:i w:val="0"/>
          <w:sz w:val="22"/>
        </w:rPr>
        <w:t>I. Tableau de bord</w:t>
      </w:r>
      <w:r>
        <w:rPr>
          <w:rFonts w:ascii="Times New Roman" w:hAnsi="Times New Roman"/>
          <w:b w:val="0"/>
          <w:i w:val="0"/>
          <w:sz w:val="22"/>
        </w:rPr>
        <w:tab/>
        <w:t>14</w:t>
      </w:r>
    </w:p>
    <w:p>
      <w:pPr>
        <w:spacing w:before="0" w:after="60"/>
        <w:ind w:left="567"/>
        <w:tabs>
          <w:tab w:val="right" w:leader="dot" w:pos="8640"/>
        </w:tabs>
      </w:pPr>
      <w:r>
        <w:rPr>
          <w:rFonts w:ascii="Times New Roman" w:hAnsi="Times New Roman"/>
          <w:b w:val="0"/>
          <w:i w:val="0"/>
          <w:sz w:val="22"/>
        </w:rPr>
        <w:t>II. Consultation du répertoire des enseignants</w:t>
      </w:r>
      <w:r>
        <w:rPr>
          <w:rFonts w:ascii="Times New Roman" w:hAnsi="Times New Roman"/>
          <w:b w:val="0"/>
          <w:i w:val="0"/>
          <w:sz w:val="22"/>
        </w:rPr>
        <w:tab/>
        <w:t>15</w:t>
      </w:r>
    </w:p>
    <w:p>
      <w:pPr>
        <w:spacing w:before="0" w:after="60"/>
        <w:ind w:left="567"/>
        <w:tabs>
          <w:tab w:val="right" w:leader="dot" w:pos="8640"/>
        </w:tabs>
      </w:pPr>
      <w:r>
        <w:rPr>
          <w:rFonts w:ascii="Times New Roman" w:hAnsi="Times New Roman"/>
          <w:b w:val="0"/>
          <w:i w:val="0"/>
          <w:sz w:val="22"/>
        </w:rPr>
        <w:t>III. Saisie d'une activité pédagogique</w:t>
      </w:r>
      <w:r>
        <w:rPr>
          <w:rFonts w:ascii="Times New Roman" w:hAnsi="Times New Roman"/>
          <w:b w:val="0"/>
          <w:i w:val="0"/>
          <w:sz w:val="22"/>
        </w:rPr>
        <w:tab/>
        <w:t>15</w:t>
      </w:r>
    </w:p>
    <w:p>
      <w:pPr>
        <w:spacing w:before="0" w:after="60"/>
        <w:ind w:left="567"/>
        <w:tabs>
          <w:tab w:val="right" w:leader="dot" w:pos="8640"/>
        </w:tabs>
      </w:pPr>
      <w:r>
        <w:rPr>
          <w:rFonts w:ascii="Times New Roman" w:hAnsi="Times New Roman"/>
          <w:b w:val="0"/>
          <w:i w:val="0"/>
          <w:sz w:val="22"/>
        </w:rPr>
        <w:t>IV. Validation des activités</w:t>
      </w:r>
      <w:r>
        <w:rPr>
          <w:rFonts w:ascii="Times New Roman" w:hAnsi="Times New Roman"/>
          <w:b w:val="0"/>
          <w:i w:val="0"/>
          <w:sz w:val="22"/>
        </w:rPr>
        <w:tab/>
        <w:t>16</w:t>
      </w:r>
    </w:p>
    <w:p>
      <w:pPr>
        <w:spacing w:before="0" w:after="60"/>
        <w:ind w:left="567"/>
        <w:tabs>
          <w:tab w:val="right" w:leader="dot" w:pos="8640"/>
        </w:tabs>
      </w:pPr>
      <w:r>
        <w:rPr>
          <w:rFonts w:ascii="Times New Roman" w:hAnsi="Times New Roman"/>
          <w:b w:val="0"/>
          <w:i w:val="0"/>
          <w:sz w:val="22"/>
        </w:rPr>
        <w:t>V. Génération des rapports</w:t>
      </w:r>
      <w:r>
        <w:rPr>
          <w:rFonts w:ascii="Times New Roman" w:hAnsi="Times New Roman"/>
          <w:b w:val="0"/>
          <w:i w:val="0"/>
          <w:sz w:val="22"/>
        </w:rPr>
        <w:tab/>
        <w:t>17</w:t>
      </w:r>
    </w:p>
    <w:p>
      <w:pPr>
        <w:spacing w:before="0" w:after="60"/>
        <w:tabs>
          <w:tab w:val="right" w:leader="dot" w:pos="8640"/>
        </w:tabs>
      </w:pPr>
      <w:r>
        <w:rPr>
          <w:rFonts w:ascii="Times New Roman" w:hAnsi="Times New Roman"/>
          <w:b/>
          <w:i w:val="0"/>
          <w:sz w:val="22"/>
        </w:rPr>
        <w:t>CHAPITRE V : GUIDE DE L'ENSEIGNANT</w:t>
      </w:r>
      <w:r>
        <w:rPr>
          <w:rFonts w:ascii="Times New Roman" w:hAnsi="Times New Roman"/>
          <w:b w:val="0"/>
          <w:i w:val="0"/>
          <w:sz w:val="22"/>
        </w:rPr>
        <w:tab/>
        <w:t>18</w:t>
      </w:r>
    </w:p>
    <w:p>
      <w:pPr>
        <w:spacing w:before="0" w:after="60"/>
        <w:ind w:left="567"/>
        <w:tabs>
          <w:tab w:val="right" w:leader="dot" w:pos="8640"/>
        </w:tabs>
      </w:pPr>
      <w:r>
        <w:rPr>
          <w:rFonts w:ascii="Times New Roman" w:hAnsi="Times New Roman"/>
          <w:b w:val="0"/>
          <w:i w:val="0"/>
          <w:sz w:val="22"/>
        </w:rPr>
        <w:t>I. Tableau de bord personnalisé</w:t>
      </w:r>
      <w:r>
        <w:rPr>
          <w:rFonts w:ascii="Times New Roman" w:hAnsi="Times New Roman"/>
          <w:b w:val="0"/>
          <w:i w:val="0"/>
          <w:sz w:val="22"/>
        </w:rPr>
        <w:tab/>
        <w:t>18</w:t>
      </w:r>
    </w:p>
    <w:p>
      <w:pPr>
        <w:spacing w:before="0" w:after="60"/>
        <w:ind w:left="567"/>
        <w:tabs>
          <w:tab w:val="right" w:leader="dot" w:pos="8640"/>
        </w:tabs>
      </w:pPr>
      <w:r>
        <w:rPr>
          <w:rFonts w:ascii="Times New Roman" w:hAnsi="Times New Roman"/>
          <w:b w:val="0"/>
          <w:i w:val="0"/>
          <w:sz w:val="22"/>
        </w:rPr>
        <w:t>II. Consultation des activités</w:t>
      </w:r>
      <w:r>
        <w:rPr>
          <w:rFonts w:ascii="Times New Roman" w:hAnsi="Times New Roman"/>
          <w:b w:val="0"/>
          <w:i w:val="0"/>
          <w:sz w:val="22"/>
        </w:rPr>
        <w:tab/>
        <w:t>19</w:t>
      </w:r>
    </w:p>
    <w:p>
      <w:pPr>
        <w:spacing w:before="0" w:after="60"/>
        <w:ind w:left="567"/>
        <w:tabs>
          <w:tab w:val="right" w:leader="dot" w:pos="8640"/>
        </w:tabs>
      </w:pPr>
      <w:r>
        <w:rPr>
          <w:rFonts w:ascii="Times New Roman" w:hAnsi="Times New Roman"/>
          <w:b w:val="0"/>
          <w:i w:val="0"/>
          <w:sz w:val="22"/>
        </w:rPr>
        <w:t>III. Génération du récapitulatif individuel</w:t>
      </w:r>
      <w:r>
        <w:rPr>
          <w:rFonts w:ascii="Times New Roman" w:hAnsi="Times New Roman"/>
          <w:b w:val="0"/>
          <w:i w:val="0"/>
          <w:sz w:val="22"/>
        </w:rPr>
        <w:tab/>
        <w:t>20</w:t>
      </w:r>
    </w:p>
    <w:p>
      <w:pPr>
        <w:spacing w:before="0" w:after="60"/>
        <w:tabs>
          <w:tab w:val="right" w:leader="dot" w:pos="8640"/>
        </w:tabs>
      </w:pPr>
      <w:r>
        <w:rPr>
          <w:rFonts w:ascii="Times New Roman" w:hAnsi="Times New Roman"/>
          <w:b/>
          <w:i w:val="0"/>
          <w:sz w:val="22"/>
        </w:rPr>
        <w:t>CHAPITRE VI : CALCUL DES VOLUMES HORAIRES</w:t>
      </w:r>
      <w:r>
        <w:rPr>
          <w:rFonts w:ascii="Times New Roman" w:hAnsi="Times New Roman"/>
          <w:b w:val="0"/>
          <w:i w:val="0"/>
          <w:sz w:val="22"/>
        </w:rPr>
        <w:tab/>
        <w:t>21</w:t>
      </w:r>
    </w:p>
    <w:p>
      <w:pPr>
        <w:spacing w:before="0" w:after="60"/>
        <w:ind w:left="567"/>
        <w:tabs>
          <w:tab w:val="right" w:leader="dot" w:pos="8640"/>
        </w:tabs>
      </w:pPr>
      <w:r>
        <w:rPr>
          <w:rFonts w:ascii="Times New Roman" w:hAnsi="Times New Roman"/>
          <w:b w:val="0"/>
          <w:i w:val="0"/>
          <w:sz w:val="22"/>
        </w:rPr>
        <w:t>I. Formule officielle</w:t>
      </w:r>
      <w:r>
        <w:rPr>
          <w:rFonts w:ascii="Times New Roman" w:hAnsi="Times New Roman"/>
          <w:b w:val="0"/>
          <w:i w:val="0"/>
          <w:sz w:val="22"/>
        </w:rPr>
        <w:tab/>
        <w:t>21</w:t>
      </w:r>
    </w:p>
    <w:p>
      <w:pPr>
        <w:spacing w:before="0" w:after="60"/>
        <w:ind w:left="567"/>
        <w:tabs>
          <w:tab w:val="right" w:leader="dot" w:pos="8640"/>
        </w:tabs>
      </w:pPr>
      <w:r>
        <w:rPr>
          <w:rFonts w:ascii="Times New Roman" w:hAnsi="Times New Roman"/>
          <w:b w:val="0"/>
          <w:i w:val="0"/>
          <w:sz w:val="22"/>
        </w:rPr>
        <w:t>II. Barème officiel UVCI</w:t>
      </w:r>
      <w:r>
        <w:rPr>
          <w:rFonts w:ascii="Times New Roman" w:hAnsi="Times New Roman"/>
          <w:b w:val="0"/>
          <w:i w:val="0"/>
          <w:sz w:val="22"/>
        </w:rPr>
        <w:tab/>
        <w:t>21</w:t>
      </w:r>
    </w:p>
    <w:p>
      <w:pPr>
        <w:spacing w:before="0" w:after="60"/>
        <w:ind w:left="567"/>
        <w:tabs>
          <w:tab w:val="right" w:leader="dot" w:pos="8640"/>
        </w:tabs>
      </w:pPr>
      <w:r>
        <w:rPr>
          <w:rFonts w:ascii="Times New Roman" w:hAnsi="Times New Roman"/>
          <w:b w:val="0"/>
          <w:i w:val="0"/>
          <w:sz w:val="22"/>
        </w:rPr>
        <w:t>III. Exemples de calcul</w:t>
      </w:r>
      <w:r>
        <w:rPr>
          <w:rFonts w:ascii="Times New Roman" w:hAnsi="Times New Roman"/>
          <w:b w:val="0"/>
          <w:i w:val="0"/>
          <w:sz w:val="22"/>
        </w:rPr>
        <w:tab/>
        <w:t>22</w:t>
      </w:r>
    </w:p>
    <w:p>
      <w:pPr>
        <w:spacing w:before="0" w:after="60"/>
        <w:ind w:left="567"/>
        <w:tabs>
          <w:tab w:val="right" w:leader="dot" w:pos="8640"/>
        </w:tabs>
      </w:pPr>
      <w:r>
        <w:rPr>
          <w:rFonts w:ascii="Times New Roman" w:hAnsi="Times New Roman"/>
          <w:b w:val="0"/>
          <w:i w:val="0"/>
          <w:sz w:val="22"/>
        </w:rPr>
        <w:t>IV. Quotas statutaires et heures complémentaires</w:t>
      </w:r>
      <w:r>
        <w:rPr>
          <w:rFonts w:ascii="Times New Roman" w:hAnsi="Times New Roman"/>
          <w:b w:val="0"/>
          <w:i w:val="0"/>
          <w:sz w:val="22"/>
        </w:rPr>
        <w:tab/>
        <w:t>22</w:t>
      </w:r>
    </w:p>
    <w:p>
      <w:pPr>
        <w:spacing w:before="0" w:after="60"/>
        <w:tabs>
          <w:tab w:val="right" w:leader="dot" w:pos="8640"/>
        </w:tabs>
      </w:pPr>
      <w:r>
        <w:rPr>
          <w:rFonts w:ascii="Times New Roman" w:hAnsi="Times New Roman"/>
          <w:b/>
          <w:i w:val="0"/>
          <w:sz w:val="22"/>
        </w:rPr>
        <w:t>CONCLUSION GÉNÉRALE</w:t>
      </w:r>
      <w:r>
        <w:rPr>
          <w:rFonts w:ascii="Times New Roman" w:hAnsi="Times New Roman"/>
          <w:b w:val="0"/>
          <w:i w:val="0"/>
          <w:sz w:val="22"/>
        </w:rPr>
        <w:tab/>
        <w:t>23</w:t>
      </w:r>
    </w:p>
    <w:p>
      <w:pPr>
        <w:spacing w:before="0" w:after="60"/>
        <w:tabs>
          <w:tab w:val="right" w:leader="dot" w:pos="8640"/>
        </w:tabs>
      </w:pPr>
      <w:r>
        <w:rPr>
          <w:rFonts w:ascii="Times New Roman" w:hAnsi="Times New Roman"/>
          <w:b/>
          <w:i w:val="0"/>
          <w:sz w:val="22"/>
        </w:rPr>
        <w:t>ANNEXES</w:t>
      </w:r>
      <w:r>
        <w:rPr>
          <w:rFonts w:ascii="Times New Roman" w:hAnsi="Times New Roman"/>
          <w:b w:val="0"/>
          <w:i w:val="0"/>
          <w:sz w:val="22"/>
        </w:rPr>
        <w:tab/>
        <w:t>24</w:t>
      </w:r>
    </w:p>
    <w:p>
      <w:r>
        <w:br w:type="page"/>
      </w:r>
    </w:p>
    <w:p>
      <w:pPr>
        <w:spacing w:after="200"/>
      </w:pPr>
      <w:r>
        <w:rPr>
          <w:rFonts w:ascii="Times New Roman" w:hAnsi="Times New Roman"/>
          <w:b/>
          <w:i w:val="0"/>
          <w:sz w:val="26"/>
        </w:rPr>
        <w:t>LISTE DES FIGURES</w:t>
      </w:r>
    </w:p>
    <w:p>
      <w:pPr>
        <w:spacing w:before="0" w:after="60"/>
      </w:pPr>
      <w:r>
        <w:rPr>
          <w:rFonts w:ascii="Times New Roman" w:hAnsi="Times New Roman"/>
          <w:b w:val="0"/>
          <w:i w:val="0"/>
          <w:sz w:val="22"/>
        </w:rPr>
        <w:t>Figure 1 : Interface — Page de connexion</w:t>
      </w:r>
    </w:p>
    <w:p>
      <w:pPr>
        <w:spacing w:before="0" w:after="60"/>
      </w:pPr>
      <w:r>
        <w:rPr>
          <w:rFonts w:ascii="Times New Roman" w:hAnsi="Times New Roman"/>
          <w:b w:val="0"/>
          <w:i w:val="0"/>
          <w:sz w:val="22"/>
        </w:rPr>
        <w:t>Figure 2 : Interface — Tableau de bord de l'administrateur</w:t>
      </w:r>
    </w:p>
    <w:p>
      <w:pPr>
        <w:spacing w:before="0" w:after="60"/>
      </w:pPr>
      <w:r>
        <w:rPr>
          <w:rFonts w:ascii="Times New Roman" w:hAnsi="Times New Roman"/>
          <w:b w:val="0"/>
          <w:i w:val="0"/>
          <w:sz w:val="22"/>
        </w:rPr>
        <w:t>Figure 3 : Interface — Catalogue des cours</w:t>
      </w:r>
    </w:p>
    <w:p>
      <w:pPr>
        <w:spacing w:before="0" w:after="60"/>
      </w:pPr>
      <w:r>
        <w:rPr>
          <w:rFonts w:ascii="Times New Roman" w:hAnsi="Times New Roman"/>
          <w:b w:val="0"/>
          <w:i w:val="0"/>
          <w:sz w:val="22"/>
        </w:rPr>
        <w:t>Figure 4 : Interface — Formulaire de saisie d'une activité (espace administrateur)</w:t>
      </w:r>
    </w:p>
    <w:p>
      <w:pPr>
        <w:spacing w:before="0" w:after="60"/>
      </w:pPr>
      <w:r>
        <w:rPr>
          <w:rFonts w:ascii="Times New Roman" w:hAnsi="Times New Roman"/>
          <w:b w:val="0"/>
          <w:i w:val="0"/>
          <w:sz w:val="22"/>
        </w:rPr>
        <w:t>Figure 5 : Interface — Tableau de bord du secrétaire</w:t>
      </w:r>
    </w:p>
    <w:p>
      <w:pPr>
        <w:spacing w:before="0" w:after="60"/>
      </w:pPr>
      <w:r>
        <w:rPr>
          <w:rFonts w:ascii="Times New Roman" w:hAnsi="Times New Roman"/>
          <w:b w:val="0"/>
          <w:i w:val="0"/>
          <w:sz w:val="22"/>
        </w:rPr>
        <w:t>Figure 6 : Interface — Formulaire de saisie d'une activité (espace secrétaire)</w:t>
      </w:r>
    </w:p>
    <w:p>
      <w:pPr>
        <w:spacing w:before="0" w:after="60"/>
      </w:pPr>
      <w:r>
        <w:rPr>
          <w:rFonts w:ascii="Times New Roman" w:hAnsi="Times New Roman"/>
          <w:b w:val="0"/>
          <w:i w:val="0"/>
          <w:sz w:val="22"/>
        </w:rPr>
        <w:t>Figure 7 : Interface — Section Rapports de l'espace secrétaire</w:t>
      </w:r>
    </w:p>
    <w:p>
      <w:pPr>
        <w:spacing w:before="0" w:after="60"/>
      </w:pPr>
      <w:r>
        <w:rPr>
          <w:rFonts w:ascii="Times New Roman" w:hAnsi="Times New Roman"/>
          <w:b w:val="0"/>
          <w:i w:val="0"/>
          <w:sz w:val="22"/>
        </w:rPr>
        <w:t>Figure 8 : Aperçu du fichier Excel d'état de paiement généré</w:t>
      </w:r>
    </w:p>
    <w:p>
      <w:pPr>
        <w:spacing w:before="0" w:after="60"/>
      </w:pPr>
      <w:r>
        <w:rPr>
          <w:rFonts w:ascii="Times New Roman" w:hAnsi="Times New Roman"/>
          <w:b w:val="0"/>
          <w:i w:val="0"/>
          <w:sz w:val="22"/>
        </w:rPr>
        <w:t>Figure 9 : Interface — Tableau de bord de l'enseignant</w:t>
      </w:r>
    </w:p>
    <w:p>
      <w:pPr>
        <w:spacing w:before="0" w:after="60"/>
      </w:pPr>
      <w:r>
        <w:rPr>
          <w:rFonts w:ascii="Times New Roman" w:hAnsi="Times New Roman"/>
          <w:b w:val="0"/>
          <w:i w:val="0"/>
          <w:sz w:val="22"/>
        </w:rPr>
        <w:t>Figure 10 : Interface — Liste des activités de l'enseignant</w:t>
      </w:r>
    </w:p>
    <w:p>
      <w:pPr>
        <w:spacing w:before="0" w:after="60"/>
      </w:pPr>
      <w:r>
        <w:rPr>
          <w:rFonts w:ascii="Times New Roman" w:hAnsi="Times New Roman"/>
          <w:b w:val="0"/>
          <w:i w:val="0"/>
          <w:sz w:val="22"/>
        </w:rPr>
        <w:t>Figure 11 : Interface — Génération du récapitulatif individuel</w:t>
      </w:r>
    </w:p>
    <w:p>
      <w:pPr>
        <w:spacing w:before="0" w:after="60"/>
      </w:pPr>
      <w:r>
        <w:rPr>
          <w:rFonts w:ascii="Times New Roman" w:hAnsi="Times New Roman"/>
          <w:b w:val="0"/>
          <w:i w:val="0"/>
          <w:sz w:val="22"/>
        </w:rPr>
        <w:t>Figure 12 : Aperçu du récapitulatif PDF individuel généré</w:t>
      </w:r>
    </w:p>
    <w:p>
      <w:pPr>
        <w:keepNext w:val="0"/>
        <w:spacing w:before="0" w:after="280"/>
        <w:jc w:val="both"/>
      </w:pPr>
    </w:p>
    <w:p>
      <w:pPr>
        <w:spacing w:after="200"/>
      </w:pPr>
      <w:r>
        <w:rPr>
          <w:rFonts w:ascii="Times New Roman" w:hAnsi="Times New Roman"/>
          <w:b/>
          <w:i w:val="0"/>
          <w:sz w:val="26"/>
        </w:rPr>
        <w:t>LISTE DES TABLEAUX</w:t>
      </w:r>
    </w:p>
    <w:p>
      <w:pPr>
        <w:spacing w:before="0" w:after="60"/>
      </w:pPr>
      <w:r>
        <w:rPr>
          <w:rFonts w:ascii="Times New Roman" w:hAnsi="Times New Roman"/>
          <w:b w:val="0"/>
          <w:i w:val="0"/>
          <w:sz w:val="22"/>
        </w:rPr>
        <w:t>Tableau 1 : Profils utilisateurs et périmètre d'accès</w:t>
      </w:r>
    </w:p>
    <w:p>
      <w:pPr>
        <w:spacing w:before="0" w:after="60"/>
      </w:pPr>
      <w:r>
        <w:rPr>
          <w:rFonts w:ascii="Times New Roman" w:hAnsi="Times New Roman"/>
          <w:b w:val="0"/>
          <w:i w:val="0"/>
          <w:sz w:val="22"/>
        </w:rPr>
        <w:t>Tableau 2 : Comptes de démonstration</w:t>
      </w:r>
    </w:p>
    <w:p>
      <w:pPr>
        <w:spacing w:before="0" w:after="60"/>
      </w:pPr>
      <w:r>
        <w:rPr>
          <w:rFonts w:ascii="Times New Roman" w:hAnsi="Times New Roman"/>
          <w:b w:val="0"/>
          <w:i w:val="0"/>
          <w:sz w:val="22"/>
        </w:rPr>
        <w:t>Tableau 3 : Barème officiel UVCI — coefficients par niveau et type d'activité</w:t>
      </w:r>
    </w:p>
    <w:p>
      <w:pPr>
        <w:spacing w:before="0" w:after="60"/>
      </w:pPr>
      <w:r>
        <w:rPr>
          <w:rFonts w:ascii="Times New Roman" w:hAnsi="Times New Roman"/>
          <w:b w:val="0"/>
          <w:i w:val="0"/>
          <w:sz w:val="22"/>
        </w:rPr>
        <w:t>Tableau 4 : Exemples de calcul du volume horaire</w:t>
      </w:r>
    </w:p>
    <w:p>
      <w:pPr>
        <w:spacing w:before="0" w:after="60"/>
      </w:pPr>
      <w:r>
        <w:rPr>
          <w:rFonts w:ascii="Times New Roman" w:hAnsi="Times New Roman"/>
          <w:b w:val="0"/>
          <w:i w:val="0"/>
          <w:sz w:val="22"/>
        </w:rPr>
        <w:t>Tableau 5 : Quotas statutaires par grade et statut</w:t>
      </w:r>
    </w:p>
    <w:p>
      <w:pPr>
        <w:spacing w:before="0" w:after="60"/>
      </w:pPr>
      <w:r>
        <w:rPr>
          <w:rFonts w:ascii="Times New Roman" w:hAnsi="Times New Roman"/>
          <w:b w:val="0"/>
          <w:i w:val="0"/>
          <w:sz w:val="22"/>
        </w:rPr>
        <w:t>Tableau 6 : Matrice des droits d'accès par profil</w:t>
      </w:r>
    </w:p>
    <w:p>
      <w:pPr>
        <w:spacing w:before="0" w:after="60"/>
      </w:pPr>
      <w:r>
        <w:rPr>
          <w:rFonts w:ascii="Times New Roman" w:hAnsi="Times New Roman"/>
          <w:b w:val="0"/>
          <w:i w:val="0"/>
          <w:sz w:val="22"/>
        </w:rPr>
        <w:t>Tableau 7 : Glossaire des termes techniques</w:t>
      </w:r>
    </w:p>
    <w:p>
      <w:pPr>
        <w:pageBreakBefore/>
        <w:spacing w:before="360" w:after="200"/>
        <w:jc w:val="left"/>
      </w:pPr>
      <w:r>
        <w:rPr>
          <w:rFonts w:ascii="Times New Roman" w:hAnsi="Times New Roman"/>
          <w:b/>
          <w:i w:val="0"/>
          <w:sz w:val="26"/>
        </w:rPr>
        <w:t>INTRODUCTION GÉNÉRALE</w:t>
      </w:r>
    </w:p>
    <w:p>
      <w:pPr>
        <w:keepNext/>
        <w:spacing w:before="240" w:after="100"/>
        <w:jc w:val="left"/>
      </w:pPr>
      <w:r>
        <w:rPr>
          <w:rFonts w:ascii="Times New Roman" w:hAnsi="Times New Roman"/>
          <w:b/>
          <w:i w:val="0"/>
          <w:sz w:val="24"/>
        </w:rPr>
        <w:t>1. Contexte et objectif du guide</w:t>
      </w:r>
    </w:p>
    <w:p>
      <w:pPr>
        <w:keepNext w:val="0"/>
        <w:spacing w:before="0" w:after="120"/>
        <w:jc w:val="both"/>
      </w:pPr>
      <w:r>
        <w:rPr>
          <w:rFonts w:ascii="Times New Roman" w:hAnsi="Times New Roman"/>
          <w:b w:val="0"/>
          <w:i w:val="0"/>
          <w:sz w:val="24"/>
        </w:rPr>
        <w:t>Le présent document constitue le guide utilisateur de l'application GestionHeures UVCI, développée dans le cadre du Projet Collectif Tutoré de la promotion 2025-2026, option Développement d'Applications et e-Services (DAS), à l'Université Virtuelle de Côte d'Ivoire. Ce guide accompagne le rapport de conception du système et en est le complément opérationnel : là où le rapport décrit comment le système a été conçu et pourquoi il a été construit de cette manière, le présent document explique comment l'utiliser au quotidien.</w:t>
      </w:r>
    </w:p>
    <w:p>
      <w:pPr>
        <w:keepNext w:val="0"/>
        <w:spacing w:before="0" w:after="120"/>
        <w:jc w:val="both"/>
      </w:pPr>
      <w:r>
        <w:rPr>
          <w:rFonts w:ascii="Times New Roman" w:hAnsi="Times New Roman"/>
          <w:b w:val="0"/>
          <w:i w:val="0"/>
          <w:sz w:val="24"/>
        </w:rPr>
        <w:t>L'application GestionHeures UVCI a été créée pour répondre à un problème concret et récurrent : la gestion manuelle des heures pédagogiques des enseignants, jusqu'alors fondée sur des échanges de tableurs et de courriels. Ce processus engendrait des erreurs de calcul, des délais de traitement importants et une opacité préjudiciable aux enseignants quant au statut de leurs déclarations. L'application centralise l'intégralité de ce processus, depuis la saisie d'une activité par la secrétaire jusqu'à la validation administrative et la génération automatique des états de paiement à destination de la comptabilité.</w:t>
      </w:r>
    </w:p>
    <w:p>
      <w:pPr>
        <w:keepNext/>
        <w:spacing w:before="240" w:after="100"/>
        <w:jc w:val="left"/>
      </w:pPr>
      <w:r>
        <w:rPr>
          <w:rFonts w:ascii="Times New Roman" w:hAnsi="Times New Roman"/>
          <w:b/>
          <w:i w:val="0"/>
          <w:sz w:val="24"/>
        </w:rPr>
        <w:t>2. Public cible</w:t>
      </w:r>
    </w:p>
    <w:p>
      <w:pPr>
        <w:keepNext w:val="0"/>
        <w:spacing w:before="0" w:after="120"/>
        <w:jc w:val="both"/>
      </w:pPr>
      <w:r>
        <w:rPr>
          <w:rFonts w:ascii="Times New Roman" w:hAnsi="Times New Roman"/>
          <w:b w:val="0"/>
          <w:i w:val="0"/>
          <w:sz w:val="24"/>
        </w:rPr>
        <w:t>Ce guide s'adresse à l'ensemble des utilisateurs de la plateforme GestionHeures UVCI, regroupés en trois profils distincts : l'administrateur, le secrétaire et l'enseignant. Chaque profil disposant d'un périmètre fonctionnel spécifique, le guide est organisé en chapitres dédiés, afin que chaque utilisateur puisse accéder directement aux informations qui le concernent, sans avoir à parcourir l'intégralité du document.</w:t>
      </w:r>
    </w:p>
    <w:p>
      <w:pPr>
        <w:keepNext/>
        <w:spacing w:before="240" w:after="100"/>
        <w:jc w:val="left"/>
      </w:pPr>
      <w:r>
        <w:rPr>
          <w:rFonts w:ascii="Times New Roman" w:hAnsi="Times New Roman"/>
          <w:b/>
          <w:i w:val="0"/>
          <w:sz w:val="24"/>
        </w:rPr>
        <w:t>3. Organisation du document</w:t>
      </w:r>
    </w:p>
    <w:p>
      <w:pPr>
        <w:keepNext w:val="0"/>
        <w:spacing w:before="0" w:after="120"/>
        <w:jc w:val="both"/>
      </w:pPr>
      <w:r>
        <w:rPr>
          <w:rFonts w:ascii="Times New Roman" w:hAnsi="Times New Roman"/>
          <w:b w:val="0"/>
          <w:i w:val="0"/>
          <w:sz w:val="24"/>
        </w:rPr>
        <w:t>Le présent guide est structuré en six chapitres. Le premier présente l'application dans sa globalité : son objectif, son architecture et les droits de chaque profil. Le deuxième décrit la procédure d'accès et d'authentification, commune à tous les utilisateurs. Les chapitres III, IV et V constituent le cœur du guide : ils décrivent respectivement, de manière exhaustive, les fonctionnalités offertes à l'administrateur, au secrétaire et à l'enseignant. Le sixième chapitre expose en détail la logique de calcul des volumes horaires, afin de permettre à chaque utilisateur de comprendre et de vérifier les résultats affichés par le système. Le document se termine par une conclusion et trois annexes : les comptes de démonstration, la matrice des droits d'accès et le glossaire des termes techniques.</w:t>
      </w:r>
    </w:p>
    <w:p>
      <w:pPr>
        <w:pageBreakBefore/>
        <w:spacing w:before="360" w:after="200"/>
        <w:jc w:val="left"/>
      </w:pPr>
      <w:r>
        <w:rPr>
          <w:rFonts w:ascii="Times New Roman" w:hAnsi="Times New Roman"/>
          <w:b/>
          <w:i w:val="0"/>
          <w:sz w:val="26"/>
        </w:rPr>
        <w:t>CHAPITRE I : PRÉSENTATION DE L'APPLICATION</w:t>
      </w:r>
    </w:p>
    <w:p>
      <w:pPr>
        <w:keepNext/>
        <w:spacing w:before="240" w:after="100"/>
        <w:jc w:val="left"/>
      </w:pPr>
      <w:r>
        <w:rPr>
          <w:rFonts w:ascii="Times New Roman" w:hAnsi="Times New Roman"/>
          <w:b/>
          <w:i w:val="0"/>
          <w:sz w:val="24"/>
        </w:rPr>
        <w:t>I. Objectif et périmètre fonctionnel</w:t>
      </w:r>
    </w:p>
    <w:p>
      <w:pPr>
        <w:keepNext w:val="0"/>
        <w:spacing w:before="0" w:after="120"/>
        <w:jc w:val="both"/>
      </w:pPr>
      <w:r>
        <w:rPr>
          <w:rFonts w:ascii="Times New Roman" w:hAnsi="Times New Roman"/>
          <w:b w:val="0"/>
          <w:i w:val="0"/>
          <w:sz w:val="24"/>
        </w:rPr>
        <w:t>L'application GestionHeures UVCI a pour mission de centraliser et d'automatiser la gestion des heures pédagogiques des enseignants de l'Université Virtuelle de Côte d'Ivoire. Elle couvre l'intégralité du processus administratif : la saisie des activités pédagogiques correspondant aux créations et mises à jour de ressources numériques, le calcul automatique des volumes horaires selon le barème officiel de l'UVCI, la validation par l'administration, et la génération des états de paiement à destination de la comptabilité.</w:t>
      </w:r>
    </w:p>
    <w:p>
      <w:pPr>
        <w:keepNext w:val="0"/>
        <w:spacing w:before="0" w:after="120"/>
        <w:jc w:val="both"/>
      </w:pPr>
      <w:r>
        <w:rPr>
          <w:rFonts w:ascii="Times New Roman" w:hAnsi="Times New Roman"/>
          <w:b w:val="0"/>
          <w:i w:val="0"/>
          <w:sz w:val="24"/>
        </w:rPr>
        <w:t>Le système remplace un processus manuel fondé sur des fiches déclaratives transmises par courrier électronique et consolidées dans des tableurs. L'automatisation supprime les risques d'erreurs de calcul et les délais liés à la circulation des documents entre les acteurs du processus.</w:t>
      </w:r>
    </w:p>
    <w:p>
      <w:pPr>
        <w:keepNext/>
        <w:spacing w:before="240" w:after="100"/>
        <w:jc w:val="left"/>
      </w:pPr>
      <w:r>
        <w:rPr>
          <w:rFonts w:ascii="Times New Roman" w:hAnsi="Times New Roman"/>
          <w:b/>
          <w:i w:val="0"/>
          <w:sz w:val="24"/>
        </w:rPr>
        <w:t>II. Architecture du système</w:t>
      </w:r>
    </w:p>
    <w:p>
      <w:pPr>
        <w:keepNext w:val="0"/>
        <w:spacing w:before="0" w:after="120"/>
        <w:jc w:val="both"/>
      </w:pPr>
      <w:r>
        <w:rPr>
          <w:rFonts w:ascii="Times New Roman" w:hAnsi="Times New Roman"/>
          <w:b w:val="0"/>
          <w:i w:val="0"/>
          <w:sz w:val="24"/>
        </w:rPr>
        <w:t>L'application adopte une architecture client-serveur. Le frontend, développé avec le framework Next.js (React) et le système de styles Tailwind CSS, constitue l'interface graphique accessible depuis n'importe quel navigateur web. Il communique avec le backend, réalisé en Python à l'aide du framework FastAPI, par l'intermédiaire d'une API REST sécurisée. Les données sont persistées dans une base de données relationnelle. La sécurité des échanges est assurée par le protocole HTTPS et par l'utilisation de jetons JWT (JSON Web Token) pour l'authentification.</w:t>
      </w:r>
    </w:p>
    <w:p>
      <w:pPr>
        <w:keepNext/>
        <w:spacing w:before="240" w:after="100"/>
        <w:jc w:val="left"/>
      </w:pPr>
      <w:r>
        <w:rPr>
          <w:rFonts w:ascii="Times New Roman" w:hAnsi="Times New Roman"/>
          <w:b/>
          <w:i w:val="0"/>
          <w:sz w:val="24"/>
        </w:rPr>
        <w:t>III. Profils utilisateurs et droits d'accès</w:t>
      </w:r>
    </w:p>
    <w:p>
      <w:pPr>
        <w:keepNext w:val="0"/>
        <w:spacing w:before="0" w:after="120"/>
        <w:jc w:val="both"/>
      </w:pPr>
      <w:r>
        <w:rPr>
          <w:rFonts w:ascii="Times New Roman" w:hAnsi="Times New Roman"/>
          <w:b w:val="0"/>
          <w:i w:val="0"/>
          <w:sz w:val="24"/>
        </w:rPr>
        <w:t>L'application distingue trois profils d'utilisateurs, dotés chacun d'un espace dédié et d'un périmètre fonctionnel défini au niveau du serveur. Cette séparation garantit que chaque acteur n'accède qu'aux données et aux fonctions relevant de ses responsabilités.</w:t>
      </w:r>
    </w:p>
    <w:p>
      <w:pPr>
        <w:keepNext/>
        <w:spacing w:before="160" w:after="60"/>
        <w:jc w:val="center"/>
      </w:pPr>
      <w:r>
        <w:rPr>
          <w:rFonts w:ascii="Times New Roman" w:hAnsi="Times New Roman"/>
          <w:b w:val="0"/>
          <w:i/>
          <w:sz w:val="22"/>
        </w:rPr>
        <w:t>Tableau 1 : Profils utilisateurs et périmètre d'accès</w:t>
      </w:r>
    </w:p>
    <w:tbl>
      <w:tblPr>
        <w:tblStyle w:val="TableGrid"/>
        <w:tblW w:type="auto" w:w="0"/>
        <w:tblLook w:firstColumn="1" w:firstRow="1" w:lastColumn="0" w:lastRow="0" w:noHBand="0" w:noVBand="1" w:val="04A0"/>
      </w:tblPr>
      <w:tblGrid>
        <w:gridCol w:w="4394"/>
        <w:gridCol w:w="4394"/>
      </w:tblGrid>
      <w:tr>
        <w:tc>
          <w:tcPr>
            <w:tcW w:type="dxa" w:w="2268"/>
            <w:shd w:val="clear" w:color="auto" w:fill="E8E8E8"/>
          </w:tcPr>
          <w:p>
            <w:pPr>
              <w:jc w:val="center"/>
            </w:pPr>
            <w:r>
              <w:rPr>
                <w:rFonts w:ascii="Times New Roman" w:hAnsi="Times New Roman"/>
                <w:b/>
                <w:i w:val="0"/>
                <w:sz w:val="20"/>
              </w:rPr>
              <w:t>Profil</w:t>
            </w:r>
          </w:p>
        </w:tc>
        <w:tc>
          <w:tcPr>
            <w:tcW w:type="dxa" w:w="6520"/>
            <w:shd w:val="clear" w:color="auto" w:fill="E8E8E8"/>
          </w:tcPr>
          <w:p>
            <w:pPr>
              <w:jc w:val="center"/>
            </w:pPr>
            <w:r>
              <w:rPr>
                <w:rFonts w:ascii="Times New Roman" w:hAnsi="Times New Roman"/>
                <w:b/>
                <w:i w:val="0"/>
                <w:sz w:val="20"/>
              </w:rPr>
              <w:t>Périmètre fonctionnel</w:t>
            </w:r>
          </w:p>
        </w:tc>
      </w:tr>
      <w:tr>
        <w:tc>
          <w:tcPr>
            <w:tcW w:type="dxa" w:w="2268"/>
          </w:tcPr>
          <w:p>
            <w:pPr>
              <w:jc w:val="left"/>
            </w:pPr>
            <w:r>
              <w:rPr>
                <w:rFonts w:ascii="Times New Roman" w:hAnsi="Times New Roman"/>
                <w:b w:val="0"/>
                <w:i w:val="0"/>
                <w:sz w:val="20"/>
              </w:rPr>
              <w:t>Administrateur</w:t>
            </w:r>
          </w:p>
        </w:tc>
        <w:tc>
          <w:tcPr>
            <w:tcW w:type="dxa" w:w="6520"/>
          </w:tcPr>
          <w:p>
            <w:pPr>
              <w:jc w:val="left"/>
            </w:pPr>
            <w:r>
              <w:rPr>
                <w:rFonts w:ascii="Times New Roman" w:hAnsi="Times New Roman"/>
                <w:b w:val="0"/>
                <w:i w:val="0"/>
                <w:sz w:val="20"/>
              </w:rPr>
              <w:t>Accès complet : gestion des comptes utilisateurs, des enseignants, des cours, des activités (saisie, validation, rejet), paramétrage des coefficients et des quotas, consultation de tous les rapports, export Excel et PDF.</w:t>
            </w:r>
          </w:p>
        </w:tc>
      </w:tr>
      <w:tr>
        <w:tc>
          <w:tcPr>
            <w:tcW w:type="dxa" w:w="2268"/>
          </w:tcPr>
          <w:p>
            <w:pPr>
              <w:jc w:val="left"/>
            </w:pPr>
            <w:r>
              <w:rPr>
                <w:rFonts w:ascii="Times New Roman" w:hAnsi="Times New Roman"/>
                <w:b w:val="0"/>
                <w:i w:val="0"/>
                <w:sz w:val="20"/>
              </w:rPr>
              <w:t>Secrétaire</w:t>
            </w:r>
          </w:p>
        </w:tc>
        <w:tc>
          <w:tcPr>
            <w:tcW w:type="dxa" w:w="6520"/>
          </w:tcPr>
          <w:p>
            <w:pPr>
              <w:jc w:val="left"/>
            </w:pPr>
            <w:r>
              <w:rPr>
                <w:rFonts w:ascii="Times New Roman" w:hAnsi="Times New Roman"/>
                <w:b w:val="0"/>
                <w:i w:val="0"/>
                <w:sz w:val="20"/>
              </w:rPr>
              <w:t>Saisie des activités pédagogiques, validation et rejet des activités, consultation du répertoire des enseignants et des cours, génération des rapports et export Excel.</w:t>
            </w:r>
          </w:p>
        </w:tc>
      </w:tr>
      <w:tr>
        <w:tc>
          <w:tcPr>
            <w:tcW w:type="dxa" w:w="2268"/>
          </w:tcPr>
          <w:p>
            <w:pPr>
              <w:jc w:val="left"/>
            </w:pPr>
            <w:r>
              <w:rPr>
                <w:rFonts w:ascii="Times New Roman" w:hAnsi="Times New Roman"/>
                <w:b w:val="0"/>
                <w:i w:val="0"/>
                <w:sz w:val="20"/>
              </w:rPr>
              <w:t>Enseignant</w:t>
            </w:r>
          </w:p>
        </w:tc>
        <w:tc>
          <w:tcPr>
            <w:tcW w:type="dxa" w:w="6520"/>
          </w:tcPr>
          <w:p>
            <w:pPr>
              <w:jc w:val="left"/>
            </w:pPr>
            <w:r>
              <w:rPr>
                <w:rFonts w:ascii="Times New Roman" w:hAnsi="Times New Roman"/>
                <w:b w:val="0"/>
                <w:i w:val="0"/>
                <w:sz w:val="20"/>
              </w:rPr>
              <w:t>Consultation de son tableau de bord personnel, visualisation de ses propres activités et de leur statut de validation, génération de son récapitulatif individuel en PDF.</w:t>
            </w:r>
          </w:p>
        </w:tc>
      </w:tr>
    </w:tbl>
    <w:p>
      <w:pPr>
        <w:keepNext/>
        <w:spacing w:before="240" w:after="100"/>
        <w:jc w:val="left"/>
      </w:pPr>
      <w:r>
        <w:rPr>
          <w:rFonts w:ascii="Times New Roman" w:hAnsi="Times New Roman"/>
          <w:b/>
          <w:i w:val="0"/>
          <w:sz w:val="24"/>
        </w:rPr>
        <w:t>IV. Prérequis techniques</w:t>
      </w:r>
    </w:p>
    <w:p>
      <w:pPr>
        <w:keepNext w:val="0"/>
        <w:spacing w:before="0" w:after="120"/>
        <w:jc w:val="both"/>
      </w:pPr>
      <w:r>
        <w:rPr>
          <w:rFonts w:ascii="Times New Roman" w:hAnsi="Times New Roman"/>
          <w:b w:val="0"/>
          <w:i w:val="0"/>
          <w:sz w:val="24"/>
        </w:rPr>
        <w:t>L'accès à l'application ne nécessite aucune installation de logiciel particulier. Un navigateur web moderne (Google Chrome, Mozilla Firefox, Microsoft Edge ou Safari, dans leurs versions récentes) suffit. L'utilisateur doit disposer d'une connexion internet et d'un compte créé préalablement par l'administrateur. Aucune compétence technique particulière n'est requise.</w:t>
      </w:r>
    </w:p>
    <w:p>
      <w:pPr>
        <w:keepNext w:val="0"/>
        <w:spacing w:before="0" w:after="120"/>
        <w:jc w:val="both"/>
      </w:pPr>
      <w:r>
        <w:rPr>
          <w:rFonts w:ascii="Times New Roman" w:hAnsi="Times New Roman"/>
          <w:b w:val="0"/>
          <w:i w:val="0"/>
          <w:sz w:val="24"/>
        </w:rPr>
        <w:t>L'application est accessible à l'adresse : https://projet-uvci.vercel.app/ — Le frontend est déployé sur Vercel et le backend sur Render (offre gratuite). En raison du mode veille automatique de Render, la première connexion après une période d'inactivité peut nécessiter jusqu'à 30 à 60 secondes le temps que le serveur se réactive. Ce délai est normal et ne se produit qu'une seule fois par session.</w:t>
      </w:r>
    </w:p>
    <w:p>
      <w:pPr>
        <w:pageBreakBefore/>
        <w:spacing w:before="360" w:after="200"/>
        <w:jc w:val="left"/>
      </w:pPr>
      <w:r>
        <w:rPr>
          <w:rFonts w:ascii="Times New Roman" w:hAnsi="Times New Roman"/>
          <w:b/>
          <w:i w:val="0"/>
          <w:sz w:val="26"/>
        </w:rPr>
        <w:t>CHAPITRE II : ACCÈS ET AUTHENTIFICATION</w:t>
      </w:r>
    </w:p>
    <w:p>
      <w:pPr>
        <w:keepNext/>
        <w:spacing w:before="240" w:after="100"/>
        <w:jc w:val="left"/>
      </w:pPr>
      <w:r>
        <w:rPr>
          <w:rFonts w:ascii="Times New Roman" w:hAnsi="Times New Roman"/>
          <w:b/>
          <w:i w:val="0"/>
          <w:sz w:val="24"/>
        </w:rPr>
        <w:t>I. Procédure de connexion</w:t>
      </w:r>
    </w:p>
    <w:p>
      <w:pPr>
        <w:keepNext w:val="0"/>
        <w:spacing w:before="0" w:after="120"/>
        <w:jc w:val="both"/>
      </w:pPr>
      <w:r>
        <w:rPr>
          <w:rFonts w:ascii="Times New Roman" w:hAnsi="Times New Roman"/>
          <w:b w:val="0"/>
          <w:i w:val="0"/>
          <w:sz w:val="24"/>
        </w:rPr>
        <w:t>La connexion à l'application est commune à tous les profils. Pour accéder à son espace, l'utilisateur suit la procédure ci-après.</w:t>
      </w:r>
    </w:p>
    <w:p>
      <w:pPr>
        <w:pStyle w:val="ListNumber"/>
        <w:spacing w:before="0" w:after="60"/>
      </w:pPr>
      <w:r>
        <w:rPr>
          <w:rFonts w:ascii="Times New Roman" w:hAnsi="Times New Roman"/>
          <w:b w:val="0"/>
          <w:i w:val="0"/>
          <w:sz w:val="24"/>
        </w:rPr>
        <w:t>Ouvrir un navigateur web et accéder à l'adresse : https://projet-uvci.vercel.app/</w:t>
      </w:r>
    </w:p>
    <w:p>
      <w:pPr>
        <w:pStyle w:val="ListNumber"/>
        <w:spacing w:before="0" w:after="60"/>
      </w:pPr>
      <w:r>
        <w:rPr>
          <w:rFonts w:ascii="Times New Roman" w:hAnsi="Times New Roman"/>
          <w:b w:val="0"/>
          <w:i w:val="0"/>
          <w:sz w:val="24"/>
        </w:rPr>
        <w:t>La page d'accueil affiche le formulaire de connexion intitulé GestionHeures UVCI.</w:t>
      </w:r>
    </w:p>
    <w:p>
      <w:pPr>
        <w:pStyle w:val="ListNumber"/>
        <w:spacing w:before="0" w:after="60"/>
      </w:pPr>
      <w:r>
        <w:rPr>
          <w:rFonts w:ascii="Times New Roman" w:hAnsi="Times New Roman"/>
          <w:b w:val="0"/>
          <w:i w:val="0"/>
          <w:sz w:val="24"/>
        </w:rPr>
        <w:t>Saisir l'adresse électronique associée au compte dans le champ Adresse email.</w:t>
      </w:r>
    </w:p>
    <w:p>
      <w:pPr>
        <w:pStyle w:val="ListNumber"/>
        <w:spacing w:before="0" w:after="60"/>
      </w:pPr>
      <w:r>
        <w:rPr>
          <w:rFonts w:ascii="Times New Roman" w:hAnsi="Times New Roman"/>
          <w:b w:val="0"/>
          <w:i w:val="0"/>
          <w:sz w:val="24"/>
        </w:rPr>
        <w:t>Saisir le mot de passe dans le champ correspondant. La visibilité du mot de passe peut être activée ou désactivée à l'aide de l'icône en forme d'œil.</w:t>
      </w:r>
    </w:p>
    <w:p>
      <w:pPr>
        <w:pStyle w:val="ListNumber"/>
        <w:spacing w:before="0" w:after="60"/>
      </w:pPr>
      <w:r>
        <w:rPr>
          <w:rFonts w:ascii="Times New Roman" w:hAnsi="Times New Roman"/>
          <w:b w:val="0"/>
          <w:i w:val="0"/>
          <w:sz w:val="24"/>
        </w:rPr>
        <w:t>Cliquer sur le bouton Se connecter.</w:t>
      </w:r>
    </w:p>
    <w:p>
      <w:pPr>
        <w:keepNext w:val="0"/>
        <w:spacing w:before="0" w:after="120"/>
        <w:jc w:val="both"/>
      </w:pPr>
      <w:r>
        <w:rPr>
          <w:rFonts w:ascii="Times New Roman" w:hAnsi="Times New Roman"/>
          <w:b w:val="0"/>
          <w:i w:val="0"/>
          <w:sz w:val="24"/>
        </w:rPr>
        <w:t>En cas de saisie incorrecte des identifiants, le système affiche un message d'erreur explicite. En cas de succès, l'utilisateur est automatiquement redirigé vers l'espace correspondant à son profil.</w:t>
      </w:r>
    </w:p>
    <w:p>
      <w:pPr>
        <w:keepNext w:val="0"/>
        <w:spacing w:before="0" w:after="120"/>
        <w:jc w:val="both"/>
      </w:pPr>
      <w:r>
        <w:rPr>
          <w:rFonts w:ascii="Times New Roman" w:hAnsi="Times New Roman"/>
          <w:b w:val="0"/>
          <w:i w:val="0"/>
          <w:sz w:val="24"/>
        </w:rPr>
        <w:t>Pour faciliter les tests et la démonstration, trois boutons de remplissage automatique sont disponibles au bas du formulaire de connexion : Admin, Secrétaire et Enseignant. Un simple clic remplit instantanément les champs email et mot de passe avec les identifiants du profil correspondant. Il suffit ensuite de cliquer sur Se connecter pour accéder à l'espace souhaité.</w:t>
      </w:r>
    </w:p>
    <w:p>
      <w:pPr>
        <w:keepNext/>
        <w:spacing w:before="160" w:after="40"/>
        <w:jc w:val="center"/>
      </w:pPr>
      <w:r>
        <w:drawing>
          <wp:inline xmlns:a="http://schemas.openxmlformats.org/drawingml/2006/main" xmlns:pic="http://schemas.openxmlformats.org/drawingml/2006/picture">
            <wp:extent cx="5040000" cy="2387109"/>
            <wp:docPr id="3" name="Picture 3"/>
            <wp:cNvGraphicFramePr>
              <a:graphicFrameLocks noChangeAspect="1"/>
            </wp:cNvGraphicFramePr>
            <a:graphic>
              <a:graphicData uri="http://schemas.openxmlformats.org/drawingml/2006/picture">
                <pic:pic>
                  <pic:nvPicPr>
                    <pic:cNvPr id="0" name="login_page.png"/>
                    <pic:cNvPicPr/>
                  </pic:nvPicPr>
                  <pic:blipFill>
                    <a:blip r:embed="rId11"/>
                    <a:stretch>
                      <a:fillRect/>
                    </a:stretch>
                  </pic:blipFill>
                  <pic:spPr>
                    <a:xfrm>
                      <a:off x="0" y="0"/>
                      <a:ext cx="5040000" cy="2387109"/>
                    </a:xfrm>
                    <a:prstGeom prst="rect"/>
                  </pic:spPr>
                </pic:pic>
              </a:graphicData>
            </a:graphic>
          </wp:inline>
        </w:drawing>
      </w:r>
    </w:p>
    <w:p>
      <w:pPr>
        <w:spacing w:before="80" w:after="200"/>
        <w:jc w:val="center"/>
      </w:pPr>
      <w:r>
        <w:rPr>
          <w:rFonts w:ascii="Times New Roman" w:hAnsi="Times New Roman"/>
          <w:b w:val="0"/>
          <w:i/>
          <w:sz w:val="22"/>
        </w:rPr>
        <w:t>Figure 1 : Interface — Page de connexion</w:t>
      </w:r>
    </w:p>
    <w:p>
      <w:pPr>
        <w:keepNext/>
        <w:spacing w:before="240" w:after="100"/>
        <w:jc w:val="left"/>
      </w:pPr>
      <w:r>
        <w:rPr>
          <w:rFonts w:ascii="Times New Roman" w:hAnsi="Times New Roman"/>
          <w:b/>
          <w:i w:val="0"/>
          <w:sz w:val="24"/>
        </w:rPr>
        <w:t>II. Gestion de la session</w:t>
      </w:r>
    </w:p>
    <w:p>
      <w:pPr>
        <w:keepNext w:val="0"/>
        <w:spacing w:before="0" w:after="120"/>
        <w:jc w:val="both"/>
      </w:pPr>
      <w:r>
        <w:rPr>
          <w:rFonts w:ascii="Times New Roman" w:hAnsi="Times New Roman"/>
          <w:b w:val="0"/>
          <w:i w:val="0"/>
          <w:sz w:val="24"/>
        </w:rPr>
        <w:t>À l'issue d'une connexion réussie, le système génère un jeton d'authentification (JWT) valable huit heures. Ce mécanisme garantit la sécurité des échanges entre le navigateur et le serveur : chaque requête effectuée pendant la session est accompagnée de ce jeton, qui est vérifié par le serveur avant toute réponse.</w:t>
      </w:r>
    </w:p>
    <w:p>
      <w:pPr>
        <w:keepNext w:val="0"/>
        <w:spacing w:before="0" w:after="120"/>
        <w:jc w:val="both"/>
      </w:pPr>
      <w:r>
        <w:rPr>
          <w:rFonts w:ascii="Times New Roman" w:hAnsi="Times New Roman"/>
          <w:b w:val="0"/>
          <w:i w:val="0"/>
          <w:sz w:val="24"/>
        </w:rPr>
        <w:t>Passé le délai de huit heures, le jeton est automatiquement invalidé et l'utilisateur est redirigé vers la page de connexion. Il est recommandé de se déconnecter explicitement en fin de session en utilisant le lien Déconnexion disponible dans la barre de navigation latérale, notamment lorsque l'application est utilisée sur un poste partagé.</w:t>
      </w:r>
    </w:p>
    <w:p>
      <w:pPr>
        <w:keepNext/>
        <w:spacing w:before="240" w:after="100"/>
        <w:jc w:val="left"/>
      </w:pPr>
      <w:r>
        <w:rPr>
          <w:rFonts w:ascii="Times New Roman" w:hAnsi="Times New Roman"/>
          <w:b/>
          <w:i w:val="0"/>
          <w:sz w:val="24"/>
        </w:rPr>
        <w:t>III. Comptes disponibles</w:t>
      </w:r>
    </w:p>
    <w:p>
      <w:pPr>
        <w:keepNext w:val="0"/>
        <w:spacing w:before="0" w:after="120"/>
        <w:jc w:val="both"/>
      </w:pPr>
      <w:r>
        <w:rPr>
          <w:rFonts w:ascii="Times New Roman" w:hAnsi="Times New Roman"/>
          <w:b w:val="0"/>
          <w:i w:val="0"/>
          <w:sz w:val="24"/>
        </w:rPr>
        <w:t>Pour les besoins de la démonstration, l'application est pré-chargée avec des données de test et trois comptes actifs, un par profil.</w:t>
      </w:r>
    </w:p>
    <w:p>
      <w:pPr>
        <w:keepNext/>
        <w:spacing w:before="160" w:after="60"/>
        <w:jc w:val="center"/>
      </w:pPr>
      <w:r>
        <w:rPr>
          <w:rFonts w:ascii="Times New Roman" w:hAnsi="Times New Roman"/>
          <w:b w:val="0"/>
          <w:i/>
          <w:sz w:val="22"/>
        </w:rPr>
        <w:t>Tableau 2 : Comptes de démonstration</w:t>
      </w:r>
    </w:p>
    <w:tbl>
      <w:tblPr>
        <w:tblStyle w:val="TableGrid"/>
        <w:tblW w:type="auto" w:w="0"/>
        <w:tblLook w:firstColumn="1" w:firstRow="1" w:lastColumn="0" w:lastRow="0" w:noHBand="0" w:noVBand="1" w:val="04A0"/>
      </w:tblPr>
      <w:tblGrid>
        <w:gridCol w:w="2929"/>
        <w:gridCol w:w="2929"/>
        <w:gridCol w:w="2929"/>
      </w:tblGrid>
      <w:tr>
        <w:tc>
          <w:tcPr>
            <w:tcW w:type="dxa" w:w="2268"/>
            <w:shd w:val="clear" w:color="auto" w:fill="E8E8E8"/>
          </w:tcPr>
          <w:p>
            <w:pPr>
              <w:jc w:val="center"/>
            </w:pPr>
            <w:r>
              <w:rPr>
                <w:rFonts w:ascii="Times New Roman" w:hAnsi="Times New Roman"/>
                <w:b/>
                <w:i w:val="0"/>
                <w:sz w:val="20"/>
              </w:rPr>
              <w:t>Profil</w:t>
            </w:r>
          </w:p>
        </w:tc>
        <w:tc>
          <w:tcPr>
            <w:tcW w:type="dxa" w:w="3402"/>
            <w:shd w:val="clear" w:color="auto" w:fill="E8E8E8"/>
          </w:tcPr>
          <w:p>
            <w:pPr>
              <w:jc w:val="center"/>
            </w:pPr>
            <w:r>
              <w:rPr>
                <w:rFonts w:ascii="Times New Roman" w:hAnsi="Times New Roman"/>
                <w:b/>
                <w:i w:val="0"/>
                <w:sz w:val="20"/>
              </w:rPr>
              <w:t>Adresse électronique</w:t>
            </w:r>
          </w:p>
        </w:tc>
        <w:tc>
          <w:tcPr>
            <w:tcW w:type="dxa" w:w="3118"/>
            <w:shd w:val="clear" w:color="auto" w:fill="E8E8E8"/>
          </w:tcPr>
          <w:p>
            <w:pPr>
              <w:jc w:val="center"/>
            </w:pPr>
            <w:r>
              <w:rPr>
                <w:rFonts w:ascii="Times New Roman" w:hAnsi="Times New Roman"/>
                <w:b/>
                <w:i w:val="0"/>
                <w:sz w:val="20"/>
              </w:rPr>
              <w:t>Mot de passe</w:t>
            </w:r>
          </w:p>
        </w:tc>
      </w:tr>
      <w:tr>
        <w:tc>
          <w:tcPr>
            <w:tcW w:type="dxa" w:w="2268"/>
          </w:tcPr>
          <w:p>
            <w:pPr>
              <w:jc w:val="left"/>
            </w:pPr>
            <w:r>
              <w:rPr>
                <w:rFonts w:ascii="Times New Roman" w:hAnsi="Times New Roman"/>
                <w:b w:val="0"/>
                <w:i w:val="0"/>
                <w:sz w:val="20"/>
              </w:rPr>
              <w:t>Administrateur</w:t>
            </w:r>
          </w:p>
        </w:tc>
        <w:tc>
          <w:tcPr>
            <w:tcW w:type="dxa" w:w="3402"/>
          </w:tcPr>
          <w:p>
            <w:pPr>
              <w:jc w:val="left"/>
            </w:pPr>
            <w:r>
              <w:rPr>
                <w:rFonts w:ascii="Times New Roman" w:hAnsi="Times New Roman"/>
                <w:b w:val="0"/>
                <w:i w:val="0"/>
                <w:sz w:val="20"/>
              </w:rPr>
              <w:t>admin@uvci.ci</w:t>
            </w:r>
          </w:p>
        </w:tc>
        <w:tc>
          <w:tcPr>
            <w:tcW w:type="dxa" w:w="3118"/>
          </w:tcPr>
          <w:p>
            <w:pPr>
              <w:jc w:val="left"/>
            </w:pPr>
            <w:r>
              <w:rPr>
                <w:rFonts w:ascii="Times New Roman" w:hAnsi="Times New Roman"/>
                <w:b w:val="0"/>
                <w:i w:val="0"/>
                <w:sz w:val="20"/>
              </w:rPr>
              <w:t>admin123</w:t>
            </w:r>
          </w:p>
        </w:tc>
      </w:tr>
      <w:tr>
        <w:tc>
          <w:tcPr>
            <w:tcW w:type="dxa" w:w="2268"/>
          </w:tcPr>
          <w:p>
            <w:pPr>
              <w:jc w:val="left"/>
            </w:pPr>
            <w:r>
              <w:rPr>
                <w:rFonts w:ascii="Times New Roman" w:hAnsi="Times New Roman"/>
                <w:b w:val="0"/>
                <w:i w:val="0"/>
                <w:sz w:val="20"/>
              </w:rPr>
              <w:t>Secrétaire</w:t>
            </w:r>
          </w:p>
        </w:tc>
        <w:tc>
          <w:tcPr>
            <w:tcW w:type="dxa" w:w="3402"/>
          </w:tcPr>
          <w:p>
            <w:pPr>
              <w:jc w:val="left"/>
            </w:pPr>
            <w:r>
              <w:rPr>
                <w:rFonts w:ascii="Times New Roman" w:hAnsi="Times New Roman"/>
                <w:b w:val="0"/>
                <w:i w:val="0"/>
                <w:sz w:val="20"/>
              </w:rPr>
              <w:t>secretaire@uvci.ci</w:t>
            </w:r>
          </w:p>
        </w:tc>
        <w:tc>
          <w:tcPr>
            <w:tcW w:type="dxa" w:w="3118"/>
          </w:tcPr>
          <w:p>
            <w:pPr>
              <w:jc w:val="left"/>
            </w:pPr>
            <w:r>
              <w:rPr>
                <w:rFonts w:ascii="Times New Roman" w:hAnsi="Times New Roman"/>
                <w:b w:val="0"/>
                <w:i w:val="0"/>
                <w:sz w:val="20"/>
              </w:rPr>
              <w:t>secretaire123</w:t>
            </w:r>
          </w:p>
        </w:tc>
      </w:tr>
      <w:tr>
        <w:tc>
          <w:tcPr>
            <w:tcW w:type="dxa" w:w="2268"/>
          </w:tcPr>
          <w:p>
            <w:pPr>
              <w:jc w:val="left"/>
            </w:pPr>
            <w:r>
              <w:rPr>
                <w:rFonts w:ascii="Times New Roman" w:hAnsi="Times New Roman"/>
                <w:b w:val="0"/>
                <w:i w:val="0"/>
                <w:sz w:val="20"/>
              </w:rPr>
              <w:t>Enseignant</w:t>
            </w:r>
          </w:p>
        </w:tc>
        <w:tc>
          <w:tcPr>
            <w:tcW w:type="dxa" w:w="3402"/>
          </w:tcPr>
          <w:p>
            <w:pPr>
              <w:jc w:val="left"/>
            </w:pPr>
            <w:r>
              <w:rPr>
                <w:rFonts w:ascii="Times New Roman" w:hAnsi="Times New Roman"/>
                <w:b w:val="0"/>
                <w:i w:val="0"/>
                <w:sz w:val="20"/>
              </w:rPr>
              <w:t>jkouame@uvci.ci</w:t>
            </w:r>
          </w:p>
        </w:tc>
        <w:tc>
          <w:tcPr>
            <w:tcW w:type="dxa" w:w="3118"/>
          </w:tcPr>
          <w:p>
            <w:pPr>
              <w:jc w:val="left"/>
            </w:pPr>
            <w:r>
              <w:rPr>
                <w:rFonts w:ascii="Times New Roman" w:hAnsi="Times New Roman"/>
                <w:b w:val="0"/>
                <w:i w:val="0"/>
                <w:sz w:val="20"/>
              </w:rPr>
              <w:t>teacher123</w:t>
            </w:r>
          </w:p>
        </w:tc>
      </w:tr>
    </w:tbl>
    <w:p>
      <w:pPr>
        <w:spacing w:before="100"/>
      </w:pPr>
      <w:r>
        <w:rPr>
          <w:rFonts w:ascii="Times New Roman" w:hAnsi="Times New Roman"/>
          <w:b w:val="0"/>
          <w:i/>
          <w:sz w:val="20"/>
        </w:rPr>
        <w:t>Ces comptes sont destinés à la démonstration uniquement. En production, l'administrateur crée les comptes réels et communique les identifiants aux utilisateurs concernés.</w:t>
      </w:r>
    </w:p>
    <w:p>
      <w:pPr>
        <w:pageBreakBefore/>
        <w:spacing w:before="360" w:after="200"/>
        <w:jc w:val="left"/>
      </w:pPr>
      <w:r>
        <w:rPr>
          <w:rFonts w:ascii="Times New Roman" w:hAnsi="Times New Roman"/>
          <w:b/>
          <w:i w:val="0"/>
          <w:sz w:val="26"/>
        </w:rPr>
        <w:t>CHAPITRE III : GUIDE DE L'ADMINISTRATEUR</w:t>
      </w:r>
    </w:p>
    <w:p>
      <w:pPr>
        <w:keepNext w:val="0"/>
        <w:spacing w:before="0" w:after="120"/>
        <w:jc w:val="both"/>
      </w:pPr>
      <w:r>
        <w:rPr>
          <w:rFonts w:ascii="Times New Roman" w:hAnsi="Times New Roman"/>
          <w:b w:val="0"/>
          <w:i w:val="0"/>
          <w:sz w:val="24"/>
        </w:rPr>
        <w:t>L'espace administrateur offre un accès complet à l'ensemble des fonctionnalités du système. L'administrateur est le seul profil habilité à créer et gérer les comptes utilisateurs, à paramétrer les coefficients de calcul et les quotas statutaires.</w:t>
      </w:r>
    </w:p>
    <w:p>
      <w:pPr>
        <w:keepNext/>
        <w:spacing w:before="240" w:after="100"/>
        <w:jc w:val="left"/>
      </w:pPr>
      <w:r>
        <w:rPr>
          <w:rFonts w:ascii="Times New Roman" w:hAnsi="Times New Roman"/>
          <w:b/>
          <w:i w:val="0"/>
          <w:sz w:val="24"/>
        </w:rPr>
        <w:t>I. Tableau de bord</w:t>
      </w:r>
    </w:p>
    <w:p>
      <w:pPr>
        <w:keepNext w:val="0"/>
        <w:spacing w:before="0" w:after="120"/>
        <w:jc w:val="both"/>
      </w:pPr>
      <w:r>
        <w:rPr>
          <w:rFonts w:ascii="Times New Roman" w:hAnsi="Times New Roman"/>
          <w:b w:val="0"/>
          <w:i w:val="0"/>
          <w:sz w:val="24"/>
        </w:rPr>
        <w:t>Le tableau de bord constitue la page d'accueil de l'espace administrateur. Il offre une vue synthétique et en temps réel de l'activité pédagogique de l'établissement, à travers quatre indicateurs clés et deux représentations graphiques.</w:t>
      </w:r>
    </w:p>
    <w:p>
      <w:pPr>
        <w:keepNext w:val="0"/>
        <w:spacing w:before="0" w:after="120"/>
        <w:jc w:val="both"/>
      </w:pPr>
      <w:r>
        <w:rPr>
          <w:rFonts w:ascii="Times New Roman" w:hAnsi="Times New Roman"/>
          <w:b w:val="0"/>
          <w:i w:val="0"/>
          <w:sz w:val="24"/>
        </w:rPr>
        <w:t>Les quatre indicateurs affichés en haut de page sont les suivants : le nombre total d'enseignants enregistrés dans le système, le volume horaire total calculé pour l'année en cours, le nombre d'enseignants ayant au moins une activité déclarée, et le nombre d'activités en attente de validation. Ce dernier indicateur est particulièrement important car il signale les déclarations qui nécessitent une action immédiate.</w:t>
      </w:r>
    </w:p>
    <w:p>
      <w:pPr>
        <w:keepNext/>
        <w:spacing w:before="160" w:after="40"/>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admin_dashboard_final.png"/>
                    <pic:cNvPicPr/>
                  </pic:nvPicPr>
                  <pic:blipFill>
                    <a:blip r:embed="rId12"/>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2 : Interface — Tableau de bord de l'administrateur</w:t>
      </w:r>
    </w:p>
    <w:p>
      <w:pPr>
        <w:keepNext w:val="0"/>
        <w:spacing w:before="0" w:after="120"/>
        <w:jc w:val="both"/>
      </w:pPr>
      <w:r>
        <w:rPr>
          <w:rFonts w:ascii="Times New Roman" w:hAnsi="Times New Roman"/>
          <w:b w:val="0"/>
          <w:i w:val="0"/>
          <w:sz w:val="24"/>
        </w:rPr>
        <w:t>Le graphique de gauche illustre l'évolution du volume horaire cumulé au cours des six derniers mois. Le graphique de droite décompose les volumes horaires par département. En bas de page figurent le classement des enseignants les plus actifs et la liste des activités les plus récentes avec leur statut.</w:t>
      </w:r>
    </w:p>
    <w:p>
      <w:pPr>
        <w:keepNext/>
        <w:spacing w:before="240" w:after="100"/>
        <w:jc w:val="left"/>
      </w:pPr>
      <w:r>
        <w:rPr>
          <w:rFonts w:ascii="Times New Roman" w:hAnsi="Times New Roman"/>
          <w:b/>
          <w:i w:val="0"/>
          <w:sz w:val="24"/>
        </w:rPr>
        <w:t>II. Gestion des enseignants</w:t>
      </w:r>
    </w:p>
    <w:p>
      <w:pPr>
        <w:keepNext w:val="0"/>
        <w:spacing w:before="0" w:after="120"/>
        <w:jc w:val="both"/>
      </w:pPr>
      <w:r>
        <w:rPr>
          <w:rFonts w:ascii="Times New Roman" w:hAnsi="Times New Roman"/>
          <w:b w:val="0"/>
          <w:i w:val="0"/>
          <w:sz w:val="24"/>
        </w:rPr>
        <w:t>La section Enseignants présente la liste complète des enseignants enregistrés. Pour chaque enseignant, le tableau affiche son nom et prénom, son grade académique, son département et son statut (permanent ou vacataire). Ces informations sont utilisées par le moteur de calcul pour déterminer le quota statutaire applicable.</w:t>
      </w:r>
    </w:p>
    <w:p>
      <w:pPr>
        <w:keepNext w:val="0"/>
        <w:spacing w:before="0" w:after="120"/>
        <w:jc w:val="both"/>
      </w:pPr>
      <w:r>
        <w:rPr>
          <w:rFonts w:ascii="Times New Roman" w:hAnsi="Times New Roman"/>
          <w:b w:val="0"/>
          <w:i w:val="0"/>
          <w:sz w:val="24"/>
        </w:rPr>
        <w:t>Pour ajouter un enseignant, l'administrateur clique sur Ajouter un enseignant et renseigne le formulaire comprenant le nom, le prénom, le grade, le statut, le département, l'adresse électronique professionnelle et le taux horaire. La modification d'un enseignant existant s'effectue via l'icône dédiée sur la ligne correspondante.</w:t>
      </w:r>
    </w:p>
    <w:p>
      <w:pPr>
        <w:keepNext/>
        <w:spacing w:before="240" w:after="100"/>
        <w:jc w:val="left"/>
      </w:pPr>
      <w:r>
        <w:rPr>
          <w:rFonts w:ascii="Times New Roman" w:hAnsi="Times New Roman"/>
          <w:b/>
          <w:i w:val="0"/>
          <w:sz w:val="24"/>
        </w:rPr>
        <w:t>III. Gestion des cours</w:t>
      </w:r>
    </w:p>
    <w:p>
      <w:pPr>
        <w:keepNext w:val="0"/>
        <w:spacing w:before="0" w:after="120"/>
        <w:jc w:val="both"/>
      </w:pPr>
      <w:r>
        <w:rPr>
          <w:rFonts w:ascii="Times New Roman" w:hAnsi="Times New Roman"/>
          <w:b w:val="0"/>
          <w:i w:val="0"/>
          <w:sz w:val="24"/>
        </w:rPr>
        <w:t>La section Cours donne accès au catalogue des unités d'enseignement de l'UVCI. Chaque cours est caractérisé par son intitulé, sa filière, son niveau d'études, son semestre, son nombre d'heures et son nombre de crédits. Ce catalogue constitue la référence partagée lors de la saisie des activités.</w:t>
      </w:r>
    </w:p>
    <w:p>
      <w:pPr>
        <w:keepNext/>
        <w:spacing w:before="160" w:after="40"/>
        <w:jc w:val="center"/>
      </w:pPr>
      <w:r>
        <w:drawing>
          <wp:inline xmlns:a="http://schemas.openxmlformats.org/drawingml/2006/main" xmlns:pic="http://schemas.openxmlformats.org/drawingml/2006/picture">
            <wp:extent cx="5040000" cy="5040000"/>
            <wp:docPr id="5" name="Picture 5"/>
            <wp:cNvGraphicFramePr>
              <a:graphicFrameLocks noChangeAspect="1"/>
            </wp:cNvGraphicFramePr>
            <a:graphic>
              <a:graphicData uri="http://schemas.openxmlformats.org/drawingml/2006/picture">
                <pic:pic>
                  <pic:nvPicPr>
                    <pic:cNvPr id="0" name="admin_cours.png"/>
                    <pic:cNvPicPr/>
                  </pic:nvPicPr>
                  <pic:blipFill>
                    <a:blip r:embed="rId13"/>
                    <a:stretch>
                      <a:fillRect/>
                    </a:stretch>
                  </pic:blipFill>
                  <pic:spPr>
                    <a:xfrm>
                      <a:off x="0" y="0"/>
                      <a:ext cx="5040000" cy="5040000"/>
                    </a:xfrm>
                    <a:prstGeom prst="rect"/>
                  </pic:spPr>
                </pic:pic>
              </a:graphicData>
            </a:graphic>
          </wp:inline>
        </w:drawing>
      </w:r>
    </w:p>
    <w:p>
      <w:pPr>
        <w:spacing w:before="80" w:after="200"/>
        <w:jc w:val="center"/>
      </w:pPr>
      <w:r>
        <w:rPr>
          <w:rFonts w:ascii="Times New Roman" w:hAnsi="Times New Roman"/>
          <w:b w:val="0"/>
          <w:i/>
          <w:sz w:val="22"/>
        </w:rPr>
        <w:t>Figure 3 : Interface — Catalogue des cours</w:t>
      </w:r>
    </w:p>
    <w:p>
      <w:pPr>
        <w:keepNext/>
        <w:spacing w:before="240" w:after="100"/>
        <w:jc w:val="left"/>
      </w:pPr>
      <w:r>
        <w:rPr>
          <w:rFonts w:ascii="Times New Roman" w:hAnsi="Times New Roman"/>
          <w:b/>
          <w:i w:val="0"/>
          <w:sz w:val="24"/>
        </w:rPr>
        <w:t>IV. Saisie des activités pédagogiques</w:t>
      </w:r>
    </w:p>
    <w:p>
      <w:pPr>
        <w:keepNext w:val="0"/>
        <w:spacing w:before="0" w:after="120"/>
        <w:jc w:val="both"/>
      </w:pPr>
      <w:r>
        <w:rPr>
          <w:rFonts w:ascii="Times New Roman" w:hAnsi="Times New Roman"/>
          <w:b w:val="0"/>
          <w:i w:val="0"/>
          <w:sz w:val="24"/>
        </w:rPr>
        <w:t>La section Activités permet à l'administrateur de saisir une nouvelle activité pédagogique au nom d'un enseignant. Le formulaire requiert la sélection de l'enseignant concerné, du cours associé, de l'année académique, du type d'activité (création ou mise à jour) et du niveau de complexité (1, 2 ou 3). Le volume horaire correspondant est calculé en temps réel et affiché avant soumission.</w:t>
      </w:r>
    </w:p>
    <w:p>
      <w:pPr>
        <w:keepNext/>
        <w:spacing w:before="160" w:after="40"/>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admin_saisie_full.png"/>
                    <pic:cNvPicPr/>
                  </pic:nvPicPr>
                  <pic:blipFill>
                    <a:blip r:embed="rId14"/>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4 : Interface — Formulaire de saisie d'une activité (espace administrateur)</w:t>
      </w:r>
    </w:p>
    <w:p>
      <w:pPr>
        <w:keepNext/>
        <w:spacing w:before="240" w:after="100"/>
        <w:jc w:val="left"/>
      </w:pPr>
      <w:r>
        <w:rPr>
          <w:rFonts w:ascii="Times New Roman" w:hAnsi="Times New Roman"/>
          <w:b/>
          <w:i w:val="0"/>
          <w:sz w:val="24"/>
        </w:rPr>
        <w:t>V. Validation des activités</w:t>
      </w:r>
    </w:p>
    <w:p>
      <w:pPr>
        <w:keepNext w:val="0"/>
        <w:spacing w:before="0" w:after="120"/>
        <w:jc w:val="both"/>
      </w:pPr>
      <w:r>
        <w:rPr>
          <w:rFonts w:ascii="Times New Roman" w:hAnsi="Times New Roman"/>
          <w:b w:val="0"/>
          <w:i w:val="0"/>
          <w:sz w:val="24"/>
        </w:rPr>
        <w:t>Toute activité nouvellement saisie porte le statut en attente. Elle n'est prise en compte dans les calculs qu'après avoir été validée. Pour valider ou rejeter une activité, l'administrateur accède à la liste des activités et filtre sur le statut en attente. L'action Valider change le statut en validé et intègre l'activité dans les calculs. L'action Rejeter exclut l'activité des calculs tout en la conservant dans l'historique.</w:t>
      </w:r>
    </w:p>
    <w:p>
      <w:pPr>
        <w:keepNext/>
        <w:spacing w:before="240" w:after="100"/>
        <w:jc w:val="left"/>
      </w:pPr>
      <w:r>
        <w:rPr>
          <w:rFonts w:ascii="Times New Roman" w:hAnsi="Times New Roman"/>
          <w:b/>
          <w:i w:val="0"/>
          <w:sz w:val="24"/>
        </w:rPr>
        <w:t>VI. Rapports et exportations</w:t>
      </w:r>
    </w:p>
    <w:p>
      <w:pPr>
        <w:keepNext w:val="0"/>
        <w:spacing w:before="0" w:after="120"/>
        <w:jc w:val="both"/>
      </w:pPr>
      <w:r>
        <w:rPr>
          <w:rFonts w:ascii="Times New Roman" w:hAnsi="Times New Roman"/>
          <w:b w:val="0"/>
          <w:i w:val="0"/>
          <w:sz w:val="24"/>
        </w:rPr>
        <w:t>La section Rapports permet de générer les états de synthèse nécessaires à la comptabilité. Un export Excel récapitulatif est disponible pour une année académique sélectionnée : il liste, pour chaque enseignant, le volume horaire total validé, le quota statutaire applicable, le volume complémentaire et le montant dû. Un récapitulatif PDF individuel par enseignant est également disponible.</w:t>
      </w:r>
    </w:p>
    <w:p>
      <w:pPr>
        <w:keepNext/>
        <w:spacing w:before="240" w:after="100"/>
        <w:jc w:val="left"/>
      </w:pPr>
      <w:r>
        <w:rPr>
          <w:rFonts w:ascii="Times New Roman" w:hAnsi="Times New Roman"/>
          <w:b/>
          <w:i w:val="0"/>
          <w:sz w:val="24"/>
        </w:rPr>
        <w:t>VII. Paramétrage du système</w:t>
      </w:r>
    </w:p>
    <w:p>
      <w:pPr>
        <w:keepNext w:val="0"/>
        <w:spacing w:before="0" w:after="120"/>
        <w:jc w:val="both"/>
      </w:pPr>
      <w:r>
        <w:rPr>
          <w:rFonts w:ascii="Times New Roman" w:hAnsi="Times New Roman"/>
          <w:b w:val="0"/>
          <w:i w:val="0"/>
          <w:sz w:val="24"/>
        </w:rPr>
        <w:t>La section Paramètres, exclusive à l'administrateur, permet d'ajuster deux référentiels de calcul fondamentaux : les coefficients de complexité et les quotas statutaires. Toute modification est prise en compte immédiatement par le moteur de calcul du serveur.</w:t>
      </w:r>
    </w:p>
    <w:p>
      <w:pPr>
        <w:keepNext/>
        <w:spacing w:before="160" w:after="80"/>
        <w:jc w:val="left"/>
      </w:pPr>
      <w:r>
        <w:rPr>
          <w:rFonts w:ascii="Times New Roman" w:hAnsi="Times New Roman"/>
          <w:b/>
          <w:i w:val="0"/>
          <w:sz w:val="24"/>
        </w:rPr>
        <w:t>1. Paramétrage des coefficients</w:t>
      </w:r>
    </w:p>
    <w:p>
      <w:pPr>
        <w:keepNext w:val="0"/>
        <w:spacing w:before="0" w:after="120"/>
        <w:jc w:val="both"/>
      </w:pPr>
      <w:r>
        <w:rPr>
          <w:rFonts w:ascii="Times New Roman" w:hAnsi="Times New Roman"/>
          <w:b w:val="0"/>
          <w:i w:val="0"/>
          <w:sz w:val="24"/>
        </w:rPr>
        <w:t>Les six coefficients officiels de l'UVCI correspondent aux trois niveaux de complexité croisés avec les deux types d'activité. L'administrateur peut modifier la valeur de chaque coefficient et enregistrer les modifications. Les activités déjà enregistrées conservent le volume horaire calculé au moment de leur saisie.</w:t>
      </w:r>
    </w:p>
    <w:p>
      <w:pPr>
        <w:keepNext/>
        <w:spacing w:before="160" w:after="80"/>
        <w:jc w:val="left"/>
      </w:pPr>
      <w:r>
        <w:rPr>
          <w:rFonts w:ascii="Times New Roman" w:hAnsi="Times New Roman"/>
          <w:b/>
          <w:i w:val="0"/>
          <w:sz w:val="24"/>
        </w:rPr>
        <w:t>2. Paramétrage des quotas statutaires</w:t>
      </w:r>
    </w:p>
    <w:p>
      <w:pPr>
        <w:keepNext w:val="0"/>
        <w:spacing w:before="0" w:after="120"/>
        <w:jc w:val="both"/>
      </w:pPr>
      <w:r>
        <w:rPr>
          <w:rFonts w:ascii="Times New Roman" w:hAnsi="Times New Roman"/>
          <w:b w:val="0"/>
          <w:i w:val="0"/>
          <w:sz w:val="24"/>
        </w:rPr>
        <w:t>Les quotas statutaires définissent le volume horaire annuel obligatoire par grade et statut. L'administrateur peut consulter et modifier chaque quota depuis le tableau dédié, puis enregistrer les modifications.</w:t>
      </w:r>
    </w:p>
    <w:p>
      <w:pPr>
        <w:pageBreakBefore/>
        <w:spacing w:before="360" w:after="200"/>
        <w:jc w:val="left"/>
      </w:pPr>
      <w:r>
        <w:rPr>
          <w:rFonts w:ascii="Times New Roman" w:hAnsi="Times New Roman"/>
          <w:b/>
          <w:i w:val="0"/>
          <w:sz w:val="26"/>
        </w:rPr>
        <w:t>CHAPITRE IV : GUIDE DU SECRÉTAIRE</w:t>
      </w:r>
    </w:p>
    <w:p>
      <w:pPr>
        <w:keepNext w:val="0"/>
        <w:spacing w:before="0" w:after="120"/>
        <w:jc w:val="both"/>
      </w:pPr>
      <w:r>
        <w:rPr>
          <w:rFonts w:ascii="Times New Roman" w:hAnsi="Times New Roman"/>
          <w:b w:val="0"/>
          <w:i w:val="0"/>
          <w:sz w:val="24"/>
        </w:rPr>
        <w:t>L'espace secrétaire donne accès aux fonctions opérationnelles du quotidien administratif : la saisie des activités pédagogiques déclarées par les enseignants, leur validation et la génération des rapports d'exportation. Le secrétaire n'a pas accès au paramétrage du système ni à la gestion des comptes utilisateurs.</w:t>
      </w:r>
    </w:p>
    <w:p>
      <w:pPr>
        <w:keepNext/>
        <w:spacing w:before="240" w:after="100"/>
        <w:jc w:val="left"/>
      </w:pPr>
      <w:r>
        <w:rPr>
          <w:rFonts w:ascii="Times New Roman" w:hAnsi="Times New Roman"/>
          <w:b/>
          <w:i w:val="0"/>
          <w:sz w:val="24"/>
        </w:rPr>
        <w:t>I. Tableau de bord</w:t>
      </w:r>
    </w:p>
    <w:p>
      <w:pPr>
        <w:keepNext w:val="0"/>
        <w:spacing w:before="0" w:after="120"/>
        <w:jc w:val="both"/>
      </w:pPr>
      <w:r>
        <w:rPr>
          <w:rFonts w:ascii="Times New Roman" w:hAnsi="Times New Roman"/>
          <w:b w:val="0"/>
          <w:i w:val="0"/>
          <w:sz w:val="24"/>
        </w:rPr>
        <w:t>Le tableau de bord de l'espace secrétaire présente une vue synthétique centrée sur les activités en cours de traitement. Trois indicateurs sont affichés en haut de page : le nombre total d'activités enregistrées pour l'année en cours, le nombre d'activités en attente de validation, et le nombre d'activités rejetées.</w:t>
      </w:r>
    </w:p>
    <w:p>
      <w:pPr>
        <w:keepNext/>
        <w:spacing w:before="160" w:after="40"/>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secretaire_dashboard_full.png"/>
                    <pic:cNvPicPr/>
                  </pic:nvPicPr>
                  <pic:blipFill>
                    <a:blip r:embed="rId15"/>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5 : Interface — Tableau de bord du secrétaire</w:t>
      </w:r>
    </w:p>
    <w:p>
      <w:pPr>
        <w:keepNext/>
        <w:spacing w:before="240" w:after="100"/>
        <w:jc w:val="left"/>
      </w:pPr>
      <w:r>
        <w:rPr>
          <w:rFonts w:ascii="Times New Roman" w:hAnsi="Times New Roman"/>
          <w:b/>
          <w:i w:val="0"/>
          <w:sz w:val="24"/>
        </w:rPr>
        <w:t>II. Consultation du répertoire des enseignants</w:t>
      </w:r>
    </w:p>
    <w:p>
      <w:pPr>
        <w:keepNext w:val="0"/>
        <w:spacing w:before="0" w:after="120"/>
        <w:jc w:val="both"/>
      </w:pPr>
      <w:r>
        <w:rPr>
          <w:rFonts w:ascii="Times New Roman" w:hAnsi="Times New Roman"/>
          <w:b w:val="0"/>
          <w:i w:val="0"/>
          <w:sz w:val="24"/>
        </w:rPr>
        <w:t>La section Enseignants présente la liste complète des enseignants enregistrés. Pour chaque enseignant, le secrétaire peut consulter ses informations générales ainsi qu'un résumé de ses activités de l'année. Cette consultation est indispensable avant la saisie d'une activité : elle permet de vérifier l'existence de l'enseignant dans le référentiel et de s'assurer que ses informations de grade et de statut sont à jour.</w:t>
      </w:r>
    </w:p>
    <w:p>
      <w:pPr>
        <w:keepNext/>
        <w:spacing w:before="240" w:after="100"/>
        <w:jc w:val="left"/>
      </w:pPr>
      <w:r>
        <w:rPr>
          <w:rFonts w:ascii="Times New Roman" w:hAnsi="Times New Roman"/>
          <w:b/>
          <w:i w:val="0"/>
          <w:sz w:val="24"/>
        </w:rPr>
        <w:t>III. Saisie d'une activité pédagogique</w:t>
      </w:r>
    </w:p>
    <w:p>
      <w:pPr>
        <w:keepNext w:val="0"/>
        <w:spacing w:before="0" w:after="120"/>
        <w:jc w:val="both"/>
      </w:pPr>
      <w:r>
        <w:rPr>
          <w:rFonts w:ascii="Times New Roman" w:hAnsi="Times New Roman"/>
          <w:b w:val="0"/>
          <w:i w:val="0"/>
          <w:sz w:val="24"/>
        </w:rPr>
        <w:t>La saisie d'une activité pédagogique est l'opération la plus fréquente dans l'espace secrétaire. Elle intervient lorsqu'un enseignant signale au secrétariat qu'il a produit ou mis à jour une ressource pédagogique numérique. Le formulaire est accessible depuis Saisie activité dans le menu ou depuis le bouton + Nouvelle activité du tableau de bord.</w:t>
      </w:r>
    </w:p>
    <w:p>
      <w:pPr>
        <w:keepNext/>
        <w:spacing w:before="160" w:after="40"/>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secretaire_saisie_full.png"/>
                    <pic:cNvPicPr/>
                  </pic:nvPicPr>
                  <pic:blipFill>
                    <a:blip r:embed="rId16"/>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6 : Interface — Formulaire de saisie d'une activité (espace secrétaire)</w:t>
      </w:r>
    </w:p>
    <w:p>
      <w:pPr>
        <w:keepNext w:val="0"/>
        <w:spacing w:before="0" w:after="120"/>
        <w:jc w:val="both"/>
      </w:pPr>
      <w:r>
        <w:rPr>
          <w:rFonts w:ascii="Times New Roman" w:hAnsi="Times New Roman"/>
          <w:b w:val="0"/>
          <w:i w:val="0"/>
          <w:sz w:val="24"/>
        </w:rPr>
        <w:t>Le formulaire comprend les champs suivants, tous obligatoires sauf l'année académique :</w:t>
      </w:r>
    </w:p>
    <w:p>
      <w:pPr>
        <w:pStyle w:val="ListBullet"/>
        <w:spacing w:before="0" w:after="40"/>
      </w:pPr>
      <w:r>
        <w:rPr>
          <w:rFonts w:ascii="Times New Roman" w:hAnsi="Times New Roman"/>
          <w:b w:val="0"/>
          <w:i w:val="0"/>
          <w:sz w:val="24"/>
        </w:rPr>
        <w:t>Enseignant : sélectionner l'enseignant concerné dans la liste déroulante.</w:t>
      </w:r>
    </w:p>
    <w:p>
      <w:pPr>
        <w:pStyle w:val="ListBullet"/>
        <w:spacing w:before="0" w:after="40"/>
      </w:pPr>
      <w:r>
        <w:rPr>
          <w:rFonts w:ascii="Times New Roman" w:hAnsi="Times New Roman"/>
          <w:b w:val="0"/>
          <w:i w:val="0"/>
          <w:sz w:val="24"/>
        </w:rPr>
        <w:t>Cours : sélectionner le cours auquel se rattache la ressource produite.</w:t>
      </w:r>
    </w:p>
    <w:p>
      <w:pPr>
        <w:pStyle w:val="ListBullet"/>
        <w:spacing w:before="0" w:after="40"/>
      </w:pPr>
      <w:r>
        <w:rPr>
          <w:rFonts w:ascii="Times New Roman" w:hAnsi="Times New Roman"/>
          <w:b w:val="0"/>
          <w:i w:val="0"/>
          <w:sz w:val="24"/>
        </w:rPr>
        <w:t>Année académique : sélectionner l'année académique concernée (optionnel).</w:t>
      </w:r>
    </w:p>
    <w:p>
      <w:pPr>
        <w:pStyle w:val="ListBullet"/>
        <w:spacing w:before="0" w:after="40"/>
      </w:pPr>
      <w:r>
        <w:rPr>
          <w:rFonts w:ascii="Times New Roman" w:hAnsi="Times New Roman"/>
          <w:b w:val="0"/>
          <w:i w:val="0"/>
          <w:sz w:val="24"/>
        </w:rPr>
        <w:t>Type d'activité : choisir entre Création de ressource et Mise à jour.</w:t>
      </w:r>
    </w:p>
    <w:p>
      <w:pPr>
        <w:pStyle w:val="ListBullet"/>
        <w:spacing w:before="0" w:after="40"/>
      </w:pPr>
      <w:r>
        <w:rPr>
          <w:rFonts w:ascii="Times New Roman" w:hAnsi="Times New Roman"/>
          <w:b w:val="0"/>
          <w:i w:val="0"/>
          <w:sz w:val="24"/>
        </w:rPr>
        <w:t>Niveau de complexité : choisir parmi les trois niveaux du barème UVCI.</w:t>
      </w:r>
    </w:p>
    <w:p>
      <w:pPr>
        <w:pStyle w:val="ListBullet"/>
        <w:spacing w:before="0" w:after="40"/>
      </w:pPr>
      <w:r>
        <w:rPr>
          <w:rFonts w:ascii="Times New Roman" w:hAnsi="Times New Roman"/>
          <w:b w:val="0"/>
          <w:i w:val="0"/>
          <w:sz w:val="24"/>
        </w:rPr>
        <w:t>Nombre de séquences : saisir le nombre de séquences pédagogiques.</w:t>
      </w:r>
    </w:p>
    <w:p>
      <w:pPr>
        <w:keepNext w:val="0"/>
        <w:spacing w:before="0" w:after="120"/>
        <w:jc w:val="both"/>
      </w:pPr>
      <w:r>
        <w:rPr>
          <w:rFonts w:ascii="Times New Roman" w:hAnsi="Times New Roman"/>
          <w:b w:val="0"/>
          <w:i w:val="0"/>
          <w:sz w:val="24"/>
        </w:rPr>
        <w:t>Dès que le type, le niveau et le nombre de séquences sont renseignés, le système affiche en temps réel le volume horaire calculé (Vhtc = Ic × S). Une fois le formulaire complété, le secrétaire clique sur Enregistrer : l'activité est créée avec le statut en attente.</w:t>
      </w:r>
    </w:p>
    <w:p>
      <w:pPr>
        <w:keepNext/>
        <w:spacing w:before="240" w:after="100"/>
        <w:jc w:val="left"/>
      </w:pPr>
      <w:r>
        <w:rPr>
          <w:rFonts w:ascii="Times New Roman" w:hAnsi="Times New Roman"/>
          <w:b/>
          <w:i w:val="0"/>
          <w:sz w:val="24"/>
        </w:rPr>
        <w:t>IV. Validation des activités</w:t>
      </w:r>
    </w:p>
    <w:p>
      <w:pPr>
        <w:keepNext w:val="0"/>
        <w:spacing w:before="0" w:after="120"/>
        <w:jc w:val="both"/>
      </w:pPr>
      <w:r>
        <w:rPr>
          <w:rFonts w:ascii="Times New Roman" w:hAnsi="Times New Roman"/>
          <w:b w:val="0"/>
          <w:i w:val="0"/>
          <w:sz w:val="24"/>
        </w:rPr>
        <w:t>La validation est l'acte par lequel le secrétaire certifie qu'une activité déclarée est conforme à la production réelle de l'enseignant. Une activité non validée n'est pas comptabilisée dans les volumes horaires exportés. Pour chaque activité en attente, deux boutons sont disponibles : Valider (statut validé, activité intégrée dans les calculs) et Rejeter (statut rejeté, activité exclue des calculs mais conservée dans l'historique).</w:t>
      </w:r>
    </w:p>
    <w:p>
      <w:pPr>
        <w:keepNext/>
        <w:spacing w:before="240" w:after="100"/>
        <w:jc w:val="left"/>
      </w:pPr>
      <w:r>
        <w:rPr>
          <w:rFonts w:ascii="Times New Roman" w:hAnsi="Times New Roman"/>
          <w:b/>
          <w:i w:val="0"/>
          <w:sz w:val="24"/>
        </w:rPr>
        <w:t>V. Génération des rapports</w:t>
      </w:r>
    </w:p>
    <w:p>
      <w:pPr>
        <w:keepNext w:val="0"/>
        <w:spacing w:before="0" w:after="120"/>
        <w:jc w:val="both"/>
      </w:pPr>
      <w:r>
        <w:rPr>
          <w:rFonts w:ascii="Times New Roman" w:hAnsi="Times New Roman"/>
          <w:b w:val="0"/>
          <w:i w:val="0"/>
          <w:sz w:val="24"/>
        </w:rPr>
        <w:t>La section Rapports permet au secrétaire de générer les documents nécessaires à la gestion administrative des heures.</w:t>
      </w:r>
    </w:p>
    <w:p>
      <w:pPr>
        <w:keepNext/>
        <w:spacing w:before="160" w:after="40"/>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secretaire_rapports_full.png"/>
                    <pic:cNvPicPr/>
                  </pic:nvPicPr>
                  <pic:blipFill>
                    <a:blip r:embed="rId17"/>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7 : Interface — Section Rapports de l'espace secrétaire</w:t>
      </w:r>
    </w:p>
    <w:p>
      <w:pPr>
        <w:keepNext w:val="0"/>
        <w:spacing w:before="0" w:after="120"/>
        <w:jc w:val="both"/>
      </w:pPr>
      <w:r>
        <w:rPr>
          <w:rFonts w:ascii="Times New Roman" w:hAnsi="Times New Roman"/>
          <w:b w:val="0"/>
          <w:i w:val="0"/>
          <w:sz w:val="24"/>
        </w:rPr>
        <w:t>Le premier export est un fichier Excel récapitulatif généré pour une année académique sélectionnée. Ce fichier liste, pour chaque enseignant ayant des activités validées, le volume horaire total validé, le quota statutaire annuel applicable, le volume complémentaire et le montant dû.</w:t>
      </w:r>
    </w:p>
    <w:p>
      <w:pPr>
        <w:keepNext/>
        <w:spacing w:before="160" w:after="40"/>
        <w:jc w:val="center"/>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resultat_excel.png"/>
                    <pic:cNvPicPr/>
                  </pic:nvPicPr>
                  <pic:blipFill>
                    <a:blip r:embed="rId18"/>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8 : Aperçu du fichier Excel d'état de paiement généré</w:t>
      </w:r>
    </w:p>
    <w:p>
      <w:pPr>
        <w:keepNext w:val="0"/>
        <w:spacing w:before="0" w:after="120"/>
        <w:jc w:val="both"/>
      </w:pPr>
      <w:r>
        <w:rPr>
          <w:rFonts w:ascii="Times New Roman" w:hAnsi="Times New Roman"/>
          <w:b w:val="0"/>
          <w:i w:val="0"/>
          <w:sz w:val="24"/>
        </w:rPr>
        <w:t>Le second export est le récapitulatif PDF individuel par enseignant. Le secrétaire sélectionne un enseignant dans la liste et déclenche la génération du document, qui est téléchargé directement par le navigateur.</w:t>
      </w:r>
    </w:p>
    <w:p>
      <w:pPr>
        <w:pageBreakBefore/>
        <w:spacing w:before="360" w:after="200"/>
        <w:jc w:val="left"/>
      </w:pPr>
      <w:r>
        <w:rPr>
          <w:rFonts w:ascii="Times New Roman" w:hAnsi="Times New Roman"/>
          <w:b/>
          <w:i w:val="0"/>
          <w:sz w:val="26"/>
        </w:rPr>
        <w:t>CHAPITRE V : GUIDE DE L'ENSEIGNANT</w:t>
      </w:r>
    </w:p>
    <w:p>
      <w:pPr>
        <w:keepNext w:val="0"/>
        <w:spacing w:before="0" w:after="120"/>
        <w:jc w:val="both"/>
      </w:pPr>
      <w:r>
        <w:rPr>
          <w:rFonts w:ascii="Times New Roman" w:hAnsi="Times New Roman"/>
          <w:b w:val="0"/>
          <w:i w:val="0"/>
          <w:sz w:val="24"/>
        </w:rPr>
        <w:t>L'espace enseignant offre à chaque membre du corps enseignant une visibilité en temps réel sur ses propres activités et sur l'état d'avancement de ses déclarations. Cet espace est en lecture seule : l'enseignant ne saisit pas ses propres activités — cette opération incombant au secrétariat — mais peut suivre leur traitement et générer son récapitulatif individuel.</w:t>
      </w:r>
    </w:p>
    <w:p>
      <w:pPr>
        <w:keepNext/>
        <w:spacing w:before="240" w:after="100"/>
        <w:jc w:val="left"/>
      </w:pPr>
      <w:r>
        <w:rPr>
          <w:rFonts w:ascii="Times New Roman" w:hAnsi="Times New Roman"/>
          <w:b/>
          <w:i w:val="0"/>
          <w:sz w:val="24"/>
        </w:rPr>
        <w:t>I. Tableau de bord personnalisé</w:t>
      </w:r>
    </w:p>
    <w:p>
      <w:pPr>
        <w:keepNext w:val="0"/>
        <w:spacing w:before="0" w:after="120"/>
        <w:jc w:val="both"/>
      </w:pPr>
      <w:r>
        <w:rPr>
          <w:rFonts w:ascii="Times New Roman" w:hAnsi="Times New Roman"/>
          <w:b w:val="0"/>
          <w:i w:val="0"/>
          <w:sz w:val="24"/>
        </w:rPr>
        <w:t>Le tableau de bord de l'enseignant présente une synthèse de son activité pédagogique pour l'année académique en cours. Trois indicateurs principaux sont affichés : le volume horaire total calculé sur la base de ses activités validées, les heures complémentaires correspondant au volume excédant son quota statutaire annuel, et le nombre d'activités déclarées pour le semestre en cours.</w:t>
      </w:r>
    </w:p>
    <w:p>
      <w:pPr>
        <w:keepNext/>
        <w:spacing w:before="160" w:after="40"/>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enseignant_dashboard_full.png"/>
                    <pic:cNvPicPr/>
                  </pic:nvPicPr>
                  <pic:blipFill>
                    <a:blip r:embed="rId19"/>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9 : Interface — Tableau de bord de l'enseignant</w:t>
      </w:r>
    </w:p>
    <w:p>
      <w:pPr>
        <w:keepNext w:val="0"/>
        <w:spacing w:before="0" w:after="120"/>
        <w:jc w:val="both"/>
      </w:pPr>
      <w:r>
        <w:rPr>
          <w:rFonts w:ascii="Times New Roman" w:hAnsi="Times New Roman"/>
          <w:b w:val="0"/>
          <w:i w:val="0"/>
          <w:sz w:val="24"/>
        </w:rPr>
        <w:t>Sous les indicateurs, le tableau de bord affiche la barre de charge statutaire, qui matérialise visuellement le ratio entre le volume horaire validé et le quota annuel applicable. Un graphique d'évolution mensuelle illustre également la répartition de son activité sur les six derniers mois.</w:t>
      </w:r>
    </w:p>
    <w:p>
      <w:pPr>
        <w:keepNext/>
        <w:spacing w:before="240" w:after="100"/>
        <w:jc w:val="left"/>
      </w:pPr>
      <w:r>
        <w:rPr>
          <w:rFonts w:ascii="Times New Roman" w:hAnsi="Times New Roman"/>
          <w:b/>
          <w:i w:val="0"/>
          <w:sz w:val="24"/>
        </w:rPr>
        <w:t>II. Consultation des activités</w:t>
      </w:r>
    </w:p>
    <w:p>
      <w:pPr>
        <w:keepNext w:val="0"/>
        <w:spacing w:before="0" w:after="120"/>
        <w:jc w:val="both"/>
      </w:pPr>
      <w:r>
        <w:rPr>
          <w:rFonts w:ascii="Times New Roman" w:hAnsi="Times New Roman"/>
          <w:b w:val="0"/>
          <w:i w:val="0"/>
          <w:sz w:val="24"/>
        </w:rPr>
        <w:t>La section Mes activités affiche la liste exhaustive des activités déclarées au nom de l'enseignant. Pour chaque activité, le tableau présente le cours concerné, le type, le niveau de complexité, le nombre de séquences, le volume horaire calculé, le statut de validation et la date de création.</w:t>
      </w:r>
    </w:p>
    <w:p>
      <w:pPr>
        <w:keepNext/>
        <w:spacing w:before="160" w:after="40"/>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enseignant_activites_full.png"/>
                    <pic:cNvPicPr/>
                  </pic:nvPicPr>
                  <pic:blipFill>
                    <a:blip r:embed="rId20"/>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10 : Interface — Liste des activités de l'enseignant</w:t>
      </w:r>
    </w:p>
    <w:p>
      <w:pPr>
        <w:keepNext w:val="0"/>
        <w:spacing w:before="0" w:after="120"/>
        <w:jc w:val="both"/>
      </w:pPr>
      <w:r>
        <w:rPr>
          <w:rFonts w:ascii="Times New Roman" w:hAnsi="Times New Roman"/>
          <w:b w:val="0"/>
          <w:i w:val="0"/>
          <w:sz w:val="24"/>
        </w:rPr>
        <w:t>Le statut de validation revêt une importance particulière : en attente (enregistrée, non traitée), validée (définitivement prise en compte), rejetée (écartée par l'administration). L'enseignant ne peut en aucun cas modifier lui-même les déclarations : tout correctif passe par le secrétariat.</w:t>
      </w:r>
    </w:p>
    <w:p>
      <w:pPr>
        <w:keepNext/>
        <w:spacing w:before="240" w:after="100"/>
        <w:jc w:val="left"/>
      </w:pPr>
      <w:r>
        <w:rPr>
          <w:rFonts w:ascii="Times New Roman" w:hAnsi="Times New Roman"/>
          <w:b/>
          <w:i w:val="0"/>
          <w:sz w:val="24"/>
        </w:rPr>
        <w:t>III. Génération du récapitulatif individuel</w:t>
      </w:r>
    </w:p>
    <w:p>
      <w:pPr>
        <w:keepNext w:val="0"/>
        <w:spacing w:before="0" w:after="120"/>
        <w:jc w:val="both"/>
      </w:pPr>
      <w:r>
        <w:rPr>
          <w:rFonts w:ascii="Times New Roman" w:hAnsi="Times New Roman"/>
          <w:b w:val="0"/>
          <w:i w:val="0"/>
          <w:sz w:val="24"/>
        </w:rPr>
        <w:t>La section Récapitulatif permet à l'enseignant de générer et de télécharger son récapitulatif individuel sous forme de fichier PDF pour une année académique donnée.</w:t>
      </w:r>
    </w:p>
    <w:p>
      <w:pPr>
        <w:keepNext/>
        <w:spacing w:before="160" w:after="40"/>
        <w:jc w:val="center"/>
      </w:pPr>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enseignant_recap_full.png"/>
                    <pic:cNvPicPr/>
                  </pic:nvPicPr>
                  <pic:blipFill>
                    <a:blip r:embed="rId21"/>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11 : Interface — Génération du récapitulatif individuel</w:t>
      </w:r>
    </w:p>
    <w:p>
      <w:pPr>
        <w:keepNext w:val="0"/>
        <w:spacing w:before="0" w:after="120"/>
        <w:jc w:val="both"/>
      </w:pPr>
      <w:r>
        <w:rPr>
          <w:rFonts w:ascii="Times New Roman" w:hAnsi="Times New Roman"/>
          <w:b w:val="0"/>
          <w:i w:val="0"/>
          <w:sz w:val="24"/>
        </w:rPr>
        <w:t>Pour générer le récapitulatif, l'enseignant sélectionne l'année académique souhaitée dans le menu déroulant, puis clique sur le bouton Télécharger le récapitulatif PDF. Le fichier est généré par le serveur et téléchargé directement via le navigateur, sans installation de logiciel tiers.</w:t>
      </w:r>
    </w:p>
    <w:p>
      <w:pPr>
        <w:keepNext/>
        <w:spacing w:before="160" w:after="40"/>
        <w:jc w:val="center"/>
      </w:pPr>
      <w:r>
        <w:drawing>
          <wp:inline xmlns:a="http://schemas.openxmlformats.org/drawingml/2006/main" xmlns:pic="http://schemas.openxmlformats.org/drawingml/2006/picture">
            <wp:extent cx="5040000" cy="2835000"/>
            <wp:docPr id="14" name="Picture 14"/>
            <wp:cNvGraphicFramePr>
              <a:graphicFrameLocks noChangeAspect="1"/>
            </wp:cNvGraphicFramePr>
            <a:graphic>
              <a:graphicData uri="http://schemas.openxmlformats.org/drawingml/2006/picture">
                <pic:pic>
                  <pic:nvPicPr>
                    <pic:cNvPr id="0" name="resultat_pdf.png"/>
                    <pic:cNvPicPr/>
                  </pic:nvPicPr>
                  <pic:blipFill>
                    <a:blip r:embed="rId22"/>
                    <a:stretch>
                      <a:fillRect/>
                    </a:stretch>
                  </pic:blipFill>
                  <pic:spPr>
                    <a:xfrm>
                      <a:off x="0" y="0"/>
                      <a:ext cx="5040000" cy="2835000"/>
                    </a:xfrm>
                    <a:prstGeom prst="rect"/>
                  </pic:spPr>
                </pic:pic>
              </a:graphicData>
            </a:graphic>
          </wp:inline>
        </w:drawing>
      </w:r>
    </w:p>
    <w:p>
      <w:pPr>
        <w:spacing w:before="80" w:after="200"/>
        <w:jc w:val="center"/>
      </w:pPr>
      <w:r>
        <w:rPr>
          <w:rFonts w:ascii="Times New Roman" w:hAnsi="Times New Roman"/>
          <w:b w:val="0"/>
          <w:i/>
          <w:sz w:val="22"/>
        </w:rPr>
        <w:t>Figure 12 : Aperçu du récapitulatif PDF individuel généré</w:t>
      </w:r>
    </w:p>
    <w:p>
      <w:pPr>
        <w:keepNext w:val="0"/>
        <w:spacing w:before="0" w:after="120"/>
        <w:jc w:val="both"/>
      </w:pPr>
      <w:r>
        <w:rPr>
          <w:rFonts w:ascii="Times New Roman" w:hAnsi="Times New Roman"/>
          <w:b w:val="0"/>
          <w:i w:val="0"/>
          <w:sz w:val="24"/>
        </w:rPr>
        <w:t>Le document PDF comprend les informations personnelles de l'enseignant, l'année académique concernée, le détail de chaque activité validée, le volume horaire total validé, le quota statutaire annuel, le volume complémentaire et le montant estimé des heures complémentaires.</w:t>
      </w:r>
    </w:p>
    <w:p>
      <w:pPr>
        <w:pageBreakBefore/>
        <w:spacing w:before="360" w:after="200"/>
        <w:jc w:val="left"/>
      </w:pPr>
      <w:r>
        <w:rPr>
          <w:rFonts w:ascii="Times New Roman" w:hAnsi="Times New Roman"/>
          <w:b/>
          <w:i w:val="0"/>
          <w:sz w:val="26"/>
        </w:rPr>
        <w:t>CHAPITRE VI : CALCUL DES VOLUMES HORAIRES</w:t>
      </w:r>
    </w:p>
    <w:p>
      <w:pPr>
        <w:keepNext w:val="0"/>
        <w:spacing w:before="0" w:after="120"/>
        <w:jc w:val="both"/>
      </w:pPr>
      <w:r>
        <w:rPr>
          <w:rFonts w:ascii="Times New Roman" w:hAnsi="Times New Roman"/>
          <w:b w:val="0"/>
          <w:i w:val="0"/>
          <w:sz w:val="24"/>
        </w:rPr>
        <w:t>Le présent chapitre décrit de manière détaillée la logique de calcul mise en œuvre par le système. La compréhension de cette logique est indispensable pour interpréter correctement les valeurs affichées dans l'application et pour vérifier la cohérence des résultats produits.</w:t>
      </w:r>
    </w:p>
    <w:p>
      <w:pPr>
        <w:keepNext/>
        <w:spacing w:before="240" w:after="100"/>
        <w:jc w:val="left"/>
      </w:pPr>
      <w:r>
        <w:rPr>
          <w:rFonts w:ascii="Times New Roman" w:hAnsi="Times New Roman"/>
          <w:b/>
          <w:i w:val="0"/>
          <w:sz w:val="24"/>
        </w:rPr>
        <w:t>I. Formule officielle</w:t>
      </w:r>
    </w:p>
    <w:p>
      <w:pPr>
        <w:keepNext w:val="0"/>
        <w:spacing w:before="0" w:after="120"/>
        <w:jc w:val="both"/>
      </w:pPr>
      <w:r>
        <w:rPr>
          <w:rFonts w:ascii="Times New Roman" w:hAnsi="Times New Roman"/>
          <w:b w:val="0"/>
          <w:i w:val="0"/>
          <w:sz w:val="24"/>
        </w:rPr>
        <w:t>Le volume horaire des travaux de conception (Vhtc) est calculé selon la formule officielle de l'UVCI :</w:t>
      </w:r>
    </w:p>
    <w:p>
      <w:pPr>
        <w:spacing w:before="200" w:after="120"/>
        <w:jc w:val="center"/>
      </w:pPr>
      <w:r>
        <w:rPr>
          <w:rFonts w:ascii="Times New Roman" w:hAnsi="Times New Roman"/>
          <w:b w:val="0"/>
          <w:i/>
          <w:sz w:val="28"/>
        </w:rPr>
        <w:t>Vhtc = Ic × S</w:t>
      </w:r>
    </w:p>
    <w:p>
      <w:pPr>
        <w:keepNext w:val="0"/>
        <w:spacing w:before="0" w:after="120"/>
        <w:jc w:val="both"/>
      </w:pPr>
      <w:r>
        <w:rPr>
          <w:rFonts w:ascii="Times New Roman" w:hAnsi="Times New Roman"/>
          <w:b w:val="0"/>
          <w:i w:val="0"/>
          <w:sz w:val="24"/>
        </w:rPr>
        <w:t>Ic désigne l'indice de complexité (coefficient), déterminé selon le niveau de complexité de la ressource (1, 2 ou 3) et le type d'activité (création ou mise à jour). S désigne le nombre de séquences pédagogiques constituant la ressource. Le résultat Vhtc est exprimé en heures.</w:t>
      </w:r>
    </w:p>
    <w:p>
      <w:pPr>
        <w:keepNext/>
        <w:spacing w:before="240" w:after="100"/>
        <w:jc w:val="left"/>
      </w:pPr>
      <w:r>
        <w:rPr>
          <w:rFonts w:ascii="Times New Roman" w:hAnsi="Times New Roman"/>
          <w:b/>
          <w:i w:val="0"/>
          <w:sz w:val="24"/>
        </w:rPr>
        <w:t>II. Barème officiel UVCI</w:t>
      </w:r>
    </w:p>
    <w:p>
      <w:pPr>
        <w:keepNext w:val="0"/>
        <w:spacing w:before="0" w:after="120"/>
        <w:jc w:val="both"/>
      </w:pPr>
      <w:r>
        <w:rPr>
          <w:rFonts w:ascii="Times New Roman" w:hAnsi="Times New Roman"/>
          <w:b w:val="0"/>
          <w:i w:val="0"/>
          <w:sz w:val="24"/>
        </w:rPr>
        <w:t>Le barème officiel de l'UVCI définit six coefficients, correspondant aux combinaisons des trois niveaux de complexité et des deux types d'activité.</w:t>
      </w:r>
    </w:p>
    <w:p>
      <w:pPr>
        <w:keepNext/>
        <w:spacing w:before="160" w:after="60"/>
        <w:jc w:val="center"/>
      </w:pPr>
      <w:r>
        <w:rPr>
          <w:rFonts w:ascii="Times New Roman" w:hAnsi="Times New Roman"/>
          <w:b w:val="0"/>
          <w:i/>
          <w:sz w:val="22"/>
        </w:rPr>
        <w:t>Tableau 3 : Barème officiel UVCI — coefficients par niveau et type d'activité</w:t>
      </w:r>
    </w:p>
    <w:tbl>
      <w:tblPr>
        <w:tblStyle w:val="TableGrid"/>
        <w:tblW w:type="auto" w:w="0"/>
        <w:tblLook w:firstColumn="1" w:firstRow="1" w:lastColumn="0" w:lastRow="0" w:noHBand="0" w:noVBand="1" w:val="04A0"/>
      </w:tblPr>
      <w:tblGrid>
        <w:gridCol w:w="2197"/>
        <w:gridCol w:w="2197"/>
        <w:gridCol w:w="2197"/>
        <w:gridCol w:w="2197"/>
      </w:tblGrid>
      <w:tr>
        <w:tc>
          <w:tcPr>
            <w:tcW w:type="dxa" w:w="1417"/>
            <w:shd w:val="clear" w:color="auto" w:fill="E8E8E8"/>
          </w:tcPr>
          <w:p>
            <w:pPr>
              <w:jc w:val="center"/>
            </w:pPr>
            <w:r>
              <w:rPr>
                <w:rFonts w:ascii="Times New Roman" w:hAnsi="Times New Roman"/>
                <w:b/>
                <w:i w:val="0"/>
                <w:sz w:val="20"/>
              </w:rPr>
              <w:t>Niveau</w:t>
            </w:r>
          </w:p>
        </w:tc>
        <w:tc>
          <w:tcPr>
            <w:tcW w:type="dxa" w:w="3969"/>
            <w:shd w:val="clear" w:color="auto" w:fill="E8E8E8"/>
          </w:tcPr>
          <w:p>
            <w:pPr>
              <w:jc w:val="center"/>
            </w:pPr>
            <w:r>
              <w:rPr>
                <w:rFonts w:ascii="Times New Roman" w:hAnsi="Times New Roman"/>
                <w:b/>
                <w:i w:val="0"/>
                <w:sz w:val="20"/>
              </w:rPr>
              <w:t>Description de la ressource</w:t>
            </w:r>
          </w:p>
        </w:tc>
        <w:tc>
          <w:tcPr>
            <w:tcW w:type="dxa" w:w="1247"/>
            <w:shd w:val="clear" w:color="auto" w:fill="E8E8E8"/>
          </w:tcPr>
          <w:p>
            <w:pPr>
              <w:jc w:val="center"/>
            </w:pPr>
            <w:r>
              <w:rPr>
                <w:rFonts w:ascii="Times New Roman" w:hAnsi="Times New Roman"/>
                <w:b/>
                <w:i w:val="0"/>
                <w:sz w:val="20"/>
              </w:rPr>
              <w:t>Création (Ic)</w:t>
            </w:r>
          </w:p>
        </w:tc>
        <w:tc>
          <w:tcPr>
            <w:tcW w:type="dxa" w:w="1247"/>
            <w:shd w:val="clear" w:color="auto" w:fill="E8E8E8"/>
          </w:tcPr>
          <w:p>
            <w:pPr>
              <w:jc w:val="center"/>
            </w:pPr>
            <w:r>
              <w:rPr>
                <w:rFonts w:ascii="Times New Roman" w:hAnsi="Times New Roman"/>
                <w:b/>
                <w:i w:val="0"/>
                <w:sz w:val="20"/>
              </w:rPr>
              <w:t>Mise à jour (Ic)</w:t>
            </w:r>
          </w:p>
        </w:tc>
      </w:tr>
      <w:tr>
        <w:tc>
          <w:tcPr>
            <w:tcW w:type="dxa" w:w="1417"/>
          </w:tcPr>
          <w:p>
            <w:pPr>
              <w:jc w:val="left"/>
            </w:pPr>
            <w:r>
              <w:rPr>
                <w:rFonts w:ascii="Times New Roman" w:hAnsi="Times New Roman"/>
                <w:b w:val="0"/>
                <w:i w:val="0"/>
                <w:sz w:val="20"/>
              </w:rPr>
              <w:t>Niveau 1</w:t>
            </w:r>
          </w:p>
        </w:tc>
        <w:tc>
          <w:tcPr>
            <w:tcW w:type="dxa" w:w="3969"/>
          </w:tcPr>
          <w:p>
            <w:pPr>
              <w:jc w:val="left"/>
            </w:pPr>
            <w:r>
              <w:rPr>
                <w:rFonts w:ascii="Times New Roman" w:hAnsi="Times New Roman"/>
                <w:b w:val="0"/>
                <w:i w:val="0"/>
                <w:sz w:val="20"/>
              </w:rPr>
              <w:t>Contenus simples : textes, images, quiz de base. Peu ou pas d'interactivité.</w:t>
            </w:r>
          </w:p>
        </w:tc>
        <w:tc>
          <w:tcPr>
            <w:tcW w:type="dxa" w:w="1247"/>
          </w:tcPr>
          <w:p>
            <w:pPr>
              <w:jc w:val="left"/>
            </w:pPr>
            <w:r>
              <w:rPr>
                <w:rFonts w:ascii="Times New Roman" w:hAnsi="Times New Roman"/>
                <w:b w:val="0"/>
                <w:i w:val="0"/>
                <w:sz w:val="20"/>
              </w:rPr>
              <w:t>0,40 h/séq.</w:t>
            </w:r>
          </w:p>
        </w:tc>
        <w:tc>
          <w:tcPr>
            <w:tcW w:type="dxa" w:w="1247"/>
          </w:tcPr>
          <w:p>
            <w:pPr>
              <w:jc w:val="left"/>
            </w:pPr>
            <w:r>
              <w:rPr>
                <w:rFonts w:ascii="Times New Roman" w:hAnsi="Times New Roman"/>
                <w:b w:val="0"/>
                <w:i w:val="0"/>
                <w:sz w:val="20"/>
              </w:rPr>
              <w:t>0,20 h/séq.</w:t>
            </w:r>
          </w:p>
        </w:tc>
      </w:tr>
      <w:tr>
        <w:tc>
          <w:tcPr>
            <w:tcW w:type="dxa" w:w="1417"/>
          </w:tcPr>
          <w:p>
            <w:pPr>
              <w:jc w:val="left"/>
            </w:pPr>
            <w:r>
              <w:rPr>
                <w:rFonts w:ascii="Times New Roman" w:hAnsi="Times New Roman"/>
                <w:b w:val="0"/>
                <w:i w:val="0"/>
                <w:sz w:val="20"/>
              </w:rPr>
              <w:t>Niveau 2</w:t>
            </w:r>
          </w:p>
        </w:tc>
        <w:tc>
          <w:tcPr>
            <w:tcW w:type="dxa" w:w="3969"/>
          </w:tcPr>
          <w:p>
            <w:pPr>
              <w:jc w:val="left"/>
            </w:pPr>
            <w:r>
              <w:rPr>
                <w:rFonts w:ascii="Times New Roman" w:hAnsi="Times New Roman"/>
                <w:b w:val="0"/>
                <w:i w:val="0"/>
                <w:sz w:val="20"/>
              </w:rPr>
              <w:t>Contenus enrichis avec au moins 25 % d'activités interactives : exercices auto-correctifs, vidéos interactives.</w:t>
            </w:r>
          </w:p>
        </w:tc>
        <w:tc>
          <w:tcPr>
            <w:tcW w:type="dxa" w:w="1247"/>
          </w:tcPr>
          <w:p>
            <w:pPr>
              <w:jc w:val="left"/>
            </w:pPr>
            <w:r>
              <w:rPr>
                <w:rFonts w:ascii="Times New Roman" w:hAnsi="Times New Roman"/>
                <w:b w:val="0"/>
                <w:i w:val="0"/>
                <w:sz w:val="20"/>
              </w:rPr>
              <w:t>0,75 h/séq.</w:t>
            </w:r>
          </w:p>
        </w:tc>
        <w:tc>
          <w:tcPr>
            <w:tcW w:type="dxa" w:w="1247"/>
          </w:tcPr>
          <w:p>
            <w:pPr>
              <w:jc w:val="left"/>
            </w:pPr>
            <w:r>
              <w:rPr>
                <w:rFonts w:ascii="Times New Roman" w:hAnsi="Times New Roman"/>
                <w:b w:val="0"/>
                <w:i w:val="0"/>
                <w:sz w:val="20"/>
              </w:rPr>
              <w:t>0,375 h/séq.</w:t>
            </w:r>
          </w:p>
        </w:tc>
      </w:tr>
      <w:tr>
        <w:tc>
          <w:tcPr>
            <w:tcW w:type="dxa" w:w="1417"/>
          </w:tcPr>
          <w:p>
            <w:pPr>
              <w:jc w:val="left"/>
            </w:pPr>
            <w:r>
              <w:rPr>
                <w:rFonts w:ascii="Times New Roman" w:hAnsi="Times New Roman"/>
                <w:b w:val="0"/>
                <w:i w:val="0"/>
                <w:sz w:val="20"/>
              </w:rPr>
              <w:t>Niveau 3</w:t>
            </w:r>
          </w:p>
        </w:tc>
        <w:tc>
          <w:tcPr>
            <w:tcW w:type="dxa" w:w="3969"/>
          </w:tcPr>
          <w:p>
            <w:pPr>
              <w:jc w:val="left"/>
            </w:pPr>
            <w:r>
              <w:rPr>
                <w:rFonts w:ascii="Times New Roman" w:hAnsi="Times New Roman"/>
                <w:b w:val="0"/>
                <w:i w:val="0"/>
                <w:sz w:val="20"/>
              </w:rPr>
              <w:t>Contenus de haute complexité : serious games, simulations, environnements immersifs.</w:t>
            </w:r>
          </w:p>
        </w:tc>
        <w:tc>
          <w:tcPr>
            <w:tcW w:type="dxa" w:w="1247"/>
          </w:tcPr>
          <w:p>
            <w:pPr>
              <w:jc w:val="left"/>
            </w:pPr>
            <w:r>
              <w:rPr>
                <w:rFonts w:ascii="Times New Roman" w:hAnsi="Times New Roman"/>
                <w:b w:val="0"/>
                <w:i w:val="0"/>
                <w:sz w:val="20"/>
              </w:rPr>
              <w:t>1,50 h/séq.</w:t>
            </w:r>
          </w:p>
        </w:tc>
        <w:tc>
          <w:tcPr>
            <w:tcW w:type="dxa" w:w="1247"/>
          </w:tcPr>
          <w:p>
            <w:pPr>
              <w:jc w:val="left"/>
            </w:pPr>
            <w:r>
              <w:rPr>
                <w:rFonts w:ascii="Times New Roman" w:hAnsi="Times New Roman"/>
                <w:b w:val="0"/>
                <w:i w:val="0"/>
                <w:sz w:val="20"/>
              </w:rPr>
              <w:t>0,75 h/séq.</w:t>
            </w:r>
          </w:p>
        </w:tc>
      </w:tr>
    </w:tbl>
    <w:p>
      <w:pPr>
        <w:keepNext w:val="0"/>
        <w:spacing w:before="0" w:after="120"/>
        <w:jc w:val="both"/>
      </w:pPr>
      <w:r>
        <w:rPr>
          <w:rFonts w:ascii="Times New Roman" w:hAnsi="Times New Roman"/>
          <w:b w:val="0"/>
          <w:i w:val="0"/>
          <w:sz w:val="24"/>
        </w:rPr>
        <w:t>Le coefficient de mise à jour est systématiquement égal à la moitié du coefficient de création pour le niveau correspondant. Ces valeurs sont configurables par l'administrateur depuis la section Paramètres.</w:t>
      </w:r>
    </w:p>
    <w:p>
      <w:pPr>
        <w:keepNext/>
        <w:spacing w:before="240" w:after="100"/>
        <w:jc w:val="left"/>
      </w:pPr>
      <w:r>
        <w:rPr>
          <w:rFonts w:ascii="Times New Roman" w:hAnsi="Times New Roman"/>
          <w:b/>
          <w:i w:val="0"/>
          <w:sz w:val="24"/>
        </w:rPr>
        <w:t>III. Exemples de calcul</w:t>
      </w:r>
    </w:p>
    <w:p>
      <w:pPr>
        <w:keepNext/>
        <w:spacing w:before="160" w:after="60"/>
        <w:jc w:val="center"/>
      </w:pPr>
      <w:r>
        <w:rPr>
          <w:rFonts w:ascii="Times New Roman" w:hAnsi="Times New Roman"/>
          <w:b w:val="0"/>
          <w:i/>
          <w:sz w:val="22"/>
        </w:rPr>
        <w:t>Tableau 4 : Exemples de calcul du volume horaire</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01"/>
            <w:shd w:val="clear" w:color="auto" w:fill="E8E8E8"/>
          </w:tcPr>
          <w:p>
            <w:pPr>
              <w:jc w:val="center"/>
            </w:pPr>
            <w:r>
              <w:rPr>
                <w:rFonts w:ascii="Times New Roman" w:hAnsi="Times New Roman"/>
                <w:b/>
                <w:i w:val="0"/>
                <w:sz w:val="20"/>
              </w:rPr>
              <w:t>Type</w:t>
            </w:r>
          </w:p>
        </w:tc>
        <w:tc>
          <w:tcPr>
            <w:tcW w:type="dxa" w:w="1134"/>
            <w:shd w:val="clear" w:color="auto" w:fill="E8E8E8"/>
          </w:tcPr>
          <w:p>
            <w:pPr>
              <w:jc w:val="center"/>
            </w:pPr>
            <w:r>
              <w:rPr>
                <w:rFonts w:ascii="Times New Roman" w:hAnsi="Times New Roman"/>
                <w:b/>
                <w:i w:val="0"/>
                <w:sz w:val="20"/>
              </w:rPr>
              <w:t>Niveau</w:t>
            </w:r>
          </w:p>
        </w:tc>
        <w:tc>
          <w:tcPr>
            <w:tcW w:type="dxa" w:w="1701"/>
            <w:shd w:val="clear" w:color="auto" w:fill="E8E8E8"/>
          </w:tcPr>
          <w:p>
            <w:pPr>
              <w:jc w:val="center"/>
            </w:pPr>
            <w:r>
              <w:rPr>
                <w:rFonts w:ascii="Times New Roman" w:hAnsi="Times New Roman"/>
                <w:b/>
                <w:i w:val="0"/>
                <w:sz w:val="20"/>
              </w:rPr>
              <w:t>Séquences (S)</w:t>
            </w:r>
          </w:p>
        </w:tc>
        <w:tc>
          <w:tcPr>
            <w:tcW w:type="dxa" w:w="1701"/>
            <w:shd w:val="clear" w:color="auto" w:fill="E8E8E8"/>
          </w:tcPr>
          <w:p>
            <w:pPr>
              <w:jc w:val="center"/>
            </w:pPr>
            <w:r>
              <w:rPr>
                <w:rFonts w:ascii="Times New Roman" w:hAnsi="Times New Roman"/>
                <w:b/>
                <w:i w:val="0"/>
                <w:sz w:val="20"/>
              </w:rPr>
              <w:t>Coefficient (Ic)</w:t>
            </w:r>
          </w:p>
        </w:tc>
        <w:tc>
          <w:tcPr>
            <w:tcW w:type="dxa" w:w="1644"/>
            <w:shd w:val="clear" w:color="auto" w:fill="E8E8E8"/>
          </w:tcPr>
          <w:p>
            <w:pPr>
              <w:jc w:val="center"/>
            </w:pPr>
            <w:r>
              <w:rPr>
                <w:rFonts w:ascii="Times New Roman" w:hAnsi="Times New Roman"/>
                <w:b/>
                <w:i w:val="0"/>
                <w:sz w:val="20"/>
              </w:rPr>
              <w:t>Volume (Vhtc)</w:t>
            </w:r>
          </w:p>
        </w:tc>
      </w:tr>
      <w:tr>
        <w:tc>
          <w:tcPr>
            <w:tcW w:type="dxa" w:w="1701"/>
          </w:tcPr>
          <w:p>
            <w:pPr>
              <w:jc w:val="left"/>
            </w:pPr>
            <w:r>
              <w:rPr>
                <w:rFonts w:ascii="Times New Roman" w:hAnsi="Times New Roman"/>
                <w:b w:val="0"/>
                <w:i w:val="0"/>
                <w:sz w:val="20"/>
              </w:rPr>
              <w:t>Création</w:t>
            </w:r>
          </w:p>
        </w:tc>
        <w:tc>
          <w:tcPr>
            <w:tcW w:type="dxa" w:w="1134"/>
          </w:tcPr>
          <w:p>
            <w:pPr>
              <w:jc w:val="left"/>
            </w:pPr>
            <w:r>
              <w:rPr>
                <w:rFonts w:ascii="Times New Roman" w:hAnsi="Times New Roman"/>
                <w:b w:val="0"/>
                <w:i w:val="0"/>
                <w:sz w:val="20"/>
              </w:rPr>
              <w:t>1</w:t>
            </w:r>
          </w:p>
        </w:tc>
        <w:tc>
          <w:tcPr>
            <w:tcW w:type="dxa" w:w="1701"/>
          </w:tcPr>
          <w:p>
            <w:pPr>
              <w:jc w:val="left"/>
            </w:pPr>
            <w:r>
              <w:rPr>
                <w:rFonts w:ascii="Times New Roman" w:hAnsi="Times New Roman"/>
                <w:b w:val="0"/>
                <w:i w:val="0"/>
                <w:sz w:val="20"/>
              </w:rPr>
              <w:t>10</w:t>
            </w:r>
          </w:p>
        </w:tc>
        <w:tc>
          <w:tcPr>
            <w:tcW w:type="dxa" w:w="1701"/>
          </w:tcPr>
          <w:p>
            <w:pPr>
              <w:jc w:val="left"/>
            </w:pPr>
            <w:r>
              <w:rPr>
                <w:rFonts w:ascii="Times New Roman" w:hAnsi="Times New Roman"/>
                <w:b w:val="0"/>
                <w:i w:val="0"/>
                <w:sz w:val="20"/>
              </w:rPr>
              <w:t>0,40</w:t>
            </w:r>
          </w:p>
        </w:tc>
        <w:tc>
          <w:tcPr>
            <w:tcW w:type="dxa" w:w="1644"/>
          </w:tcPr>
          <w:p>
            <w:pPr>
              <w:jc w:val="left"/>
            </w:pPr>
            <w:r>
              <w:rPr>
                <w:rFonts w:ascii="Times New Roman" w:hAnsi="Times New Roman"/>
                <w:b w:val="0"/>
                <w:i w:val="0"/>
                <w:sz w:val="20"/>
              </w:rPr>
              <w:t>4,00 h</w:t>
            </w:r>
          </w:p>
        </w:tc>
      </w:tr>
      <w:tr>
        <w:tc>
          <w:tcPr>
            <w:tcW w:type="dxa" w:w="1701"/>
          </w:tcPr>
          <w:p>
            <w:pPr>
              <w:jc w:val="left"/>
            </w:pPr>
            <w:r>
              <w:rPr>
                <w:rFonts w:ascii="Times New Roman" w:hAnsi="Times New Roman"/>
                <w:b w:val="0"/>
                <w:i w:val="0"/>
                <w:sz w:val="20"/>
              </w:rPr>
              <w:t>Création</w:t>
            </w:r>
          </w:p>
        </w:tc>
        <w:tc>
          <w:tcPr>
            <w:tcW w:type="dxa" w:w="1134"/>
          </w:tcPr>
          <w:p>
            <w:pPr>
              <w:jc w:val="left"/>
            </w:pPr>
            <w:r>
              <w:rPr>
                <w:rFonts w:ascii="Times New Roman" w:hAnsi="Times New Roman"/>
                <w:b w:val="0"/>
                <w:i w:val="0"/>
                <w:sz w:val="20"/>
              </w:rPr>
              <w:t>2</w:t>
            </w:r>
          </w:p>
        </w:tc>
        <w:tc>
          <w:tcPr>
            <w:tcW w:type="dxa" w:w="1701"/>
          </w:tcPr>
          <w:p>
            <w:pPr>
              <w:jc w:val="left"/>
            </w:pPr>
            <w:r>
              <w:rPr>
                <w:rFonts w:ascii="Times New Roman" w:hAnsi="Times New Roman"/>
                <w:b w:val="0"/>
                <w:i w:val="0"/>
                <w:sz w:val="20"/>
              </w:rPr>
              <w:t>8</w:t>
            </w:r>
          </w:p>
        </w:tc>
        <w:tc>
          <w:tcPr>
            <w:tcW w:type="dxa" w:w="1701"/>
          </w:tcPr>
          <w:p>
            <w:pPr>
              <w:jc w:val="left"/>
            </w:pPr>
            <w:r>
              <w:rPr>
                <w:rFonts w:ascii="Times New Roman" w:hAnsi="Times New Roman"/>
                <w:b w:val="0"/>
                <w:i w:val="0"/>
                <w:sz w:val="20"/>
              </w:rPr>
              <w:t>0,75</w:t>
            </w:r>
          </w:p>
        </w:tc>
        <w:tc>
          <w:tcPr>
            <w:tcW w:type="dxa" w:w="1644"/>
          </w:tcPr>
          <w:p>
            <w:pPr>
              <w:jc w:val="left"/>
            </w:pPr>
            <w:r>
              <w:rPr>
                <w:rFonts w:ascii="Times New Roman" w:hAnsi="Times New Roman"/>
                <w:b w:val="0"/>
                <w:i w:val="0"/>
                <w:sz w:val="20"/>
              </w:rPr>
              <w:t>6,00 h</w:t>
            </w:r>
          </w:p>
        </w:tc>
      </w:tr>
      <w:tr>
        <w:tc>
          <w:tcPr>
            <w:tcW w:type="dxa" w:w="1701"/>
          </w:tcPr>
          <w:p>
            <w:pPr>
              <w:jc w:val="left"/>
            </w:pPr>
            <w:r>
              <w:rPr>
                <w:rFonts w:ascii="Times New Roman" w:hAnsi="Times New Roman"/>
                <w:b w:val="0"/>
                <w:i w:val="0"/>
                <w:sz w:val="20"/>
              </w:rPr>
              <w:t>Création</w:t>
            </w:r>
          </w:p>
        </w:tc>
        <w:tc>
          <w:tcPr>
            <w:tcW w:type="dxa" w:w="1134"/>
          </w:tcPr>
          <w:p>
            <w:pPr>
              <w:jc w:val="left"/>
            </w:pPr>
            <w:r>
              <w:rPr>
                <w:rFonts w:ascii="Times New Roman" w:hAnsi="Times New Roman"/>
                <w:b w:val="0"/>
                <w:i w:val="0"/>
                <w:sz w:val="20"/>
              </w:rPr>
              <w:t>3</w:t>
            </w:r>
          </w:p>
        </w:tc>
        <w:tc>
          <w:tcPr>
            <w:tcW w:type="dxa" w:w="1701"/>
          </w:tcPr>
          <w:p>
            <w:pPr>
              <w:jc w:val="left"/>
            </w:pPr>
            <w:r>
              <w:rPr>
                <w:rFonts w:ascii="Times New Roman" w:hAnsi="Times New Roman"/>
                <w:b w:val="0"/>
                <w:i w:val="0"/>
                <w:sz w:val="20"/>
              </w:rPr>
              <w:t>5</w:t>
            </w:r>
          </w:p>
        </w:tc>
        <w:tc>
          <w:tcPr>
            <w:tcW w:type="dxa" w:w="1701"/>
          </w:tcPr>
          <w:p>
            <w:pPr>
              <w:jc w:val="left"/>
            </w:pPr>
            <w:r>
              <w:rPr>
                <w:rFonts w:ascii="Times New Roman" w:hAnsi="Times New Roman"/>
                <w:b w:val="0"/>
                <w:i w:val="0"/>
                <w:sz w:val="20"/>
              </w:rPr>
              <w:t>1,50</w:t>
            </w:r>
          </w:p>
        </w:tc>
        <w:tc>
          <w:tcPr>
            <w:tcW w:type="dxa" w:w="1644"/>
          </w:tcPr>
          <w:p>
            <w:pPr>
              <w:jc w:val="left"/>
            </w:pPr>
            <w:r>
              <w:rPr>
                <w:rFonts w:ascii="Times New Roman" w:hAnsi="Times New Roman"/>
                <w:b w:val="0"/>
                <w:i w:val="0"/>
                <w:sz w:val="20"/>
              </w:rPr>
              <w:t>7,50 h</w:t>
            </w:r>
          </w:p>
        </w:tc>
      </w:tr>
      <w:tr>
        <w:tc>
          <w:tcPr>
            <w:tcW w:type="dxa" w:w="1701"/>
          </w:tcPr>
          <w:p>
            <w:pPr>
              <w:jc w:val="left"/>
            </w:pPr>
            <w:r>
              <w:rPr>
                <w:rFonts w:ascii="Times New Roman" w:hAnsi="Times New Roman"/>
                <w:b w:val="0"/>
                <w:i w:val="0"/>
                <w:sz w:val="20"/>
              </w:rPr>
              <w:t>Mise à jour</w:t>
            </w:r>
          </w:p>
        </w:tc>
        <w:tc>
          <w:tcPr>
            <w:tcW w:type="dxa" w:w="1134"/>
          </w:tcPr>
          <w:p>
            <w:pPr>
              <w:jc w:val="left"/>
            </w:pPr>
            <w:r>
              <w:rPr>
                <w:rFonts w:ascii="Times New Roman" w:hAnsi="Times New Roman"/>
                <w:b w:val="0"/>
                <w:i w:val="0"/>
                <w:sz w:val="20"/>
              </w:rPr>
              <w:t>1</w:t>
            </w:r>
          </w:p>
        </w:tc>
        <w:tc>
          <w:tcPr>
            <w:tcW w:type="dxa" w:w="1701"/>
          </w:tcPr>
          <w:p>
            <w:pPr>
              <w:jc w:val="left"/>
            </w:pPr>
            <w:r>
              <w:rPr>
                <w:rFonts w:ascii="Times New Roman" w:hAnsi="Times New Roman"/>
                <w:b w:val="0"/>
                <w:i w:val="0"/>
                <w:sz w:val="20"/>
              </w:rPr>
              <w:t>12</w:t>
            </w:r>
          </w:p>
        </w:tc>
        <w:tc>
          <w:tcPr>
            <w:tcW w:type="dxa" w:w="1701"/>
          </w:tcPr>
          <w:p>
            <w:pPr>
              <w:jc w:val="left"/>
            </w:pPr>
            <w:r>
              <w:rPr>
                <w:rFonts w:ascii="Times New Roman" w:hAnsi="Times New Roman"/>
                <w:b w:val="0"/>
                <w:i w:val="0"/>
                <w:sz w:val="20"/>
              </w:rPr>
              <w:t>0,20</w:t>
            </w:r>
          </w:p>
        </w:tc>
        <w:tc>
          <w:tcPr>
            <w:tcW w:type="dxa" w:w="1644"/>
          </w:tcPr>
          <w:p>
            <w:pPr>
              <w:jc w:val="left"/>
            </w:pPr>
            <w:r>
              <w:rPr>
                <w:rFonts w:ascii="Times New Roman" w:hAnsi="Times New Roman"/>
                <w:b w:val="0"/>
                <w:i w:val="0"/>
                <w:sz w:val="20"/>
              </w:rPr>
              <w:t>2,40 h</w:t>
            </w:r>
          </w:p>
        </w:tc>
      </w:tr>
      <w:tr>
        <w:tc>
          <w:tcPr>
            <w:tcW w:type="dxa" w:w="1701"/>
          </w:tcPr>
          <w:p>
            <w:pPr>
              <w:jc w:val="left"/>
            </w:pPr>
            <w:r>
              <w:rPr>
                <w:rFonts w:ascii="Times New Roman" w:hAnsi="Times New Roman"/>
                <w:b w:val="0"/>
                <w:i w:val="0"/>
                <w:sz w:val="20"/>
              </w:rPr>
              <w:t>Mise à jour</w:t>
            </w:r>
          </w:p>
        </w:tc>
        <w:tc>
          <w:tcPr>
            <w:tcW w:type="dxa" w:w="1134"/>
          </w:tcPr>
          <w:p>
            <w:pPr>
              <w:jc w:val="left"/>
            </w:pPr>
            <w:r>
              <w:rPr>
                <w:rFonts w:ascii="Times New Roman" w:hAnsi="Times New Roman"/>
                <w:b w:val="0"/>
                <w:i w:val="0"/>
                <w:sz w:val="20"/>
              </w:rPr>
              <w:t>2</w:t>
            </w:r>
          </w:p>
        </w:tc>
        <w:tc>
          <w:tcPr>
            <w:tcW w:type="dxa" w:w="1701"/>
          </w:tcPr>
          <w:p>
            <w:pPr>
              <w:jc w:val="left"/>
            </w:pPr>
            <w:r>
              <w:rPr>
                <w:rFonts w:ascii="Times New Roman" w:hAnsi="Times New Roman"/>
                <w:b w:val="0"/>
                <w:i w:val="0"/>
                <w:sz w:val="20"/>
              </w:rPr>
              <w:t>6</w:t>
            </w:r>
          </w:p>
        </w:tc>
        <w:tc>
          <w:tcPr>
            <w:tcW w:type="dxa" w:w="1701"/>
          </w:tcPr>
          <w:p>
            <w:pPr>
              <w:jc w:val="left"/>
            </w:pPr>
            <w:r>
              <w:rPr>
                <w:rFonts w:ascii="Times New Roman" w:hAnsi="Times New Roman"/>
                <w:b w:val="0"/>
                <w:i w:val="0"/>
                <w:sz w:val="20"/>
              </w:rPr>
              <w:t>0,375</w:t>
            </w:r>
          </w:p>
        </w:tc>
        <w:tc>
          <w:tcPr>
            <w:tcW w:type="dxa" w:w="1644"/>
          </w:tcPr>
          <w:p>
            <w:pPr>
              <w:jc w:val="left"/>
            </w:pPr>
            <w:r>
              <w:rPr>
                <w:rFonts w:ascii="Times New Roman" w:hAnsi="Times New Roman"/>
                <w:b w:val="0"/>
                <w:i w:val="0"/>
                <w:sz w:val="20"/>
              </w:rPr>
              <w:t>2,25 h</w:t>
            </w:r>
          </w:p>
        </w:tc>
      </w:tr>
    </w:tbl>
    <w:p>
      <w:pPr>
        <w:keepNext/>
        <w:spacing w:before="240" w:after="100"/>
        <w:jc w:val="left"/>
      </w:pPr>
      <w:r>
        <w:rPr>
          <w:rFonts w:ascii="Times New Roman" w:hAnsi="Times New Roman"/>
          <w:b/>
          <w:i w:val="0"/>
          <w:sz w:val="24"/>
        </w:rPr>
        <w:t>IV. Quotas statutaires et heures complémentaires</w:t>
      </w:r>
    </w:p>
    <w:p>
      <w:pPr>
        <w:keepNext w:val="0"/>
        <w:spacing w:before="0" w:after="120"/>
        <w:jc w:val="both"/>
      </w:pPr>
      <w:r>
        <w:rPr>
          <w:rFonts w:ascii="Times New Roman" w:hAnsi="Times New Roman"/>
          <w:b w:val="0"/>
          <w:i w:val="0"/>
          <w:sz w:val="24"/>
        </w:rPr>
        <w:t>Le quota statutaire représente le volume horaire annuel que chaque enseignant est tenu d'effectuer dans le cadre de ses obligations contractuelles. Il est déterminé par son grade et son statut. Les heures complémentaires correspondent au volume produit au-delà de ce quota, et c'est sur ces heures que porte la rémunération additionnelle.</w:t>
      </w:r>
    </w:p>
    <w:p>
      <w:pPr>
        <w:keepNext/>
        <w:spacing w:before="160" w:after="60"/>
        <w:jc w:val="center"/>
      </w:pPr>
      <w:r>
        <w:rPr>
          <w:rFonts w:ascii="Times New Roman" w:hAnsi="Times New Roman"/>
          <w:b w:val="0"/>
          <w:i/>
          <w:sz w:val="22"/>
        </w:rPr>
        <w:t>Tableau 5 : Quotas statutaires par grade et statut (valeurs par défaut)</w:t>
      </w:r>
    </w:p>
    <w:tbl>
      <w:tblPr>
        <w:tblStyle w:val="TableGrid"/>
        <w:tblW w:type="auto" w:w="0"/>
        <w:tblLook w:firstColumn="1" w:firstRow="1" w:lastColumn="0" w:lastRow="0" w:noHBand="0" w:noVBand="1" w:val="04A0"/>
      </w:tblPr>
      <w:tblGrid>
        <w:gridCol w:w="2929"/>
        <w:gridCol w:w="2929"/>
        <w:gridCol w:w="2929"/>
      </w:tblGrid>
      <w:tr>
        <w:tc>
          <w:tcPr>
            <w:tcW w:type="dxa" w:w="3969"/>
            <w:shd w:val="clear" w:color="auto" w:fill="E8E8E8"/>
          </w:tcPr>
          <w:p>
            <w:pPr>
              <w:jc w:val="center"/>
            </w:pPr>
            <w:r>
              <w:rPr>
                <w:rFonts w:ascii="Times New Roman" w:hAnsi="Times New Roman"/>
                <w:b/>
                <w:i w:val="0"/>
                <w:sz w:val="20"/>
              </w:rPr>
              <w:t>Grade</w:t>
            </w:r>
          </w:p>
        </w:tc>
        <w:tc>
          <w:tcPr>
            <w:tcW w:type="dxa" w:w="1984"/>
            <w:shd w:val="clear" w:color="auto" w:fill="E8E8E8"/>
          </w:tcPr>
          <w:p>
            <w:pPr>
              <w:jc w:val="center"/>
            </w:pPr>
            <w:r>
              <w:rPr>
                <w:rFonts w:ascii="Times New Roman" w:hAnsi="Times New Roman"/>
                <w:b/>
                <w:i w:val="0"/>
                <w:sz w:val="20"/>
              </w:rPr>
              <w:t>Statut Permanent (h/an)</w:t>
            </w:r>
          </w:p>
        </w:tc>
        <w:tc>
          <w:tcPr>
            <w:tcW w:type="dxa" w:w="1928"/>
            <w:shd w:val="clear" w:color="auto" w:fill="E8E8E8"/>
          </w:tcPr>
          <w:p>
            <w:pPr>
              <w:jc w:val="center"/>
            </w:pPr>
            <w:r>
              <w:rPr>
                <w:rFonts w:ascii="Times New Roman" w:hAnsi="Times New Roman"/>
                <w:b/>
                <w:i w:val="0"/>
                <w:sz w:val="20"/>
              </w:rPr>
              <w:t>Statut Vacataire (h/an)</w:t>
            </w:r>
          </w:p>
        </w:tc>
      </w:tr>
      <w:tr>
        <w:tc>
          <w:tcPr>
            <w:tcW w:type="dxa" w:w="3969"/>
          </w:tcPr>
          <w:p>
            <w:pPr>
              <w:jc w:val="left"/>
            </w:pPr>
            <w:r>
              <w:rPr>
                <w:rFonts w:ascii="Times New Roman" w:hAnsi="Times New Roman"/>
                <w:b w:val="0"/>
                <w:i w:val="0"/>
                <w:sz w:val="20"/>
              </w:rPr>
              <w:t>Professeur Titulaire</w:t>
            </w:r>
          </w:p>
        </w:tc>
        <w:tc>
          <w:tcPr>
            <w:tcW w:type="dxa" w:w="1984"/>
          </w:tcPr>
          <w:p>
            <w:pPr>
              <w:jc w:val="left"/>
            </w:pPr>
            <w:r>
              <w:rPr>
                <w:rFonts w:ascii="Times New Roman" w:hAnsi="Times New Roman"/>
                <w:b w:val="0"/>
                <w:i w:val="0"/>
                <w:sz w:val="20"/>
              </w:rPr>
              <w:t>200</w:t>
            </w:r>
          </w:p>
        </w:tc>
        <w:tc>
          <w:tcPr>
            <w:tcW w:type="dxa" w:w="1928"/>
          </w:tcPr>
          <w:p>
            <w:pPr>
              <w:jc w:val="left"/>
            </w:pPr>
            <w:r>
              <w:rPr>
                <w:rFonts w:ascii="Times New Roman" w:hAnsi="Times New Roman"/>
                <w:b w:val="0"/>
                <w:i w:val="0"/>
                <w:sz w:val="20"/>
              </w:rPr>
              <w:t>0</w:t>
            </w:r>
          </w:p>
        </w:tc>
      </w:tr>
      <w:tr>
        <w:tc>
          <w:tcPr>
            <w:tcW w:type="dxa" w:w="3969"/>
          </w:tcPr>
          <w:p>
            <w:pPr>
              <w:jc w:val="left"/>
            </w:pPr>
            <w:r>
              <w:rPr>
                <w:rFonts w:ascii="Times New Roman" w:hAnsi="Times New Roman"/>
                <w:b w:val="0"/>
                <w:i w:val="0"/>
                <w:sz w:val="20"/>
              </w:rPr>
              <w:t>Maître de Conférences</w:t>
            </w:r>
          </w:p>
        </w:tc>
        <w:tc>
          <w:tcPr>
            <w:tcW w:type="dxa" w:w="1984"/>
          </w:tcPr>
          <w:p>
            <w:pPr>
              <w:jc w:val="left"/>
            </w:pPr>
            <w:r>
              <w:rPr>
                <w:rFonts w:ascii="Times New Roman" w:hAnsi="Times New Roman"/>
                <w:b w:val="0"/>
                <w:i w:val="0"/>
                <w:sz w:val="20"/>
              </w:rPr>
              <w:t>200</w:t>
            </w:r>
          </w:p>
        </w:tc>
        <w:tc>
          <w:tcPr>
            <w:tcW w:type="dxa" w:w="1928"/>
          </w:tcPr>
          <w:p>
            <w:pPr>
              <w:jc w:val="left"/>
            </w:pPr>
            <w:r>
              <w:rPr>
                <w:rFonts w:ascii="Times New Roman" w:hAnsi="Times New Roman"/>
                <w:b w:val="0"/>
                <w:i w:val="0"/>
                <w:sz w:val="20"/>
              </w:rPr>
              <w:t>0</w:t>
            </w:r>
          </w:p>
        </w:tc>
      </w:tr>
      <w:tr>
        <w:tc>
          <w:tcPr>
            <w:tcW w:type="dxa" w:w="3969"/>
          </w:tcPr>
          <w:p>
            <w:pPr>
              <w:jc w:val="left"/>
            </w:pPr>
            <w:r>
              <w:rPr>
                <w:rFonts w:ascii="Times New Roman" w:hAnsi="Times New Roman"/>
                <w:b w:val="0"/>
                <w:i w:val="0"/>
                <w:sz w:val="20"/>
              </w:rPr>
              <w:t>Maître-Assistant</w:t>
            </w:r>
          </w:p>
        </w:tc>
        <w:tc>
          <w:tcPr>
            <w:tcW w:type="dxa" w:w="1984"/>
          </w:tcPr>
          <w:p>
            <w:pPr>
              <w:jc w:val="left"/>
            </w:pPr>
            <w:r>
              <w:rPr>
                <w:rFonts w:ascii="Times New Roman" w:hAnsi="Times New Roman"/>
                <w:b w:val="0"/>
                <w:i w:val="0"/>
                <w:sz w:val="20"/>
              </w:rPr>
              <w:t>192</w:t>
            </w:r>
          </w:p>
        </w:tc>
        <w:tc>
          <w:tcPr>
            <w:tcW w:type="dxa" w:w="1928"/>
          </w:tcPr>
          <w:p>
            <w:pPr>
              <w:jc w:val="left"/>
            </w:pPr>
            <w:r>
              <w:rPr>
                <w:rFonts w:ascii="Times New Roman" w:hAnsi="Times New Roman"/>
                <w:b w:val="0"/>
                <w:i w:val="0"/>
                <w:sz w:val="20"/>
              </w:rPr>
              <w:t>0</w:t>
            </w:r>
          </w:p>
        </w:tc>
      </w:tr>
      <w:tr>
        <w:tc>
          <w:tcPr>
            <w:tcW w:type="dxa" w:w="3969"/>
          </w:tcPr>
          <w:p>
            <w:pPr>
              <w:jc w:val="left"/>
            </w:pPr>
            <w:r>
              <w:rPr>
                <w:rFonts w:ascii="Times New Roman" w:hAnsi="Times New Roman"/>
                <w:b w:val="0"/>
                <w:i w:val="0"/>
                <w:sz w:val="20"/>
              </w:rPr>
              <w:t>Assistant</w:t>
            </w:r>
          </w:p>
        </w:tc>
        <w:tc>
          <w:tcPr>
            <w:tcW w:type="dxa" w:w="1984"/>
          </w:tcPr>
          <w:p>
            <w:pPr>
              <w:jc w:val="left"/>
            </w:pPr>
            <w:r>
              <w:rPr>
                <w:rFonts w:ascii="Times New Roman" w:hAnsi="Times New Roman"/>
                <w:b w:val="0"/>
                <w:i w:val="0"/>
                <w:sz w:val="20"/>
              </w:rPr>
              <w:t>192</w:t>
            </w:r>
          </w:p>
        </w:tc>
        <w:tc>
          <w:tcPr>
            <w:tcW w:type="dxa" w:w="1928"/>
          </w:tcPr>
          <w:p>
            <w:pPr>
              <w:jc w:val="left"/>
            </w:pPr>
            <w:r>
              <w:rPr>
                <w:rFonts w:ascii="Times New Roman" w:hAnsi="Times New Roman"/>
                <w:b w:val="0"/>
                <w:i w:val="0"/>
                <w:sz w:val="20"/>
              </w:rPr>
              <w:t>0</w:t>
            </w:r>
          </w:p>
        </w:tc>
      </w:tr>
      <w:tr>
        <w:tc>
          <w:tcPr>
            <w:tcW w:type="dxa" w:w="3969"/>
          </w:tcPr>
          <w:p>
            <w:pPr>
              <w:jc w:val="left"/>
            </w:pPr>
            <w:r>
              <w:rPr>
                <w:rFonts w:ascii="Times New Roman" w:hAnsi="Times New Roman"/>
                <w:b w:val="0"/>
                <w:i w:val="0"/>
                <w:sz w:val="20"/>
              </w:rPr>
              <w:t>Vacataire</w:t>
            </w:r>
          </w:p>
        </w:tc>
        <w:tc>
          <w:tcPr>
            <w:tcW w:type="dxa" w:w="1984"/>
          </w:tcPr>
          <w:p>
            <w:pPr>
              <w:jc w:val="left"/>
            </w:pPr>
            <w:r>
              <w:rPr>
                <w:rFonts w:ascii="Times New Roman" w:hAnsi="Times New Roman"/>
                <w:b w:val="0"/>
                <w:i w:val="0"/>
                <w:sz w:val="20"/>
              </w:rPr>
              <w:t>0</w:t>
            </w:r>
          </w:p>
        </w:tc>
        <w:tc>
          <w:tcPr>
            <w:tcW w:type="dxa" w:w="1928"/>
          </w:tcPr>
          <w:p>
            <w:pPr>
              <w:jc w:val="left"/>
            </w:pPr>
            <w:r>
              <w:rPr>
                <w:rFonts w:ascii="Times New Roman" w:hAnsi="Times New Roman"/>
                <w:b w:val="0"/>
                <w:i w:val="0"/>
                <w:sz w:val="20"/>
              </w:rPr>
              <w:t>0</w:t>
            </w:r>
          </w:p>
        </w:tc>
      </w:tr>
    </w:tbl>
    <w:p>
      <w:pPr>
        <w:keepNext w:val="0"/>
        <w:spacing w:before="0" w:after="120"/>
        <w:jc w:val="both"/>
      </w:pPr>
      <w:r>
        <w:rPr>
          <w:rFonts w:ascii="Times New Roman" w:hAnsi="Times New Roman"/>
          <w:b w:val="0"/>
          <w:i w:val="0"/>
          <w:sz w:val="24"/>
        </w:rPr>
        <w:t>Si le volume total validé est inférieur ou égal au quota, les heures complémentaires sont nulles. S'il excède le quota, les heures complémentaires correspondent à la différence. Le montant dû est calculé en multipliant ces heures complémentaires par le taux horaire enregistré dans le profil de l'enseignant.</w:t>
      </w:r>
    </w:p>
    <w:p>
      <w:pPr>
        <w:pageBreakBefore/>
        <w:spacing w:before="360" w:after="200"/>
        <w:jc w:val="left"/>
      </w:pPr>
      <w:r>
        <w:rPr>
          <w:rFonts w:ascii="Times New Roman" w:hAnsi="Times New Roman"/>
          <w:b/>
          <w:i w:val="0"/>
          <w:sz w:val="26"/>
        </w:rPr>
        <w:t>CONCLUSION GÉNÉRALE</w:t>
      </w:r>
    </w:p>
    <w:p>
      <w:pPr>
        <w:keepNext w:val="0"/>
        <w:spacing w:before="0" w:after="120"/>
        <w:jc w:val="both"/>
      </w:pPr>
      <w:r>
        <w:rPr>
          <w:rFonts w:ascii="Times New Roman" w:hAnsi="Times New Roman"/>
          <w:b w:val="0"/>
          <w:i w:val="0"/>
          <w:sz w:val="24"/>
        </w:rPr>
        <w:t>Le présent guide utilisateur a décrit de manière exhaustive l'ensemble des fonctionnalités de l'application GestionHeures UVCI, à destination des trois profils d'utilisateurs : l'administrateur, le secrétaire et l'enseignant. Chaque chapitre a non seulement détaillé les procédures à suivre, mais a également expliqué la finalité de chaque fonctionnalité, afin que chaque utilisateur comprenne le rôle de ses actions dans le processus global de gestion des heures pédagogiques.</w:t>
      </w:r>
    </w:p>
    <w:p>
      <w:pPr>
        <w:keepNext w:val="0"/>
        <w:spacing w:before="0" w:after="120"/>
        <w:jc w:val="both"/>
      </w:pPr>
      <w:r>
        <w:rPr>
          <w:rFonts w:ascii="Times New Roman" w:hAnsi="Times New Roman"/>
          <w:b w:val="0"/>
          <w:i w:val="0"/>
          <w:sz w:val="24"/>
        </w:rPr>
        <w:t>L'application constitue une réponse structurée aux insuffisances du processus manuel antérieur. Elle supprime les erreurs de calcul en automatisant l'application des coefficients du barème officiel, réduit les délais de traitement en permettant la saisie et la validation en temps réel, et améliore la transparence vis-à-vis des enseignants en leur offrant un accès permanent au statut de leurs déclarations.</w:t>
      </w:r>
    </w:p>
    <w:p>
      <w:pPr>
        <w:keepNext w:val="0"/>
        <w:spacing w:before="0" w:after="120"/>
        <w:jc w:val="both"/>
      </w:pPr>
      <w:r>
        <w:rPr>
          <w:rFonts w:ascii="Times New Roman" w:hAnsi="Times New Roman"/>
          <w:b w:val="0"/>
          <w:i w:val="0"/>
          <w:sz w:val="24"/>
        </w:rPr>
        <w:t>Pour toute question relative à l'utilisation de l'application ou en cas d'anomalie observée, les utilisateurs sont invités à contacter l'administrateur du système. La gestion des comptes, des accès et le paramétrage du système relèvent exclusivement de la responsabilité de l'administrateur.</w:t>
      </w:r>
    </w:p>
    <w:p>
      <w:pPr>
        <w:pageBreakBefore/>
        <w:spacing w:before="360" w:after="200"/>
        <w:jc w:val="left"/>
      </w:pPr>
      <w:r>
        <w:rPr>
          <w:rFonts w:ascii="Times New Roman" w:hAnsi="Times New Roman"/>
          <w:b/>
          <w:i w:val="0"/>
          <w:sz w:val="26"/>
        </w:rPr>
        <w:t>ANNEXES</w:t>
      </w:r>
    </w:p>
    <w:p>
      <w:pPr>
        <w:keepNext/>
        <w:spacing w:before="240" w:after="100"/>
        <w:jc w:val="left"/>
      </w:pPr>
      <w:r>
        <w:rPr>
          <w:rFonts w:ascii="Times New Roman" w:hAnsi="Times New Roman"/>
          <w:b/>
          <w:i w:val="0"/>
          <w:sz w:val="24"/>
        </w:rPr>
        <w:t>Annexe 1 : Comptes de démonstration</w:t>
      </w:r>
    </w:p>
    <w:tbl>
      <w:tblPr>
        <w:tblStyle w:val="TableGrid"/>
        <w:tblW w:type="auto" w:w="0"/>
        <w:tblLook w:firstColumn="1" w:firstRow="1" w:lastColumn="0" w:lastRow="0" w:noHBand="0" w:noVBand="1" w:val="04A0"/>
      </w:tblPr>
      <w:tblGrid>
        <w:gridCol w:w="2197"/>
        <w:gridCol w:w="2197"/>
        <w:gridCol w:w="2197"/>
        <w:gridCol w:w="2197"/>
      </w:tblGrid>
      <w:tr>
        <w:tc>
          <w:tcPr>
            <w:tcW w:type="dxa" w:w="1701"/>
            <w:shd w:val="clear" w:color="auto" w:fill="E8E8E8"/>
          </w:tcPr>
          <w:p>
            <w:pPr>
              <w:jc w:val="center"/>
            </w:pPr>
            <w:r>
              <w:rPr>
                <w:rFonts w:ascii="Times New Roman" w:hAnsi="Times New Roman"/>
                <w:b/>
                <w:i w:val="0"/>
                <w:sz w:val="20"/>
              </w:rPr>
              <w:t>Profil</w:t>
            </w:r>
          </w:p>
        </w:tc>
        <w:tc>
          <w:tcPr>
            <w:tcW w:type="dxa" w:w="2551"/>
            <w:shd w:val="clear" w:color="auto" w:fill="E8E8E8"/>
          </w:tcPr>
          <w:p>
            <w:pPr>
              <w:jc w:val="center"/>
            </w:pPr>
            <w:r>
              <w:rPr>
                <w:rFonts w:ascii="Times New Roman" w:hAnsi="Times New Roman"/>
                <w:b/>
                <w:i w:val="0"/>
                <w:sz w:val="20"/>
              </w:rPr>
              <w:t>Adresse électronique</w:t>
            </w:r>
          </w:p>
        </w:tc>
        <w:tc>
          <w:tcPr>
            <w:tcW w:type="dxa" w:w="1984"/>
            <w:shd w:val="clear" w:color="auto" w:fill="E8E8E8"/>
          </w:tcPr>
          <w:p>
            <w:pPr>
              <w:jc w:val="center"/>
            </w:pPr>
            <w:r>
              <w:rPr>
                <w:rFonts w:ascii="Times New Roman" w:hAnsi="Times New Roman"/>
                <w:b/>
                <w:i w:val="0"/>
                <w:sz w:val="20"/>
              </w:rPr>
              <w:t>Mot de passe</w:t>
            </w:r>
          </w:p>
        </w:tc>
        <w:tc>
          <w:tcPr>
            <w:tcW w:type="dxa" w:w="1928"/>
            <w:shd w:val="clear" w:color="auto" w:fill="E8E8E8"/>
          </w:tcPr>
          <w:p>
            <w:pPr>
              <w:jc w:val="center"/>
            </w:pPr>
            <w:r>
              <w:rPr>
                <w:rFonts w:ascii="Times New Roman" w:hAnsi="Times New Roman"/>
                <w:b/>
                <w:i w:val="0"/>
                <w:sz w:val="20"/>
              </w:rPr>
              <w:t>Remarque</w:t>
            </w:r>
          </w:p>
        </w:tc>
      </w:tr>
      <w:tr>
        <w:tc>
          <w:tcPr>
            <w:tcW w:type="dxa" w:w="1701"/>
          </w:tcPr>
          <w:p>
            <w:pPr>
              <w:jc w:val="left"/>
            </w:pPr>
            <w:r>
              <w:rPr>
                <w:rFonts w:ascii="Times New Roman" w:hAnsi="Times New Roman"/>
                <w:b w:val="0"/>
                <w:i w:val="0"/>
                <w:sz w:val="20"/>
              </w:rPr>
              <w:t>Administrateur</w:t>
            </w:r>
          </w:p>
        </w:tc>
        <w:tc>
          <w:tcPr>
            <w:tcW w:type="dxa" w:w="2551"/>
          </w:tcPr>
          <w:p>
            <w:pPr>
              <w:jc w:val="left"/>
            </w:pPr>
            <w:r>
              <w:rPr>
                <w:rFonts w:ascii="Times New Roman" w:hAnsi="Times New Roman"/>
                <w:b w:val="0"/>
                <w:i w:val="0"/>
                <w:sz w:val="20"/>
              </w:rPr>
              <w:t>admin@uvci.ci</w:t>
            </w:r>
          </w:p>
        </w:tc>
        <w:tc>
          <w:tcPr>
            <w:tcW w:type="dxa" w:w="1984"/>
          </w:tcPr>
          <w:p>
            <w:pPr>
              <w:jc w:val="left"/>
            </w:pPr>
            <w:r>
              <w:rPr>
                <w:rFonts w:ascii="Times New Roman" w:hAnsi="Times New Roman"/>
                <w:b w:val="0"/>
                <w:i w:val="0"/>
                <w:sz w:val="20"/>
              </w:rPr>
              <w:t>admin123</w:t>
            </w:r>
          </w:p>
        </w:tc>
        <w:tc>
          <w:tcPr>
            <w:tcW w:type="dxa" w:w="1928"/>
          </w:tcPr>
          <w:p>
            <w:pPr>
              <w:jc w:val="left"/>
            </w:pPr>
            <w:r>
              <w:rPr>
                <w:rFonts w:ascii="Times New Roman" w:hAnsi="Times New Roman"/>
                <w:b w:val="0"/>
                <w:i w:val="0"/>
                <w:sz w:val="20"/>
              </w:rPr>
              <w:t>Accès complet</w:t>
            </w:r>
          </w:p>
        </w:tc>
      </w:tr>
      <w:tr>
        <w:tc>
          <w:tcPr>
            <w:tcW w:type="dxa" w:w="1701"/>
          </w:tcPr>
          <w:p>
            <w:pPr>
              <w:jc w:val="left"/>
            </w:pPr>
            <w:r>
              <w:rPr>
                <w:rFonts w:ascii="Times New Roman" w:hAnsi="Times New Roman"/>
                <w:b w:val="0"/>
                <w:i w:val="0"/>
                <w:sz w:val="20"/>
              </w:rPr>
              <w:t>Secrétaire</w:t>
            </w:r>
          </w:p>
        </w:tc>
        <w:tc>
          <w:tcPr>
            <w:tcW w:type="dxa" w:w="2551"/>
          </w:tcPr>
          <w:p>
            <w:pPr>
              <w:jc w:val="left"/>
            </w:pPr>
            <w:r>
              <w:rPr>
                <w:rFonts w:ascii="Times New Roman" w:hAnsi="Times New Roman"/>
                <w:b w:val="0"/>
                <w:i w:val="0"/>
                <w:sz w:val="20"/>
              </w:rPr>
              <w:t>secretaire@uvci.ci</w:t>
            </w:r>
          </w:p>
        </w:tc>
        <w:tc>
          <w:tcPr>
            <w:tcW w:type="dxa" w:w="1984"/>
          </w:tcPr>
          <w:p>
            <w:pPr>
              <w:jc w:val="left"/>
            </w:pPr>
            <w:r>
              <w:rPr>
                <w:rFonts w:ascii="Times New Roman" w:hAnsi="Times New Roman"/>
                <w:b w:val="0"/>
                <w:i w:val="0"/>
                <w:sz w:val="20"/>
              </w:rPr>
              <w:t>secretaire123</w:t>
            </w:r>
          </w:p>
        </w:tc>
        <w:tc>
          <w:tcPr>
            <w:tcW w:type="dxa" w:w="1928"/>
          </w:tcPr>
          <w:p>
            <w:pPr>
              <w:jc w:val="left"/>
            </w:pPr>
            <w:r>
              <w:rPr>
                <w:rFonts w:ascii="Times New Roman" w:hAnsi="Times New Roman"/>
                <w:b w:val="0"/>
                <w:i w:val="0"/>
                <w:sz w:val="20"/>
              </w:rPr>
              <w:t>Saisie et validation</w:t>
            </w:r>
          </w:p>
        </w:tc>
      </w:tr>
      <w:tr>
        <w:tc>
          <w:tcPr>
            <w:tcW w:type="dxa" w:w="1701"/>
          </w:tcPr>
          <w:p>
            <w:pPr>
              <w:jc w:val="left"/>
            </w:pPr>
            <w:r>
              <w:rPr>
                <w:rFonts w:ascii="Times New Roman" w:hAnsi="Times New Roman"/>
                <w:b w:val="0"/>
                <w:i w:val="0"/>
                <w:sz w:val="20"/>
              </w:rPr>
              <w:t>Enseignant 1</w:t>
            </w:r>
          </w:p>
        </w:tc>
        <w:tc>
          <w:tcPr>
            <w:tcW w:type="dxa" w:w="2551"/>
          </w:tcPr>
          <w:p>
            <w:pPr>
              <w:jc w:val="left"/>
            </w:pPr>
            <w:r>
              <w:rPr>
                <w:rFonts w:ascii="Times New Roman" w:hAnsi="Times New Roman"/>
                <w:b w:val="0"/>
                <w:i w:val="0"/>
                <w:sz w:val="20"/>
              </w:rPr>
              <w:t>jkouame@uvci.ci</w:t>
            </w:r>
          </w:p>
        </w:tc>
        <w:tc>
          <w:tcPr>
            <w:tcW w:type="dxa" w:w="1984"/>
          </w:tcPr>
          <w:p>
            <w:pPr>
              <w:jc w:val="left"/>
            </w:pPr>
            <w:r>
              <w:rPr>
                <w:rFonts w:ascii="Times New Roman" w:hAnsi="Times New Roman"/>
                <w:b w:val="0"/>
                <w:i w:val="0"/>
                <w:sz w:val="20"/>
              </w:rPr>
              <w:t>teacher123</w:t>
            </w:r>
          </w:p>
        </w:tc>
        <w:tc>
          <w:tcPr>
            <w:tcW w:type="dxa" w:w="1928"/>
          </w:tcPr>
          <w:p>
            <w:pPr>
              <w:jc w:val="left"/>
            </w:pPr>
            <w:r>
              <w:rPr>
                <w:rFonts w:ascii="Times New Roman" w:hAnsi="Times New Roman"/>
                <w:b w:val="0"/>
                <w:i w:val="0"/>
                <w:sz w:val="20"/>
              </w:rPr>
              <w:t>Jean-Pierre Kouamé</w:t>
            </w:r>
          </w:p>
        </w:tc>
      </w:tr>
      <w:tr>
        <w:tc>
          <w:tcPr>
            <w:tcW w:type="dxa" w:w="1701"/>
          </w:tcPr>
          <w:p>
            <w:pPr>
              <w:jc w:val="left"/>
            </w:pPr>
            <w:r>
              <w:rPr>
                <w:rFonts w:ascii="Times New Roman" w:hAnsi="Times New Roman"/>
                <w:b w:val="0"/>
                <w:i w:val="0"/>
                <w:sz w:val="20"/>
              </w:rPr>
              <w:t>Enseignant 2</w:t>
            </w:r>
          </w:p>
        </w:tc>
        <w:tc>
          <w:tcPr>
            <w:tcW w:type="dxa" w:w="2551"/>
          </w:tcPr>
          <w:p>
            <w:pPr>
              <w:jc w:val="left"/>
            </w:pPr>
            <w:r>
              <w:rPr>
                <w:rFonts w:ascii="Times New Roman" w:hAnsi="Times New Roman"/>
                <w:b w:val="0"/>
                <w:i w:val="0"/>
                <w:sz w:val="20"/>
              </w:rPr>
              <w:t>abandiara@uvci.ci</w:t>
            </w:r>
          </w:p>
        </w:tc>
        <w:tc>
          <w:tcPr>
            <w:tcW w:type="dxa" w:w="1984"/>
          </w:tcPr>
          <w:p>
            <w:pPr>
              <w:jc w:val="left"/>
            </w:pPr>
            <w:r>
              <w:rPr>
                <w:rFonts w:ascii="Times New Roman" w:hAnsi="Times New Roman"/>
                <w:b w:val="0"/>
                <w:i w:val="0"/>
                <w:sz w:val="20"/>
              </w:rPr>
              <w:t>teacher123</w:t>
            </w:r>
          </w:p>
        </w:tc>
        <w:tc>
          <w:tcPr>
            <w:tcW w:type="dxa" w:w="1928"/>
          </w:tcPr>
          <w:p>
            <w:pPr>
              <w:jc w:val="left"/>
            </w:pPr>
            <w:r>
              <w:rPr>
                <w:rFonts w:ascii="Times New Roman" w:hAnsi="Times New Roman"/>
                <w:b w:val="0"/>
                <w:i w:val="0"/>
                <w:sz w:val="20"/>
              </w:rPr>
              <w:t>Aminata Bandiara</w:t>
            </w:r>
          </w:p>
        </w:tc>
      </w:tr>
      <w:tr>
        <w:tc>
          <w:tcPr>
            <w:tcW w:type="dxa" w:w="1701"/>
          </w:tcPr>
          <w:p>
            <w:pPr>
              <w:jc w:val="left"/>
            </w:pPr>
            <w:r>
              <w:rPr>
                <w:rFonts w:ascii="Times New Roman" w:hAnsi="Times New Roman"/>
                <w:b w:val="0"/>
                <w:i w:val="0"/>
                <w:sz w:val="20"/>
              </w:rPr>
              <w:t>Enseignant 3</w:t>
            </w:r>
          </w:p>
        </w:tc>
        <w:tc>
          <w:tcPr>
            <w:tcW w:type="dxa" w:w="2551"/>
          </w:tcPr>
          <w:p>
            <w:pPr>
              <w:jc w:val="left"/>
            </w:pPr>
            <w:r>
              <w:rPr>
                <w:rFonts w:ascii="Times New Roman" w:hAnsi="Times New Roman"/>
                <w:b w:val="0"/>
                <w:i w:val="0"/>
                <w:sz w:val="20"/>
              </w:rPr>
              <w:t>iouattara@uvci.ci</w:t>
            </w:r>
          </w:p>
        </w:tc>
        <w:tc>
          <w:tcPr>
            <w:tcW w:type="dxa" w:w="1984"/>
          </w:tcPr>
          <w:p>
            <w:pPr>
              <w:jc w:val="left"/>
            </w:pPr>
            <w:r>
              <w:rPr>
                <w:rFonts w:ascii="Times New Roman" w:hAnsi="Times New Roman"/>
                <w:b w:val="0"/>
                <w:i w:val="0"/>
                <w:sz w:val="20"/>
              </w:rPr>
              <w:t>teacher123</w:t>
            </w:r>
          </w:p>
        </w:tc>
        <w:tc>
          <w:tcPr>
            <w:tcW w:type="dxa" w:w="1928"/>
          </w:tcPr>
          <w:p>
            <w:pPr>
              <w:jc w:val="left"/>
            </w:pPr>
            <w:r>
              <w:rPr>
                <w:rFonts w:ascii="Times New Roman" w:hAnsi="Times New Roman"/>
                <w:b w:val="0"/>
                <w:i w:val="0"/>
                <w:sz w:val="20"/>
              </w:rPr>
              <w:t>Ibrahim Ouattara</w:t>
            </w:r>
          </w:p>
        </w:tc>
      </w:tr>
    </w:tbl>
    <w:p>
      <w:pPr>
        <w:keepNext/>
        <w:spacing w:before="240" w:after="100"/>
        <w:jc w:val="left"/>
      </w:pPr>
      <w:r>
        <w:rPr>
          <w:rFonts w:ascii="Times New Roman" w:hAnsi="Times New Roman"/>
          <w:b/>
          <w:i w:val="0"/>
          <w:sz w:val="24"/>
        </w:rPr>
        <w:t>Annexe 2 : Matrice des droits d'accès par profil</w:t>
      </w:r>
    </w:p>
    <w:p>
      <w:pPr>
        <w:keepNext/>
        <w:spacing w:before="160" w:after="60"/>
        <w:jc w:val="center"/>
      </w:pPr>
      <w:r>
        <w:rPr>
          <w:rFonts w:ascii="Times New Roman" w:hAnsi="Times New Roman"/>
          <w:b w:val="0"/>
          <w:i/>
          <w:sz w:val="22"/>
        </w:rPr>
        <w:t>Tableau 6 : Matrice des droits d'accès par profil</w:t>
      </w:r>
    </w:p>
    <w:tbl>
      <w:tblPr>
        <w:tblStyle w:val="TableGrid"/>
        <w:tblW w:type="auto" w:w="0"/>
        <w:tblLook w:firstColumn="1" w:firstRow="1" w:lastColumn="0" w:lastRow="0" w:noHBand="0" w:noVBand="1" w:val="04A0"/>
      </w:tblPr>
      <w:tblGrid>
        <w:gridCol w:w="2197"/>
        <w:gridCol w:w="2197"/>
        <w:gridCol w:w="2197"/>
        <w:gridCol w:w="2197"/>
      </w:tblGrid>
      <w:tr>
        <w:tc>
          <w:tcPr>
            <w:tcW w:type="dxa" w:w="4535"/>
            <w:shd w:val="clear" w:color="auto" w:fill="E8E8E8"/>
          </w:tcPr>
          <w:p>
            <w:pPr>
              <w:jc w:val="center"/>
            </w:pPr>
            <w:r>
              <w:rPr>
                <w:rFonts w:ascii="Times New Roman" w:hAnsi="Times New Roman"/>
                <w:b/>
                <w:i w:val="0"/>
                <w:sz w:val="20"/>
              </w:rPr>
              <w:t>Fonctionnalité</w:t>
            </w:r>
          </w:p>
        </w:tc>
        <w:tc>
          <w:tcPr>
            <w:tcW w:type="dxa" w:w="1020"/>
            <w:shd w:val="clear" w:color="auto" w:fill="E8E8E8"/>
          </w:tcPr>
          <w:p>
            <w:pPr>
              <w:jc w:val="center"/>
            </w:pPr>
            <w:r>
              <w:rPr>
                <w:rFonts w:ascii="Times New Roman" w:hAnsi="Times New Roman"/>
                <w:b/>
                <w:i w:val="0"/>
                <w:sz w:val="20"/>
              </w:rPr>
              <w:t>Admin</w:t>
            </w:r>
          </w:p>
        </w:tc>
        <w:tc>
          <w:tcPr>
            <w:tcW w:type="dxa" w:w="1417"/>
            <w:shd w:val="clear" w:color="auto" w:fill="E8E8E8"/>
          </w:tcPr>
          <w:p>
            <w:pPr>
              <w:jc w:val="center"/>
            </w:pPr>
            <w:r>
              <w:rPr>
                <w:rFonts w:ascii="Times New Roman" w:hAnsi="Times New Roman"/>
                <w:b/>
                <w:i w:val="0"/>
                <w:sz w:val="20"/>
              </w:rPr>
              <w:t>Secrétaire</w:t>
            </w:r>
          </w:p>
        </w:tc>
        <w:tc>
          <w:tcPr>
            <w:tcW w:type="dxa" w:w="1304"/>
            <w:shd w:val="clear" w:color="auto" w:fill="E8E8E8"/>
          </w:tcPr>
          <w:p>
            <w:pPr>
              <w:jc w:val="center"/>
            </w:pPr>
            <w:r>
              <w:rPr>
                <w:rFonts w:ascii="Times New Roman" w:hAnsi="Times New Roman"/>
                <w:b/>
                <w:i w:val="0"/>
                <w:sz w:val="20"/>
              </w:rPr>
              <w:t>Enseignant</w:t>
            </w:r>
          </w:p>
        </w:tc>
      </w:tr>
      <w:tr>
        <w:tc>
          <w:tcPr>
            <w:tcW w:type="dxa" w:w="4535"/>
          </w:tcPr>
          <w:p>
            <w:pPr>
              <w:jc w:val="left"/>
            </w:pPr>
            <w:r>
              <w:rPr>
                <w:rFonts w:ascii="Times New Roman" w:hAnsi="Times New Roman"/>
                <w:b w:val="0"/>
                <w:i w:val="0"/>
                <w:sz w:val="20"/>
              </w:rPr>
              <w:t>Tableau de bord global</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Oui</w:t>
            </w:r>
          </w:p>
        </w:tc>
        <w:tc>
          <w:tcPr>
            <w:tcW w:type="dxa" w:w="1304"/>
          </w:tcPr>
          <w:p>
            <w:pPr>
              <w:jc w:val="left"/>
            </w:pPr>
            <w:r>
              <w:rPr>
                <w:rFonts w:ascii="Times New Roman" w:hAnsi="Times New Roman"/>
                <w:b w:val="0"/>
                <w:i w:val="0"/>
                <w:sz w:val="20"/>
              </w:rPr>
              <w:t>Non</w:t>
            </w:r>
          </w:p>
        </w:tc>
      </w:tr>
      <w:tr>
        <w:tc>
          <w:tcPr>
            <w:tcW w:type="dxa" w:w="4535"/>
          </w:tcPr>
          <w:p>
            <w:pPr>
              <w:jc w:val="left"/>
            </w:pPr>
            <w:r>
              <w:rPr>
                <w:rFonts w:ascii="Times New Roman" w:hAnsi="Times New Roman"/>
                <w:b w:val="0"/>
                <w:i w:val="0"/>
                <w:sz w:val="20"/>
              </w:rPr>
              <w:t>Tableau de bord personnel</w:t>
            </w:r>
          </w:p>
        </w:tc>
        <w:tc>
          <w:tcPr>
            <w:tcW w:type="dxa" w:w="1020"/>
          </w:tcPr>
          <w:p>
            <w:pPr>
              <w:jc w:val="left"/>
            </w:pPr>
            <w:r>
              <w:rPr>
                <w:rFonts w:ascii="Times New Roman" w:hAnsi="Times New Roman"/>
                <w:b w:val="0"/>
                <w:i w:val="0"/>
                <w:sz w:val="20"/>
              </w:rPr>
              <w:t>Non</w:t>
            </w:r>
          </w:p>
        </w:tc>
        <w:tc>
          <w:tcPr>
            <w:tcW w:type="dxa" w:w="1417"/>
          </w:tcPr>
          <w:p>
            <w:pPr>
              <w:jc w:val="left"/>
            </w:pPr>
            <w:r>
              <w:rPr>
                <w:rFonts w:ascii="Times New Roman" w:hAnsi="Times New Roman"/>
                <w:b w:val="0"/>
                <w:i w:val="0"/>
                <w:sz w:val="20"/>
              </w:rPr>
              <w:t>Non</w:t>
            </w:r>
          </w:p>
        </w:tc>
        <w:tc>
          <w:tcPr>
            <w:tcW w:type="dxa" w:w="1304"/>
          </w:tcPr>
          <w:p>
            <w:pPr>
              <w:jc w:val="left"/>
            </w:pPr>
            <w:r>
              <w:rPr>
                <w:rFonts w:ascii="Times New Roman" w:hAnsi="Times New Roman"/>
                <w:b w:val="0"/>
                <w:i w:val="0"/>
                <w:sz w:val="20"/>
              </w:rPr>
              <w:t>Oui</w:t>
            </w:r>
          </w:p>
        </w:tc>
      </w:tr>
      <w:tr>
        <w:tc>
          <w:tcPr>
            <w:tcW w:type="dxa" w:w="4535"/>
          </w:tcPr>
          <w:p>
            <w:pPr>
              <w:jc w:val="left"/>
            </w:pPr>
            <w:r>
              <w:rPr>
                <w:rFonts w:ascii="Times New Roman" w:hAnsi="Times New Roman"/>
                <w:b w:val="0"/>
                <w:i w:val="0"/>
                <w:sz w:val="20"/>
              </w:rPr>
              <w:t>Gestion des comptes utilisateurs</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Non</w:t>
            </w:r>
          </w:p>
        </w:tc>
        <w:tc>
          <w:tcPr>
            <w:tcW w:type="dxa" w:w="1304"/>
          </w:tcPr>
          <w:p>
            <w:pPr>
              <w:jc w:val="left"/>
            </w:pPr>
            <w:r>
              <w:rPr>
                <w:rFonts w:ascii="Times New Roman" w:hAnsi="Times New Roman"/>
                <w:b w:val="0"/>
                <w:i w:val="0"/>
                <w:sz w:val="20"/>
              </w:rPr>
              <w:t>Non</w:t>
            </w:r>
          </w:p>
        </w:tc>
      </w:tr>
      <w:tr>
        <w:tc>
          <w:tcPr>
            <w:tcW w:type="dxa" w:w="4535"/>
          </w:tcPr>
          <w:p>
            <w:pPr>
              <w:jc w:val="left"/>
            </w:pPr>
            <w:r>
              <w:rPr>
                <w:rFonts w:ascii="Times New Roman" w:hAnsi="Times New Roman"/>
                <w:b w:val="0"/>
                <w:i w:val="0"/>
                <w:sz w:val="20"/>
              </w:rPr>
              <w:t>Gestion des enseignants (CRUD)</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Lecture</w:t>
            </w:r>
          </w:p>
        </w:tc>
        <w:tc>
          <w:tcPr>
            <w:tcW w:type="dxa" w:w="1304"/>
          </w:tcPr>
          <w:p>
            <w:pPr>
              <w:jc w:val="left"/>
            </w:pPr>
            <w:r>
              <w:rPr>
                <w:rFonts w:ascii="Times New Roman" w:hAnsi="Times New Roman"/>
                <w:b w:val="0"/>
                <w:i w:val="0"/>
                <w:sz w:val="20"/>
              </w:rPr>
              <w:t>Non</w:t>
            </w:r>
          </w:p>
        </w:tc>
      </w:tr>
      <w:tr>
        <w:tc>
          <w:tcPr>
            <w:tcW w:type="dxa" w:w="4535"/>
          </w:tcPr>
          <w:p>
            <w:pPr>
              <w:jc w:val="left"/>
            </w:pPr>
            <w:r>
              <w:rPr>
                <w:rFonts w:ascii="Times New Roman" w:hAnsi="Times New Roman"/>
                <w:b w:val="0"/>
                <w:i w:val="0"/>
                <w:sz w:val="20"/>
              </w:rPr>
              <w:t>Gestion des cours (CRUD)</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Lecture</w:t>
            </w:r>
          </w:p>
        </w:tc>
        <w:tc>
          <w:tcPr>
            <w:tcW w:type="dxa" w:w="1304"/>
          </w:tcPr>
          <w:p>
            <w:pPr>
              <w:jc w:val="left"/>
            </w:pPr>
            <w:r>
              <w:rPr>
                <w:rFonts w:ascii="Times New Roman" w:hAnsi="Times New Roman"/>
                <w:b w:val="0"/>
                <w:i w:val="0"/>
                <w:sz w:val="20"/>
              </w:rPr>
              <w:t>Non</w:t>
            </w:r>
          </w:p>
        </w:tc>
      </w:tr>
      <w:tr>
        <w:tc>
          <w:tcPr>
            <w:tcW w:type="dxa" w:w="4535"/>
          </w:tcPr>
          <w:p>
            <w:pPr>
              <w:jc w:val="left"/>
            </w:pPr>
            <w:r>
              <w:rPr>
                <w:rFonts w:ascii="Times New Roman" w:hAnsi="Times New Roman"/>
                <w:b w:val="0"/>
                <w:i w:val="0"/>
                <w:sz w:val="20"/>
              </w:rPr>
              <w:t>Saisie d'une activité</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Oui</w:t>
            </w:r>
          </w:p>
        </w:tc>
        <w:tc>
          <w:tcPr>
            <w:tcW w:type="dxa" w:w="1304"/>
          </w:tcPr>
          <w:p>
            <w:pPr>
              <w:jc w:val="left"/>
            </w:pPr>
            <w:r>
              <w:rPr>
                <w:rFonts w:ascii="Times New Roman" w:hAnsi="Times New Roman"/>
                <w:b w:val="0"/>
                <w:i w:val="0"/>
                <w:sz w:val="20"/>
              </w:rPr>
              <w:t>Non</w:t>
            </w:r>
          </w:p>
        </w:tc>
      </w:tr>
      <w:tr>
        <w:tc>
          <w:tcPr>
            <w:tcW w:type="dxa" w:w="4535"/>
          </w:tcPr>
          <w:p>
            <w:pPr>
              <w:jc w:val="left"/>
            </w:pPr>
            <w:r>
              <w:rPr>
                <w:rFonts w:ascii="Times New Roman" w:hAnsi="Times New Roman"/>
                <w:b w:val="0"/>
                <w:i w:val="0"/>
                <w:sz w:val="20"/>
              </w:rPr>
              <w:t>Validation / rejet d'une activité</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Oui</w:t>
            </w:r>
          </w:p>
        </w:tc>
        <w:tc>
          <w:tcPr>
            <w:tcW w:type="dxa" w:w="1304"/>
          </w:tcPr>
          <w:p>
            <w:pPr>
              <w:jc w:val="left"/>
            </w:pPr>
            <w:r>
              <w:rPr>
                <w:rFonts w:ascii="Times New Roman" w:hAnsi="Times New Roman"/>
                <w:b w:val="0"/>
                <w:i w:val="0"/>
                <w:sz w:val="20"/>
              </w:rPr>
              <w:t>Non</w:t>
            </w:r>
          </w:p>
        </w:tc>
      </w:tr>
      <w:tr>
        <w:tc>
          <w:tcPr>
            <w:tcW w:type="dxa" w:w="4535"/>
          </w:tcPr>
          <w:p>
            <w:pPr>
              <w:jc w:val="left"/>
            </w:pPr>
            <w:r>
              <w:rPr>
                <w:rFonts w:ascii="Times New Roman" w:hAnsi="Times New Roman"/>
                <w:b w:val="0"/>
                <w:i w:val="0"/>
                <w:sz w:val="20"/>
              </w:rPr>
              <w:t>Consultation de ses propres activités</w:t>
            </w:r>
          </w:p>
        </w:tc>
        <w:tc>
          <w:tcPr>
            <w:tcW w:type="dxa" w:w="1020"/>
          </w:tcPr>
          <w:p>
            <w:pPr>
              <w:jc w:val="left"/>
            </w:pPr>
            <w:r>
              <w:rPr>
                <w:rFonts w:ascii="Times New Roman" w:hAnsi="Times New Roman"/>
                <w:b w:val="0"/>
                <w:i w:val="0"/>
                <w:sz w:val="20"/>
              </w:rPr>
              <w:t>Non</w:t>
            </w:r>
          </w:p>
        </w:tc>
        <w:tc>
          <w:tcPr>
            <w:tcW w:type="dxa" w:w="1417"/>
          </w:tcPr>
          <w:p>
            <w:pPr>
              <w:jc w:val="left"/>
            </w:pPr>
            <w:r>
              <w:rPr>
                <w:rFonts w:ascii="Times New Roman" w:hAnsi="Times New Roman"/>
                <w:b w:val="0"/>
                <w:i w:val="0"/>
                <w:sz w:val="20"/>
              </w:rPr>
              <w:t>Non</w:t>
            </w:r>
          </w:p>
        </w:tc>
        <w:tc>
          <w:tcPr>
            <w:tcW w:type="dxa" w:w="1304"/>
          </w:tcPr>
          <w:p>
            <w:pPr>
              <w:jc w:val="left"/>
            </w:pPr>
            <w:r>
              <w:rPr>
                <w:rFonts w:ascii="Times New Roman" w:hAnsi="Times New Roman"/>
                <w:b w:val="0"/>
                <w:i w:val="0"/>
                <w:sz w:val="20"/>
              </w:rPr>
              <w:t>Oui</w:t>
            </w:r>
          </w:p>
        </w:tc>
      </w:tr>
      <w:tr>
        <w:tc>
          <w:tcPr>
            <w:tcW w:type="dxa" w:w="4535"/>
          </w:tcPr>
          <w:p>
            <w:pPr>
              <w:jc w:val="left"/>
            </w:pPr>
            <w:r>
              <w:rPr>
                <w:rFonts w:ascii="Times New Roman" w:hAnsi="Times New Roman"/>
                <w:b w:val="0"/>
                <w:i w:val="0"/>
                <w:sz w:val="20"/>
              </w:rPr>
              <w:t>Export Excel (état de paiement)</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Oui</w:t>
            </w:r>
          </w:p>
        </w:tc>
        <w:tc>
          <w:tcPr>
            <w:tcW w:type="dxa" w:w="1304"/>
          </w:tcPr>
          <w:p>
            <w:pPr>
              <w:jc w:val="left"/>
            </w:pPr>
            <w:r>
              <w:rPr>
                <w:rFonts w:ascii="Times New Roman" w:hAnsi="Times New Roman"/>
                <w:b w:val="0"/>
                <w:i w:val="0"/>
                <w:sz w:val="20"/>
              </w:rPr>
              <w:t>Non</w:t>
            </w:r>
          </w:p>
        </w:tc>
      </w:tr>
      <w:tr>
        <w:tc>
          <w:tcPr>
            <w:tcW w:type="dxa" w:w="4535"/>
          </w:tcPr>
          <w:p>
            <w:pPr>
              <w:jc w:val="left"/>
            </w:pPr>
            <w:r>
              <w:rPr>
                <w:rFonts w:ascii="Times New Roman" w:hAnsi="Times New Roman"/>
                <w:b w:val="0"/>
                <w:i w:val="0"/>
                <w:sz w:val="20"/>
              </w:rPr>
              <w:t>Génération PDF récapitulatif</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Oui</w:t>
            </w:r>
          </w:p>
        </w:tc>
        <w:tc>
          <w:tcPr>
            <w:tcW w:type="dxa" w:w="1304"/>
          </w:tcPr>
          <w:p>
            <w:pPr>
              <w:jc w:val="left"/>
            </w:pPr>
            <w:r>
              <w:rPr>
                <w:rFonts w:ascii="Times New Roman" w:hAnsi="Times New Roman"/>
                <w:b w:val="0"/>
                <w:i w:val="0"/>
                <w:sz w:val="20"/>
              </w:rPr>
              <w:t>Le sien</w:t>
            </w:r>
          </w:p>
        </w:tc>
      </w:tr>
      <w:tr>
        <w:tc>
          <w:tcPr>
            <w:tcW w:type="dxa" w:w="4535"/>
          </w:tcPr>
          <w:p>
            <w:pPr>
              <w:jc w:val="left"/>
            </w:pPr>
            <w:r>
              <w:rPr>
                <w:rFonts w:ascii="Times New Roman" w:hAnsi="Times New Roman"/>
                <w:b w:val="0"/>
                <w:i w:val="0"/>
                <w:sz w:val="20"/>
              </w:rPr>
              <w:t>Paramétrage des coefficients</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Non</w:t>
            </w:r>
          </w:p>
        </w:tc>
        <w:tc>
          <w:tcPr>
            <w:tcW w:type="dxa" w:w="1304"/>
          </w:tcPr>
          <w:p>
            <w:pPr>
              <w:jc w:val="left"/>
            </w:pPr>
            <w:r>
              <w:rPr>
                <w:rFonts w:ascii="Times New Roman" w:hAnsi="Times New Roman"/>
                <w:b w:val="0"/>
                <w:i w:val="0"/>
                <w:sz w:val="20"/>
              </w:rPr>
              <w:t>Non</w:t>
            </w:r>
          </w:p>
        </w:tc>
      </w:tr>
      <w:tr>
        <w:tc>
          <w:tcPr>
            <w:tcW w:type="dxa" w:w="4535"/>
          </w:tcPr>
          <w:p>
            <w:pPr>
              <w:jc w:val="left"/>
            </w:pPr>
            <w:r>
              <w:rPr>
                <w:rFonts w:ascii="Times New Roman" w:hAnsi="Times New Roman"/>
                <w:b w:val="0"/>
                <w:i w:val="0"/>
                <w:sz w:val="20"/>
              </w:rPr>
              <w:t>Paramétrage des quotas statutaires</w:t>
            </w:r>
          </w:p>
        </w:tc>
        <w:tc>
          <w:tcPr>
            <w:tcW w:type="dxa" w:w="1020"/>
          </w:tcPr>
          <w:p>
            <w:pPr>
              <w:jc w:val="left"/>
            </w:pPr>
            <w:r>
              <w:rPr>
                <w:rFonts w:ascii="Times New Roman" w:hAnsi="Times New Roman"/>
                <w:b w:val="0"/>
                <w:i w:val="0"/>
                <w:sz w:val="20"/>
              </w:rPr>
              <w:t>Oui</w:t>
            </w:r>
          </w:p>
        </w:tc>
        <w:tc>
          <w:tcPr>
            <w:tcW w:type="dxa" w:w="1417"/>
          </w:tcPr>
          <w:p>
            <w:pPr>
              <w:jc w:val="left"/>
            </w:pPr>
            <w:r>
              <w:rPr>
                <w:rFonts w:ascii="Times New Roman" w:hAnsi="Times New Roman"/>
                <w:b w:val="0"/>
                <w:i w:val="0"/>
                <w:sz w:val="20"/>
              </w:rPr>
              <w:t>Non</w:t>
            </w:r>
          </w:p>
        </w:tc>
        <w:tc>
          <w:tcPr>
            <w:tcW w:type="dxa" w:w="1304"/>
          </w:tcPr>
          <w:p>
            <w:pPr>
              <w:jc w:val="left"/>
            </w:pPr>
            <w:r>
              <w:rPr>
                <w:rFonts w:ascii="Times New Roman" w:hAnsi="Times New Roman"/>
                <w:b w:val="0"/>
                <w:i w:val="0"/>
                <w:sz w:val="20"/>
              </w:rPr>
              <w:t>Non</w:t>
            </w:r>
          </w:p>
        </w:tc>
      </w:tr>
    </w:tbl>
    <w:p>
      <w:pPr>
        <w:keepNext/>
        <w:spacing w:before="240" w:after="100"/>
        <w:jc w:val="left"/>
      </w:pPr>
      <w:r>
        <w:rPr>
          <w:rFonts w:ascii="Times New Roman" w:hAnsi="Times New Roman"/>
          <w:b/>
          <w:i w:val="0"/>
          <w:sz w:val="24"/>
        </w:rPr>
        <w:t>Annexe 3 : Glossaire des termes techniques</w:t>
      </w:r>
    </w:p>
    <w:p>
      <w:pPr>
        <w:keepNext/>
        <w:spacing w:before="160" w:after="60"/>
        <w:jc w:val="center"/>
      </w:pPr>
      <w:r>
        <w:rPr>
          <w:rFonts w:ascii="Times New Roman" w:hAnsi="Times New Roman"/>
          <w:b w:val="0"/>
          <w:i/>
          <w:sz w:val="22"/>
        </w:rPr>
        <w:t>Tableau 7 : Glossaire des termes techniques</w:t>
      </w:r>
    </w:p>
    <w:tbl>
      <w:tblPr>
        <w:tblStyle w:val="TableGrid"/>
        <w:tblW w:type="auto" w:w="0"/>
        <w:tblLook w:firstColumn="1" w:firstRow="1" w:lastColumn="0" w:lastRow="0" w:noHBand="0" w:noVBand="1" w:val="04A0"/>
      </w:tblPr>
      <w:tblGrid>
        <w:gridCol w:w="4394"/>
        <w:gridCol w:w="4394"/>
      </w:tblGrid>
      <w:tr>
        <w:tc>
          <w:tcPr>
            <w:tcW w:type="dxa" w:w="2551"/>
            <w:shd w:val="clear" w:color="auto" w:fill="E8E8E8"/>
          </w:tcPr>
          <w:p>
            <w:pPr>
              <w:jc w:val="center"/>
            </w:pPr>
            <w:r>
              <w:rPr>
                <w:rFonts w:ascii="Times New Roman" w:hAnsi="Times New Roman"/>
                <w:b/>
                <w:i w:val="0"/>
                <w:sz w:val="20"/>
              </w:rPr>
              <w:t>Terme</w:t>
            </w:r>
          </w:p>
        </w:tc>
        <w:tc>
          <w:tcPr>
            <w:tcW w:type="dxa" w:w="5669"/>
            <w:shd w:val="clear" w:color="auto" w:fill="E8E8E8"/>
          </w:tcPr>
          <w:p>
            <w:pPr>
              <w:jc w:val="center"/>
            </w:pPr>
            <w:r>
              <w:rPr>
                <w:rFonts w:ascii="Times New Roman" w:hAnsi="Times New Roman"/>
                <w:b/>
                <w:i w:val="0"/>
                <w:sz w:val="20"/>
              </w:rPr>
              <w:t>Définition</w:t>
            </w:r>
          </w:p>
        </w:tc>
      </w:tr>
      <w:tr>
        <w:tc>
          <w:tcPr>
            <w:tcW w:type="dxa" w:w="2551"/>
          </w:tcPr>
          <w:p>
            <w:pPr>
              <w:jc w:val="left"/>
            </w:pPr>
            <w:r>
              <w:rPr>
                <w:rFonts w:ascii="Times New Roman" w:hAnsi="Times New Roman"/>
                <w:b w:val="0"/>
                <w:i w:val="0"/>
                <w:sz w:val="20"/>
              </w:rPr>
              <w:t>Activité pédagogique</w:t>
            </w:r>
          </w:p>
        </w:tc>
        <w:tc>
          <w:tcPr>
            <w:tcW w:type="dxa" w:w="5669"/>
          </w:tcPr>
          <w:p>
            <w:pPr>
              <w:jc w:val="left"/>
            </w:pPr>
            <w:r>
              <w:rPr>
                <w:rFonts w:ascii="Times New Roman" w:hAnsi="Times New Roman"/>
                <w:b w:val="0"/>
                <w:i w:val="0"/>
                <w:sz w:val="20"/>
              </w:rPr>
              <w:t>Acte de production ou de mise à jour d'une ressource numérique par un enseignant, donnant lieu à un calcul de volume horaire.</w:t>
            </w:r>
          </w:p>
        </w:tc>
      </w:tr>
      <w:tr>
        <w:tc>
          <w:tcPr>
            <w:tcW w:type="dxa" w:w="2551"/>
          </w:tcPr>
          <w:p>
            <w:pPr>
              <w:jc w:val="left"/>
            </w:pPr>
            <w:r>
              <w:rPr>
                <w:rFonts w:ascii="Times New Roman" w:hAnsi="Times New Roman"/>
                <w:b w:val="0"/>
                <w:i w:val="0"/>
                <w:sz w:val="20"/>
              </w:rPr>
              <w:t>API REST</w:t>
            </w:r>
          </w:p>
        </w:tc>
        <w:tc>
          <w:tcPr>
            <w:tcW w:type="dxa" w:w="5669"/>
          </w:tcPr>
          <w:p>
            <w:pPr>
              <w:jc w:val="left"/>
            </w:pPr>
            <w:r>
              <w:rPr>
                <w:rFonts w:ascii="Times New Roman" w:hAnsi="Times New Roman"/>
                <w:b w:val="0"/>
                <w:i w:val="0"/>
                <w:sz w:val="20"/>
              </w:rPr>
              <w:t>Interface de programmation applicative permettant la communication sécurisée entre le frontend et le backend via des requêtes HTTP.</w:t>
            </w:r>
          </w:p>
        </w:tc>
      </w:tr>
      <w:tr>
        <w:tc>
          <w:tcPr>
            <w:tcW w:type="dxa" w:w="2551"/>
          </w:tcPr>
          <w:p>
            <w:pPr>
              <w:jc w:val="left"/>
            </w:pPr>
            <w:r>
              <w:rPr>
                <w:rFonts w:ascii="Times New Roman" w:hAnsi="Times New Roman"/>
                <w:b w:val="0"/>
                <w:i w:val="0"/>
                <w:sz w:val="20"/>
              </w:rPr>
              <w:t>JWT (JSON Web Token)</w:t>
            </w:r>
          </w:p>
        </w:tc>
        <w:tc>
          <w:tcPr>
            <w:tcW w:type="dxa" w:w="5669"/>
          </w:tcPr>
          <w:p>
            <w:pPr>
              <w:jc w:val="left"/>
            </w:pPr>
            <w:r>
              <w:rPr>
                <w:rFonts w:ascii="Times New Roman" w:hAnsi="Times New Roman"/>
                <w:b w:val="0"/>
                <w:i w:val="0"/>
                <w:sz w:val="20"/>
              </w:rPr>
              <w:t>Jeton d'authentification généré lors de la connexion. Durée de validité : 8 heures.</w:t>
            </w:r>
          </w:p>
        </w:tc>
      </w:tr>
      <w:tr>
        <w:tc>
          <w:tcPr>
            <w:tcW w:type="dxa" w:w="2551"/>
          </w:tcPr>
          <w:p>
            <w:pPr>
              <w:jc w:val="left"/>
            </w:pPr>
            <w:r>
              <w:rPr>
                <w:rFonts w:ascii="Times New Roman" w:hAnsi="Times New Roman"/>
                <w:b w:val="0"/>
                <w:i w:val="0"/>
                <w:sz w:val="20"/>
              </w:rPr>
              <w:t>Niveau de complexité</w:t>
            </w:r>
          </w:p>
        </w:tc>
        <w:tc>
          <w:tcPr>
            <w:tcW w:type="dxa" w:w="5669"/>
          </w:tcPr>
          <w:p>
            <w:pPr>
              <w:jc w:val="left"/>
            </w:pPr>
            <w:r>
              <w:rPr>
                <w:rFonts w:ascii="Times New Roman" w:hAnsi="Times New Roman"/>
                <w:b w:val="0"/>
                <w:i w:val="0"/>
                <w:sz w:val="20"/>
              </w:rPr>
              <w:t>Classification en trois niveaux (1, 2, 3) de la ressource produite, déterminée par son degré d'interactivité. Conditionne le coefficient Ic.</w:t>
            </w:r>
          </w:p>
        </w:tc>
      </w:tr>
      <w:tr>
        <w:tc>
          <w:tcPr>
            <w:tcW w:type="dxa" w:w="2551"/>
          </w:tcPr>
          <w:p>
            <w:pPr>
              <w:jc w:val="left"/>
            </w:pPr>
            <w:r>
              <w:rPr>
                <w:rFonts w:ascii="Times New Roman" w:hAnsi="Times New Roman"/>
                <w:b w:val="0"/>
                <w:i w:val="0"/>
                <w:sz w:val="20"/>
              </w:rPr>
              <w:t>Quota statutaire</w:t>
            </w:r>
          </w:p>
        </w:tc>
        <w:tc>
          <w:tcPr>
            <w:tcW w:type="dxa" w:w="5669"/>
          </w:tcPr>
          <w:p>
            <w:pPr>
              <w:jc w:val="left"/>
            </w:pPr>
            <w:r>
              <w:rPr>
                <w:rFonts w:ascii="Times New Roman" w:hAnsi="Times New Roman"/>
                <w:b w:val="0"/>
                <w:i w:val="0"/>
                <w:sz w:val="20"/>
              </w:rPr>
              <w:t>Volume horaire annuel obligatoire défini par le statut et le grade de l'enseignant.</w:t>
            </w:r>
          </w:p>
        </w:tc>
      </w:tr>
      <w:tr>
        <w:tc>
          <w:tcPr>
            <w:tcW w:type="dxa" w:w="2551"/>
          </w:tcPr>
          <w:p>
            <w:pPr>
              <w:jc w:val="left"/>
            </w:pPr>
            <w:r>
              <w:rPr>
                <w:rFonts w:ascii="Times New Roman" w:hAnsi="Times New Roman"/>
                <w:b w:val="0"/>
                <w:i w:val="0"/>
                <w:sz w:val="20"/>
              </w:rPr>
              <w:t>Séquence pédagogique</w:t>
            </w:r>
          </w:p>
        </w:tc>
        <w:tc>
          <w:tcPr>
            <w:tcW w:type="dxa" w:w="5669"/>
          </w:tcPr>
          <w:p>
            <w:pPr>
              <w:jc w:val="left"/>
            </w:pPr>
            <w:r>
              <w:rPr>
                <w:rFonts w:ascii="Times New Roman" w:hAnsi="Times New Roman"/>
                <w:b w:val="0"/>
                <w:i w:val="0"/>
                <w:sz w:val="20"/>
              </w:rPr>
              <w:t>Unité structurelle d'une ressource numérique. Le nombre de séquences (S) est le multiplicateur dans le calcul du volume horaire.</w:t>
            </w:r>
          </w:p>
        </w:tc>
      </w:tr>
      <w:tr>
        <w:tc>
          <w:tcPr>
            <w:tcW w:type="dxa" w:w="2551"/>
          </w:tcPr>
          <w:p>
            <w:pPr>
              <w:jc w:val="left"/>
            </w:pPr>
            <w:r>
              <w:rPr>
                <w:rFonts w:ascii="Times New Roman" w:hAnsi="Times New Roman"/>
                <w:b w:val="0"/>
                <w:i w:val="0"/>
                <w:sz w:val="20"/>
              </w:rPr>
              <w:t>Statut de validation</w:t>
            </w:r>
          </w:p>
        </w:tc>
        <w:tc>
          <w:tcPr>
            <w:tcW w:type="dxa" w:w="5669"/>
          </w:tcPr>
          <w:p>
            <w:pPr>
              <w:jc w:val="left"/>
            </w:pPr>
            <w:r>
              <w:rPr>
                <w:rFonts w:ascii="Times New Roman" w:hAnsi="Times New Roman"/>
                <w:b w:val="0"/>
                <w:i w:val="0"/>
                <w:sz w:val="20"/>
              </w:rPr>
              <w:t>État d'une activité dans le circuit administratif : en attente, validé ou rejeté.</w:t>
            </w:r>
          </w:p>
        </w:tc>
      </w:tr>
      <w:tr>
        <w:tc>
          <w:tcPr>
            <w:tcW w:type="dxa" w:w="2551"/>
          </w:tcPr>
          <w:p>
            <w:pPr>
              <w:jc w:val="left"/>
            </w:pPr>
            <w:r>
              <w:rPr>
                <w:rFonts w:ascii="Times New Roman" w:hAnsi="Times New Roman"/>
                <w:b w:val="0"/>
                <w:i w:val="0"/>
                <w:sz w:val="20"/>
              </w:rPr>
              <w:t>Vhtc</w:t>
            </w:r>
          </w:p>
        </w:tc>
        <w:tc>
          <w:tcPr>
            <w:tcW w:type="dxa" w:w="5669"/>
          </w:tcPr>
          <w:p>
            <w:pPr>
              <w:jc w:val="left"/>
            </w:pPr>
            <w:r>
              <w:rPr>
                <w:rFonts w:ascii="Times New Roman" w:hAnsi="Times New Roman"/>
                <w:b w:val="0"/>
                <w:i w:val="0"/>
                <w:sz w:val="20"/>
              </w:rPr>
              <w:t>Volume Horaire des Travaux de Conception. Résultat de la formule Vhtc = Ic × S, exprimé en heures.</w:t>
            </w:r>
          </w:p>
        </w:tc>
      </w:tr>
      <w:tr>
        <w:tc>
          <w:tcPr>
            <w:tcW w:type="dxa" w:w="2551"/>
          </w:tcPr>
          <w:p>
            <w:pPr>
              <w:jc w:val="left"/>
            </w:pPr>
            <w:r>
              <w:rPr>
                <w:rFonts w:ascii="Times New Roman" w:hAnsi="Times New Roman"/>
                <w:b w:val="0"/>
                <w:i w:val="0"/>
                <w:sz w:val="20"/>
              </w:rPr>
              <w:t>Volume complémentaire</w:t>
            </w:r>
          </w:p>
        </w:tc>
        <w:tc>
          <w:tcPr>
            <w:tcW w:type="dxa" w:w="5669"/>
          </w:tcPr>
          <w:p>
            <w:pPr>
              <w:jc w:val="left"/>
            </w:pPr>
            <w:r>
              <w:rPr>
                <w:rFonts w:ascii="Times New Roman" w:hAnsi="Times New Roman"/>
                <w:b w:val="0"/>
                <w:i w:val="0"/>
                <w:sz w:val="20"/>
              </w:rPr>
              <w:t>Différence entre le volume horaire total validé et le quota statutaire annuel. Sert de base au calcul de la rémunération additionnelle.</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