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0D205" w14:textId="77777777" w:rsidR="00AF76A0" w:rsidRPr="00AF76A0" w:rsidRDefault="00AF76A0" w:rsidP="00AF76A0">
      <w:pPr>
        <w:pStyle w:val="Titre4"/>
      </w:pPr>
      <w:bookmarkStart w:id="0" w:name="_Toc222140207"/>
      <w:r w:rsidRPr="00AF76A0">
        <w:rPr>
          <w:lang w:eastAsia="de-DE"/>
        </w:rPr>
        <w:t xml:space="preserve">II- SCENARIO GLOBAL 1 : TRAJECTOIRE VERS LE DECLIN SYSTEMATIQUE DE LA FILIERE HALIEUTIQUE </w:t>
      </w:r>
      <w:bookmarkEnd w:id="0"/>
      <w:r w:rsidRPr="00AF76A0">
        <w:rPr>
          <w:lang w:eastAsia="de-DE"/>
        </w:rPr>
        <w:t xml:space="preserve"> </w:t>
      </w:r>
    </w:p>
    <w:p w14:paraId="3B65E65A" w14:textId="77777777" w:rsidR="00AF76A0" w:rsidRPr="00AF76A0" w:rsidRDefault="00AF76A0" w:rsidP="00AF76A0">
      <w:pPr>
        <w:ind w:firstLine="0"/>
        <w:rPr>
          <w:rFonts w:ascii="Times New Roman" w:hAnsi="Times New Roman"/>
          <w:sz w:val="24"/>
          <w:szCs w:val="24"/>
        </w:rPr>
      </w:pPr>
    </w:p>
    <w:p w14:paraId="4F42F10C"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Le scénario redouté « </w:t>
      </w:r>
      <w:r w:rsidRPr="00AF76A0">
        <w:rPr>
          <w:rFonts w:ascii="Times New Roman" w:hAnsi="Times New Roman"/>
          <w:i/>
          <w:iCs/>
          <w:sz w:val="24"/>
          <w:szCs w:val="24"/>
        </w:rPr>
        <w:t>Trajectoire vers le déclin systématique de la filière halieutique</w:t>
      </w:r>
      <w:r w:rsidRPr="00AF76A0">
        <w:rPr>
          <w:rFonts w:ascii="Times New Roman" w:hAnsi="Times New Roman"/>
          <w:sz w:val="24"/>
          <w:szCs w:val="24"/>
        </w:rPr>
        <w:t xml:space="preserve"> » : Il décrit une trajectoire de déclin systématique du système. C’est le futur de la « non-décision » et du laisser-faire face aux pressions extractives (orpaillage) et climatiques.</w:t>
      </w:r>
    </w:p>
    <w:p w14:paraId="562637D8" w14:textId="77777777" w:rsidR="00AF76A0" w:rsidRPr="00AF76A0" w:rsidRDefault="00AF76A0" w:rsidP="00AF76A0">
      <w:pPr>
        <w:ind w:firstLine="0"/>
        <w:rPr>
          <w:rFonts w:ascii="Times New Roman" w:hAnsi="Times New Roman"/>
          <w:sz w:val="24"/>
          <w:szCs w:val="24"/>
        </w:rPr>
      </w:pPr>
    </w:p>
    <w:p w14:paraId="1339352F" w14:textId="77777777" w:rsidR="00AF76A0" w:rsidRPr="00AF76A0" w:rsidRDefault="00AF76A0" w:rsidP="00AF76A0">
      <w:pPr>
        <w:pStyle w:val="Titre5"/>
        <w:rPr>
          <w:szCs w:val="24"/>
        </w:rPr>
      </w:pPr>
      <w:bookmarkStart w:id="1" w:name="_Toc222140208"/>
      <w:r w:rsidRPr="00AF76A0">
        <w:rPr>
          <w:szCs w:val="24"/>
        </w:rPr>
        <w:t xml:space="preserve">1- </w:t>
      </w:r>
      <w:bookmarkEnd w:id="1"/>
      <w:r w:rsidRPr="00AF76A0">
        <w:rPr>
          <w:szCs w:val="24"/>
        </w:rPr>
        <w:t>La situation de départ, un équilibre déjà annoncé dans les années 2025</w:t>
      </w:r>
    </w:p>
    <w:p w14:paraId="14BA0C24" w14:textId="77777777" w:rsidR="00AF76A0" w:rsidRPr="00AF76A0" w:rsidRDefault="00AF76A0" w:rsidP="00AF76A0">
      <w:pPr>
        <w:ind w:firstLine="0"/>
        <w:rPr>
          <w:rFonts w:ascii="Times New Roman" w:hAnsi="Times New Roman"/>
        </w:rPr>
      </w:pPr>
    </w:p>
    <w:p w14:paraId="4070802B"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En 2025, bien que l’activité halieutique conserve une apparence de vitalité dans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les signes avant-coureurs d’une crise structurelle étaient déjà visibles pour les acteurs avertis. Le fleuve Bandama et les retenues d’eau des barrages continuent de fournir des volumes de poissons significatifs, mais les pêcheurs, dans leurs entretiens, redoutent déjà une réduction constante des prises par unité d’effort (PUE). Signe encore plus inquiétant, la taille moyenne des captures diminue engendrant ainsi une exploitation massive des juvéniles.</w:t>
      </w:r>
    </w:p>
    <w:p w14:paraId="36F1C937" w14:textId="77777777" w:rsidR="00AF76A0" w:rsidRPr="00AF76A0" w:rsidRDefault="00AF76A0" w:rsidP="00AF76A0">
      <w:pPr>
        <w:ind w:firstLine="0"/>
        <w:rPr>
          <w:rFonts w:ascii="Times New Roman" w:hAnsi="Times New Roman"/>
        </w:rPr>
      </w:pPr>
    </w:p>
    <w:p w14:paraId="74C1036A" w14:textId="77777777" w:rsidR="00AF76A0" w:rsidRPr="00AF76A0" w:rsidRDefault="00AF76A0" w:rsidP="00AF76A0">
      <w:pPr>
        <w:pStyle w:val="Titre6"/>
      </w:pPr>
      <w:r w:rsidRPr="00AF76A0">
        <w:t xml:space="preserve">1.1- Effets de l’orpaillage et des nouvelles pratiques agricoles </w:t>
      </w:r>
    </w:p>
    <w:p w14:paraId="2BAD01CE" w14:textId="77777777" w:rsidR="00AF76A0" w:rsidRPr="00AF76A0" w:rsidRDefault="00AF76A0" w:rsidP="00AF76A0">
      <w:pPr>
        <w:rPr>
          <w:rFonts w:ascii="Times New Roman" w:hAnsi="Times New Roman"/>
        </w:rPr>
      </w:pPr>
    </w:p>
    <w:p w14:paraId="272AFEE6"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En dépit des mesures d’interdiction prise et des règlementations mises en place, l’orpaillage est omniprésent sur les berges et même dans le lit du fleuve. Ces effets accroissent visiblement la turbidité des eaux, affectent la photosynthèse ainsi que la chaîne trophique. Les premières traces de mercure et de cyanures sont détectées dans les sédiments. Malgré les proportions préoccupantes que prennent les effets de cette activité, aucune application effective des mesures, n’est exécutée par les autorités, motivé parfois par le manque de moyens et mais surtout de volonté politique locale. A côté de l’orpaillage, l’agriculture riveraine intensifie l’usage d’intrants chimiques (pesticides, engrais) pour compenser l’appauvrissement des sols, tout en augmentant le ruissellement de polluants vers les plans d’eau.</w:t>
      </w:r>
    </w:p>
    <w:p w14:paraId="378186D6" w14:textId="77777777" w:rsidR="00AF76A0" w:rsidRPr="00AF76A0" w:rsidRDefault="00AF76A0" w:rsidP="00AF76A0">
      <w:pPr>
        <w:rPr>
          <w:rFonts w:ascii="Times New Roman" w:hAnsi="Times New Roman"/>
        </w:rPr>
      </w:pPr>
    </w:p>
    <w:p w14:paraId="7F1E8BF1" w14:textId="77777777" w:rsidR="00AF76A0" w:rsidRPr="00AF76A0" w:rsidRDefault="00AF76A0" w:rsidP="00AF76A0">
      <w:pPr>
        <w:pStyle w:val="Titre6"/>
      </w:pPr>
      <w:r w:rsidRPr="00AF76A0">
        <w:t>1.2- Forte exploitation du fretin et réticence vis-à-vis de l’aquaculture</w:t>
      </w:r>
    </w:p>
    <w:p w14:paraId="51EB9256" w14:textId="77777777" w:rsidR="00AF76A0" w:rsidRPr="00AF76A0" w:rsidRDefault="00AF76A0" w:rsidP="00AF76A0">
      <w:pPr>
        <w:rPr>
          <w:rFonts w:ascii="Times New Roman" w:hAnsi="Times New Roman"/>
        </w:rPr>
      </w:pPr>
    </w:p>
    <w:p w14:paraId="5559DBC3"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Les effets conjugués de l’orpaillage et des pratiques agricoles nouvelles confortent la capture des fretins, faute de gros spécimens. Ainsi, l’usage des techniques de pêche reste majoritairement artisanal et peu sélectif, caractérisé par l’emploi des filets à mailles prohibées (moustiquaires). L’aquaculture venue pour pallier cette situation à des difficultés à obtenir des adhérents. Seuls quelques initiés privés s’essaient dans cette nouvelle aventure. D’ailleurs, ces </w:t>
      </w:r>
      <w:r w:rsidRPr="00AF76A0">
        <w:rPr>
          <w:rFonts w:ascii="Times New Roman" w:hAnsi="Times New Roman"/>
          <w:sz w:val="24"/>
          <w:szCs w:val="24"/>
        </w:rPr>
        <w:lastRenderedPageBreak/>
        <w:t>nouveaux aquaculteurs ne bénéficient d’aucune formation adéquate. Les acteurs de la filière encore réticents perçoivent l’élevage des poissons comme trop coûteux et risqué en comparaison à la cueillette immédiate dans le milieu naturel.</w:t>
      </w:r>
    </w:p>
    <w:p w14:paraId="73509E9B" w14:textId="77777777" w:rsidR="00AF76A0" w:rsidRPr="00AF76A0" w:rsidRDefault="00AF76A0" w:rsidP="00AF76A0">
      <w:pPr>
        <w:rPr>
          <w:rFonts w:ascii="Times New Roman" w:hAnsi="Times New Roman"/>
        </w:rPr>
      </w:pPr>
    </w:p>
    <w:p w14:paraId="76E1872F" w14:textId="77777777" w:rsidR="00AF76A0" w:rsidRPr="00AF76A0" w:rsidRDefault="00AF76A0" w:rsidP="00AF76A0">
      <w:pPr>
        <w:pStyle w:val="Titre6"/>
      </w:pPr>
      <w:r w:rsidRPr="00AF76A0">
        <w:t>1.3- Des commerçantes dans l’océan de la précarité</w:t>
      </w:r>
    </w:p>
    <w:p w14:paraId="450BFF0C" w14:textId="77777777" w:rsidR="00AF76A0" w:rsidRPr="00AF76A0" w:rsidRDefault="00AF76A0" w:rsidP="00AF76A0">
      <w:pPr>
        <w:ind w:firstLine="0"/>
        <w:rPr>
          <w:rFonts w:ascii="Times New Roman" w:hAnsi="Times New Roman"/>
        </w:rPr>
      </w:pPr>
    </w:p>
    <w:p w14:paraId="78445BA1"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Les infrastructures de commercialisation sont en état de dégradation avancé. Les marchés de vente de poisson manquent d’eau potable et surtout de glace. Ainsi, la mauvaise conservation des produits de pêche occasionne de nombreuses pertes post-capture qui s’élèvent à environ 25-30% de la production. Dans une telle situation, c’est une part importante de la valeur ajoutée que se volatilise. Les mareyeuses, piliers de la distribution, opèrent dans une précarité totale. Ces vaillantes femmes ne disposent d’aucun statut professionnel reconnu et sont exclues des circuits de financement formels. Leur activité dépend quasi exclusivement du préfinancement informel accordé par des grossistes urbains ou des usuriers locaux, les enfermant dans une spirale d’endettement continu et angoissant.</w:t>
      </w:r>
    </w:p>
    <w:p w14:paraId="717C1B62" w14:textId="77777777" w:rsidR="00AF76A0" w:rsidRPr="00AF76A0" w:rsidRDefault="00AF76A0" w:rsidP="00AF76A0">
      <w:pPr>
        <w:ind w:firstLine="0"/>
        <w:rPr>
          <w:rFonts w:ascii="Times New Roman" w:hAnsi="Times New Roman"/>
        </w:rPr>
      </w:pPr>
    </w:p>
    <w:p w14:paraId="41336E05" w14:textId="77777777" w:rsidR="00AF76A0" w:rsidRPr="00AF76A0" w:rsidRDefault="00AF76A0" w:rsidP="00AF76A0">
      <w:pPr>
        <w:pStyle w:val="Titre5"/>
        <w:rPr>
          <w:szCs w:val="24"/>
        </w:rPr>
      </w:pPr>
      <w:bookmarkStart w:id="2" w:name="_Toc222140209"/>
      <w:r w:rsidRPr="00AF76A0">
        <w:rPr>
          <w:szCs w:val="24"/>
        </w:rPr>
        <w:t xml:space="preserve">2- </w:t>
      </w:r>
      <w:bookmarkEnd w:id="2"/>
      <w:r w:rsidRPr="00AF76A0">
        <w:rPr>
          <w:szCs w:val="24"/>
        </w:rPr>
        <w:t>Les prémices du déclin (2025-2032)</w:t>
      </w:r>
    </w:p>
    <w:p w14:paraId="6D10938D" w14:textId="77777777" w:rsidR="00AF76A0" w:rsidRPr="00AF76A0" w:rsidRDefault="00AF76A0" w:rsidP="00AF76A0">
      <w:pPr>
        <w:ind w:left="284" w:firstLine="0"/>
        <w:rPr>
          <w:rFonts w:ascii="Times New Roman" w:hAnsi="Times New Roman"/>
        </w:rPr>
      </w:pPr>
    </w:p>
    <w:p w14:paraId="2FF96AFB"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Cette première phase correspond à la mise en place progressive des mécanismes de l’effondrement. C’est la période des « occasions manquées ». Ici, le pouvoir publique se fait remplacer par le silence dans le domaine de la pêche. Ces inactions politiques ajoutées aux attitudes court-termisme des acteurs économiques scellent définitivement le destin de la filière halieutique dans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w:t>
      </w:r>
    </w:p>
    <w:p w14:paraId="0E89E23F" w14:textId="77777777" w:rsidR="00AF76A0" w:rsidRPr="00AF76A0" w:rsidRDefault="00AF76A0" w:rsidP="00AF76A0">
      <w:pPr>
        <w:ind w:left="284" w:firstLine="0"/>
        <w:rPr>
          <w:rFonts w:ascii="Times New Roman" w:hAnsi="Times New Roman"/>
        </w:rPr>
      </w:pPr>
    </w:p>
    <w:p w14:paraId="5AB9542A" w14:textId="77777777" w:rsidR="00AF76A0" w:rsidRPr="00AF76A0" w:rsidRDefault="00AF76A0" w:rsidP="00AF76A0">
      <w:pPr>
        <w:pStyle w:val="Titre6"/>
      </w:pPr>
      <w:r w:rsidRPr="00AF76A0">
        <w:t>2.1- L’aggravation des pressions écologiques</w:t>
      </w:r>
    </w:p>
    <w:p w14:paraId="12DEC1D4" w14:textId="77777777" w:rsidR="00AF76A0" w:rsidRPr="00AF76A0" w:rsidRDefault="00AF76A0" w:rsidP="00AF76A0">
      <w:pPr>
        <w:ind w:firstLine="0"/>
        <w:rPr>
          <w:rFonts w:ascii="Times New Roman" w:hAnsi="Times New Roman"/>
          <w:sz w:val="24"/>
          <w:szCs w:val="24"/>
        </w:rPr>
      </w:pPr>
    </w:p>
    <w:p w14:paraId="06BE8B15" w14:textId="640D1445"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Entre 2025 et 2032, l’extraction aurifère devient l’activité majeur des populations du centre de la Côte d’Ivoire.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xml:space="preserve"> en devient un le pôle central. Les berges du Bandama et des barrages sont </w:t>
      </w:r>
      <w:r w:rsidRPr="00AF76A0">
        <w:rPr>
          <w:rFonts w:ascii="Times New Roman" w:hAnsi="Times New Roman"/>
          <w:sz w:val="24"/>
          <w:szCs w:val="24"/>
        </w:rPr>
        <w:t>infestés</w:t>
      </w:r>
      <w:r w:rsidRPr="00AF76A0">
        <w:rPr>
          <w:rFonts w:ascii="Times New Roman" w:hAnsi="Times New Roman"/>
          <w:sz w:val="24"/>
          <w:szCs w:val="24"/>
        </w:rPr>
        <w:t xml:space="preserve"> d’engins de dragues, détruisant à outrance les frayères et les habitats benthiques. De son côté, la turbidité de l’eau devient fortement exagérée et engendre l’asphyxie progressive mais massive des écosystèmes. Les espèces les plus sensibles (</w:t>
      </w:r>
      <w:proofErr w:type="spellStart"/>
      <w:r w:rsidRPr="00AF76A0">
        <w:rPr>
          <w:rFonts w:ascii="Times New Roman" w:hAnsi="Times New Roman"/>
          <w:sz w:val="24"/>
          <w:szCs w:val="24"/>
        </w:rPr>
        <w:t>Claroteidae</w:t>
      </w:r>
      <w:proofErr w:type="spellEnd"/>
      <w:r w:rsidRPr="00AF76A0">
        <w:rPr>
          <w:rFonts w:ascii="Times New Roman" w:hAnsi="Times New Roman"/>
          <w:sz w:val="24"/>
          <w:szCs w:val="24"/>
        </w:rPr>
        <w:t xml:space="preserve">, </w:t>
      </w:r>
      <w:proofErr w:type="spellStart"/>
      <w:r w:rsidRPr="00AF76A0">
        <w:rPr>
          <w:rFonts w:ascii="Times New Roman" w:hAnsi="Times New Roman"/>
          <w:sz w:val="24"/>
          <w:szCs w:val="24"/>
        </w:rPr>
        <w:t>Mormyridae</w:t>
      </w:r>
      <w:proofErr w:type="spellEnd"/>
      <w:r w:rsidRPr="00AF76A0">
        <w:rPr>
          <w:rFonts w:ascii="Times New Roman" w:hAnsi="Times New Roman"/>
          <w:sz w:val="24"/>
          <w:szCs w:val="24"/>
        </w:rPr>
        <w:t>) se raréfient drastiquement faisant place à d’autres espèces plus résilientes, mais de moindre valeur marchande (Tilapias nains, Clarias).</w:t>
      </w:r>
    </w:p>
    <w:p w14:paraId="56EA466C"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lastRenderedPageBreak/>
        <w:t>Un niveau du climat, deux années de sécheresse sévère (2028-2029) contribue à réduire les quantités d’eau dans les barrages, ce qui rend le niveau de pollution plus aigu.  Il s’en suit donc un épisode de mortalité massive de poissons par manque d’oxygène. Le comble, c’est que ces événements sont traités comme des épie-phénomènes par les autorités, sans une remise en cause structurelle de la gestion du bassin versant.</w:t>
      </w:r>
    </w:p>
    <w:p w14:paraId="749C7400" w14:textId="77777777" w:rsidR="00AF76A0" w:rsidRPr="00AF76A0" w:rsidRDefault="00AF76A0" w:rsidP="00AF76A0">
      <w:pPr>
        <w:spacing w:after="0" w:line="360" w:lineRule="auto"/>
        <w:rPr>
          <w:rFonts w:ascii="Times New Roman" w:hAnsi="Times New Roman"/>
          <w:sz w:val="24"/>
          <w:szCs w:val="24"/>
        </w:rPr>
      </w:pPr>
    </w:p>
    <w:p w14:paraId="311B0AE1" w14:textId="77777777" w:rsidR="00AF76A0" w:rsidRPr="00AF76A0" w:rsidRDefault="00AF76A0" w:rsidP="00AF76A0">
      <w:pPr>
        <w:pStyle w:val="Titre6"/>
      </w:pPr>
      <w:r w:rsidRPr="00AF76A0">
        <w:t>2.2- La fuite en avant technique</w:t>
      </w:r>
    </w:p>
    <w:p w14:paraId="757D1C59" w14:textId="77777777" w:rsidR="00AF76A0" w:rsidRPr="00AF76A0" w:rsidRDefault="00AF76A0" w:rsidP="00AF76A0">
      <w:pPr>
        <w:rPr>
          <w:rFonts w:ascii="Times New Roman" w:hAnsi="Times New Roman"/>
        </w:rPr>
      </w:pPr>
    </w:p>
    <w:p w14:paraId="5BB56E87"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L’environnement de la pêche étant devenu délétère, caractérisé par la faiblesse des rendements, les pêcheurs tentent de s’accrocher pour ne pas perdre la face. Ils adoptent une stratégie de survie destructrice à travers l’intensification de l’effort de pêche. Ils multiplient leurs chances de prises en augmentant le nombre de filets posés. Ces filets sont de mailles inférieures aux normes acceptées par eux-mêmes. L’utilisation de produits toxiques (pesticides agricoles détournés) refait surface et occupe une place de choix dans les pratiques de capture des pêcheurs. En raison de l’insuffisance de dotation dont bénéficie l’administration des pêches, les contrôles sur le terrain sont abandonnés de fait. </w:t>
      </w:r>
    </w:p>
    <w:p w14:paraId="5A5E15F8"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En dehors des filets de capture, l’investissement dans l’outil de production devient une préoccupation secondaire chez les pêcheurs. Les pirogues ne sont plus réparées, forçant un retour de la pêche à la nage qui limite le rayon d’action. L’aquaculture, vue comme une alternative, est définitivement abandonnée après l’échec retentissant d’un projet pilote mal conçu en 2027, miné par une mauvaise utilisation des fonds alloués à l’exécution de ce projet.</w:t>
      </w:r>
    </w:p>
    <w:p w14:paraId="667DBEA2" w14:textId="77777777" w:rsidR="00AF76A0" w:rsidRPr="00AF76A0" w:rsidRDefault="00AF76A0" w:rsidP="00AF76A0">
      <w:pPr>
        <w:spacing w:after="0" w:line="360" w:lineRule="auto"/>
        <w:rPr>
          <w:rFonts w:ascii="Times New Roman" w:hAnsi="Times New Roman"/>
          <w:sz w:val="24"/>
          <w:szCs w:val="24"/>
        </w:rPr>
      </w:pPr>
    </w:p>
    <w:p w14:paraId="01072A24" w14:textId="77777777" w:rsidR="00AF76A0" w:rsidRPr="00AF76A0" w:rsidRDefault="00AF76A0" w:rsidP="00AF76A0">
      <w:pPr>
        <w:pStyle w:val="Titre6"/>
      </w:pPr>
      <w:r w:rsidRPr="00AF76A0">
        <w:t>2.2- La déstructuration commerciale et sociale</w:t>
      </w:r>
    </w:p>
    <w:p w14:paraId="0AE86007" w14:textId="77777777" w:rsidR="00AF76A0" w:rsidRPr="00AF76A0" w:rsidRDefault="00AF76A0" w:rsidP="00AF76A0">
      <w:pPr>
        <w:rPr>
          <w:rFonts w:ascii="Times New Roman" w:hAnsi="Times New Roman"/>
        </w:rPr>
      </w:pPr>
    </w:p>
    <w:p w14:paraId="0FB8A1D2"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Le prolongement direct de la mauvaise performance de la production est naturellement la baisse des volumes débarqués et donc les difficultés d’approvisionnement des mareyeuses. Ce qui engendre une concurrence exacerbée entre les mareyeuses. Sur les marchés locaux, la pénurie fait flamber les prix ponctuellement, mais la qualité médiocre des produits (poissons parfois avariés faute de glace, ou contaminés) détourne les consommateurs urbains vers le poisson-chinchard et le maquereau. Les infrastructures de commercialisation entrent en état de délabrement sans précédent.  Même, la chambre froide installée en 2023 à grand renfort de publicité n’est représentée que par des mûrs aux toits ravagés par des vandales non identifiés. </w:t>
      </w:r>
    </w:p>
    <w:p w14:paraId="3924B9E3"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Dans un tel contexte, l’autonomisation des femmes recule sans laisser une seule lueur d’espoir. Les coopératives embryonnaires explosent sous l’effet des tensions internes motivées </w:t>
      </w:r>
      <w:r w:rsidRPr="00AF76A0">
        <w:rPr>
          <w:rFonts w:ascii="Times New Roman" w:hAnsi="Times New Roman"/>
          <w:sz w:val="24"/>
          <w:szCs w:val="24"/>
        </w:rPr>
        <w:lastRenderedPageBreak/>
        <w:t>par des difficultés de répartition de la ressource déjà trop rare. Les vendeuses les plus fragiles ne parviennent plus à travailler à leur propre compte. Elles exercent comme de simples salariées journalières sous la conduite de quelques grossistes puissantes venues des grandes villes, qui imposent leurs prix. Le rôle social de la femme, garante de la scolarisation et de la santé dans les ménages de pêcheurs, s’effrite avec la chute des revenus.</w:t>
      </w:r>
    </w:p>
    <w:p w14:paraId="50FC0B53" w14:textId="77777777" w:rsidR="00AF76A0" w:rsidRPr="00AF76A0" w:rsidRDefault="00AF76A0" w:rsidP="00AF76A0">
      <w:pPr>
        <w:ind w:left="284" w:firstLine="0"/>
        <w:rPr>
          <w:rFonts w:ascii="Times New Roman" w:hAnsi="Times New Roman"/>
        </w:rPr>
      </w:pPr>
    </w:p>
    <w:p w14:paraId="704B46D1" w14:textId="77777777" w:rsidR="00AF76A0" w:rsidRPr="00AF76A0" w:rsidRDefault="00AF76A0" w:rsidP="00AF76A0">
      <w:pPr>
        <w:pStyle w:val="Titre5"/>
      </w:pPr>
      <w:bookmarkStart w:id="3" w:name="_Toc222140210"/>
      <w:r w:rsidRPr="00AF76A0">
        <w:rPr>
          <w:szCs w:val="24"/>
        </w:rPr>
        <w:t xml:space="preserve">3- </w:t>
      </w:r>
      <w:bookmarkEnd w:id="3"/>
      <w:r w:rsidRPr="00AF76A0">
        <w:t>L’accentuation de la crise et les ruptures (2033-2040)</w:t>
      </w:r>
    </w:p>
    <w:p w14:paraId="12E8ADB3" w14:textId="77777777" w:rsidR="00AF76A0" w:rsidRPr="00AF76A0" w:rsidRDefault="00AF76A0" w:rsidP="00AF76A0">
      <w:pPr>
        <w:ind w:firstLine="0"/>
        <w:rPr>
          <w:rFonts w:ascii="Times New Roman" w:hAnsi="Times New Roman"/>
        </w:rPr>
      </w:pPr>
    </w:p>
    <w:p w14:paraId="035C638E"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L’année 2033 marque la période de turbulence aiguë du système. Les seuils de tolérance écologique et sociale sont franchis. C’est l’ère de la rupture totale.</w:t>
      </w:r>
    </w:p>
    <w:p w14:paraId="0A63E28E" w14:textId="77777777" w:rsidR="00AF76A0" w:rsidRPr="00AF76A0" w:rsidRDefault="00AF76A0" w:rsidP="00AF76A0">
      <w:pPr>
        <w:ind w:firstLine="0"/>
        <w:rPr>
          <w:rFonts w:ascii="Times New Roman" w:hAnsi="Times New Roman"/>
        </w:rPr>
      </w:pPr>
    </w:p>
    <w:p w14:paraId="34F71C41" w14:textId="77777777" w:rsidR="00AF76A0" w:rsidRPr="00AF76A0" w:rsidRDefault="00AF76A0" w:rsidP="00AF76A0">
      <w:pPr>
        <w:pStyle w:val="Titre6"/>
      </w:pPr>
      <w:r w:rsidRPr="00AF76A0">
        <w:t>3.1- L’effondrement des stocks et la crise sanitaire</w:t>
      </w:r>
    </w:p>
    <w:p w14:paraId="0703CC13" w14:textId="77777777" w:rsidR="00AF76A0" w:rsidRPr="00AF76A0" w:rsidRDefault="00AF76A0" w:rsidP="00AF76A0">
      <w:pPr>
        <w:rPr>
          <w:rFonts w:ascii="Times New Roman" w:hAnsi="Times New Roman"/>
        </w:rPr>
      </w:pPr>
    </w:p>
    <w:p w14:paraId="37B89BF1"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Vers 2035 des catastrophes éclatent dans la filière halieutique du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xml:space="preserve">. Des chercheurs démontent le recul des stocks halieutiques du Bandama dans la zone des </w:t>
      </w:r>
      <w:proofErr w:type="spellStart"/>
      <w:r w:rsidRPr="00AF76A0">
        <w:rPr>
          <w:rFonts w:ascii="Times New Roman" w:hAnsi="Times New Roman"/>
          <w:sz w:val="24"/>
          <w:szCs w:val="24"/>
        </w:rPr>
        <w:t>Kôdês</w:t>
      </w:r>
      <w:proofErr w:type="spellEnd"/>
      <w:r w:rsidRPr="00AF76A0">
        <w:rPr>
          <w:rFonts w:ascii="Times New Roman" w:hAnsi="Times New Roman"/>
          <w:sz w:val="24"/>
          <w:szCs w:val="24"/>
        </w:rPr>
        <w:t xml:space="preserve">. L’ampleur du drame se caractérise par une chute de la biomasse exploitée estimée à 70% par rapport à l’année 2025. La portion du Bandama qui travers notre zone d’étude est qualifié de « biologiquement moribond » sur plusieurs tronçons. Cette chute de la biomasse s’accompagne d’une crise sanitaire majeure qui se prolonge jusqu’en 2036. Chez des populations riveraines consommatrices de poisson local, des cas d’intoxication au mercure et aux métaux lourds sont diagnostiqués. La campagne médiatique qui s’en suit pousse les autorités à prendre des mesures d’interdiction temporaire de la pêche et de la consommation du poisson issu des eaux de cette zone. Ce qui porte un coup fatal à la réputation des produits du terroir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w:t>
      </w:r>
    </w:p>
    <w:p w14:paraId="40433861" w14:textId="77777777" w:rsidR="00AF76A0" w:rsidRPr="00AF76A0" w:rsidRDefault="00AF76A0" w:rsidP="00AF76A0">
      <w:pPr>
        <w:ind w:firstLine="0"/>
        <w:rPr>
          <w:rFonts w:ascii="Times New Roman" w:hAnsi="Times New Roman"/>
        </w:rPr>
      </w:pPr>
    </w:p>
    <w:p w14:paraId="6DD6B42E" w14:textId="77777777" w:rsidR="00AF76A0" w:rsidRPr="00AF76A0" w:rsidRDefault="00AF76A0" w:rsidP="00AF76A0">
      <w:pPr>
        <w:pStyle w:val="Titre6"/>
      </w:pPr>
      <w:r w:rsidRPr="00AF76A0">
        <w:t>3.2- L’exode et la mutation socio-économique</w:t>
      </w:r>
    </w:p>
    <w:p w14:paraId="60CB4BD5" w14:textId="77777777" w:rsidR="00AF76A0" w:rsidRPr="00AF76A0" w:rsidRDefault="00AF76A0" w:rsidP="00AF76A0">
      <w:pPr>
        <w:ind w:firstLine="0"/>
        <w:rPr>
          <w:rFonts w:ascii="Times New Roman" w:hAnsi="Times New Roman"/>
        </w:rPr>
      </w:pPr>
    </w:p>
    <w:p w14:paraId="722925C8"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Sans moyen de subsistance, en raison de la stérilité proclamée du fleuve Bandama, les pêcheurs abandonnent massivement le métier. Une frange de la jeunesse migre vers les villes comme Bouaké et Abidjan pour grossir les rangs du secteur informel urbain. Une autre partie, plus dramatique, se reconvertit dans l’activité à l’origine de leur déclin : l’orpaillage clandestin. De ce fait, ils deviennent eux-mêmes des agents de destruction très nocifs de leur propre environnement. D’autres de pêcheurs non nationaux retrouvent le chemin de retour de leur nation tandis que certains transforment leurs campements en bases arrière pour les orpailleurs.</w:t>
      </w:r>
    </w:p>
    <w:p w14:paraId="2F9B7014"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lastRenderedPageBreak/>
        <w:t xml:space="preserve">Les conflits d’usage s’intensifies et deviennent extrêmement violents. Des affrontements armés éclatent périodiquement opposant les communautés riveraines agricoles et les orpailleurs (souvent allogènes) pour le contrôle des terres et de l’accès à l’eau, désormais trop polluée pour l’irrigation ou l’abreuvement bétail. L’autorité de l’État s’estompe et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xml:space="preserve"> devient une zone non-droit.</w:t>
      </w:r>
    </w:p>
    <w:p w14:paraId="79278402" w14:textId="77777777" w:rsidR="00AF76A0" w:rsidRPr="00AF76A0" w:rsidRDefault="00AF76A0" w:rsidP="00AF76A0">
      <w:pPr>
        <w:ind w:firstLine="0"/>
        <w:rPr>
          <w:rFonts w:ascii="Times New Roman" w:hAnsi="Times New Roman"/>
        </w:rPr>
      </w:pPr>
    </w:p>
    <w:p w14:paraId="7C002B45" w14:textId="77777777" w:rsidR="00AF76A0" w:rsidRPr="00AF76A0" w:rsidRDefault="00AF76A0" w:rsidP="00AF76A0">
      <w:pPr>
        <w:pStyle w:val="Titre6"/>
      </w:pPr>
      <w:r w:rsidRPr="00AF76A0">
        <w:t>3.3- La domination de l’importation</w:t>
      </w:r>
    </w:p>
    <w:p w14:paraId="2D8901A9" w14:textId="77777777" w:rsidR="00AF76A0" w:rsidRPr="00AF76A0" w:rsidRDefault="00AF76A0" w:rsidP="00AF76A0">
      <w:pPr>
        <w:rPr>
          <w:rFonts w:ascii="Times New Roman" w:hAnsi="Times New Roman"/>
        </w:rPr>
      </w:pPr>
    </w:p>
    <w:p w14:paraId="7C117327"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Sur les marchés de poissons du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le poisson frais local devient une denrée à une posture de dualité : il est soit une denrée de luxe rare, soit un produit de contrebande sanitaire douteuse. La consommation locale s’oriente quasi intégralement vers le poisson congelé importé (Tilapia de Chine, chinchard). Ainsi, les circuits commerciaux sont désormais aux-mains des grands importateurs nationaux. Les anciennes mareyeuses locales perdent leur légers d’en tant sont reléguées au rang de détaillantes de poisson décongelé, avec des marges bénéficiaires infimes. Elles perdent toute autonomie économique et toute capacité d’investissement.</w:t>
      </w:r>
    </w:p>
    <w:p w14:paraId="447B994D" w14:textId="77777777" w:rsidR="00AF76A0" w:rsidRPr="00AF76A0" w:rsidRDefault="00AF76A0" w:rsidP="00AF76A0">
      <w:pPr>
        <w:spacing w:after="0" w:line="360" w:lineRule="auto"/>
        <w:rPr>
          <w:rFonts w:ascii="Times New Roman" w:hAnsi="Times New Roman"/>
          <w:sz w:val="24"/>
          <w:szCs w:val="24"/>
        </w:rPr>
      </w:pPr>
    </w:p>
    <w:p w14:paraId="54B4FBCF" w14:textId="77777777" w:rsidR="00AF76A0" w:rsidRPr="00AF76A0" w:rsidRDefault="00AF76A0" w:rsidP="00AF76A0">
      <w:pPr>
        <w:pStyle w:val="Titre5"/>
      </w:pPr>
      <w:bookmarkStart w:id="4" w:name="_Toc222140211"/>
      <w:r w:rsidRPr="00AF76A0">
        <w:rPr>
          <w:szCs w:val="24"/>
        </w:rPr>
        <w:t xml:space="preserve">4- </w:t>
      </w:r>
      <w:bookmarkEnd w:id="4"/>
      <w:r w:rsidRPr="00AF76A0">
        <w:t xml:space="preserve">Le point de non-retour (2041-2050)  </w:t>
      </w:r>
    </w:p>
    <w:p w14:paraId="3E2D1010" w14:textId="77777777" w:rsidR="00AF76A0" w:rsidRPr="00AF76A0" w:rsidRDefault="00AF76A0" w:rsidP="00AF76A0">
      <w:pPr>
        <w:ind w:left="284" w:firstLine="0"/>
        <w:rPr>
          <w:rFonts w:ascii="Times New Roman" w:hAnsi="Times New Roman"/>
        </w:rPr>
      </w:pPr>
    </w:p>
    <w:p w14:paraId="61CE03D0"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La dernière décennie du scénario consacre la mort clinique de la filière halieutique traditionnelle du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Le territoire passe d’une vocation de production halieutique vers un espace de production vivrière à une zone extractive sinistrée.</w:t>
      </w:r>
    </w:p>
    <w:p w14:paraId="37751FC6" w14:textId="77777777" w:rsidR="00AF76A0" w:rsidRPr="00AF76A0" w:rsidRDefault="00AF76A0" w:rsidP="00AF76A0">
      <w:pPr>
        <w:ind w:left="284" w:firstLine="0"/>
        <w:rPr>
          <w:rFonts w:ascii="Times New Roman" w:hAnsi="Times New Roman"/>
        </w:rPr>
      </w:pPr>
    </w:p>
    <w:p w14:paraId="2350C746" w14:textId="77777777" w:rsidR="00AF76A0" w:rsidRPr="00AF76A0" w:rsidRDefault="00AF76A0" w:rsidP="00AF76A0">
      <w:pPr>
        <w:pStyle w:val="Titre6"/>
      </w:pPr>
      <w:r w:rsidRPr="00AF76A0">
        <w:t>4.1- Un écosystème aquatique stérile</w:t>
      </w:r>
    </w:p>
    <w:p w14:paraId="6CF981D3" w14:textId="77777777" w:rsidR="00AF76A0" w:rsidRPr="00AF76A0" w:rsidRDefault="00AF76A0" w:rsidP="00AF76A0">
      <w:pPr>
        <w:ind w:firstLine="0"/>
        <w:rPr>
          <w:rFonts w:ascii="Times New Roman" w:hAnsi="Times New Roman"/>
        </w:rPr>
      </w:pPr>
    </w:p>
    <w:p w14:paraId="3AF65ABD" w14:textId="0776B607" w:rsid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En 2045, le fleuve Bandama dans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xml:space="preserve"> ne représente qu’une large vallée abritant des boues minières et des effluents agricoles. Ses pensionnaires aquatiques encore existant ne sont que quelques espèces invasives et ultra-résistantes, dont la consommation n’effleure l’esprit des populations. Les services d’épuration de l’eau, de régulation des crues ne sont plus représentés. Les populations sont laissées à leur propre sort quant au règlement des questions d’inondations.</w:t>
      </w:r>
    </w:p>
    <w:p w14:paraId="7031DE2A" w14:textId="3D521A1B" w:rsidR="007D25E2" w:rsidRDefault="007D25E2" w:rsidP="00AF76A0">
      <w:pPr>
        <w:spacing w:after="0" w:line="360" w:lineRule="auto"/>
        <w:rPr>
          <w:rFonts w:ascii="Times New Roman" w:hAnsi="Times New Roman"/>
          <w:sz w:val="24"/>
          <w:szCs w:val="24"/>
        </w:rPr>
      </w:pPr>
    </w:p>
    <w:p w14:paraId="11C04285" w14:textId="77777777" w:rsidR="007D25E2" w:rsidRPr="00AF76A0" w:rsidRDefault="007D25E2" w:rsidP="00AF76A0">
      <w:pPr>
        <w:spacing w:after="0" w:line="360" w:lineRule="auto"/>
        <w:rPr>
          <w:rFonts w:ascii="Times New Roman" w:hAnsi="Times New Roman"/>
          <w:sz w:val="24"/>
          <w:szCs w:val="24"/>
        </w:rPr>
      </w:pPr>
    </w:p>
    <w:p w14:paraId="1803CB78" w14:textId="77777777" w:rsidR="00AF76A0" w:rsidRPr="00AF76A0" w:rsidRDefault="00AF76A0" w:rsidP="00AF76A0">
      <w:pPr>
        <w:spacing w:after="0" w:line="360" w:lineRule="auto"/>
        <w:rPr>
          <w:rFonts w:ascii="Times New Roman" w:hAnsi="Times New Roman"/>
          <w:sz w:val="24"/>
          <w:szCs w:val="24"/>
        </w:rPr>
      </w:pPr>
    </w:p>
    <w:p w14:paraId="71DD0098" w14:textId="77777777" w:rsidR="00AF76A0" w:rsidRPr="00AF76A0" w:rsidRDefault="00AF76A0" w:rsidP="00AF76A0">
      <w:pPr>
        <w:pStyle w:val="Titre6"/>
      </w:pPr>
      <w:r w:rsidRPr="00AF76A0">
        <w:lastRenderedPageBreak/>
        <w:t>4.2- La disparition de la culture halieutique</w:t>
      </w:r>
    </w:p>
    <w:p w14:paraId="466CC579" w14:textId="77777777" w:rsidR="00AF76A0" w:rsidRPr="00AF76A0" w:rsidRDefault="00AF76A0" w:rsidP="00AF76A0">
      <w:pPr>
        <w:ind w:firstLine="0"/>
        <w:rPr>
          <w:rFonts w:ascii="Times New Roman" w:hAnsi="Times New Roman"/>
        </w:rPr>
      </w:pPr>
    </w:p>
    <w:p w14:paraId="55E08F58"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A l’horizon 2050, l’activité de pêche ne vie que dans ses cendres. Le savoir-faire ancestral des pêcheurs Bozo et autochtones s’est perdu, faute de transmission aux nouvelles générations. Les engins de pêche, qui matérialisaient les lieux de pêche, ont disparu du paysage. En lieux et place se trouvent des motopompes et des concasseurs de minerai. L’identité culturelle du peuple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intimement liée à l’eau et au poisson, surtout le poisson carpe est profondément dégradée.</w:t>
      </w:r>
    </w:p>
    <w:p w14:paraId="22E7FB63" w14:textId="77777777" w:rsidR="00AF76A0" w:rsidRPr="00AF76A0" w:rsidRDefault="00AF76A0" w:rsidP="00AF76A0">
      <w:pPr>
        <w:ind w:firstLine="0"/>
        <w:rPr>
          <w:rFonts w:ascii="Times New Roman" w:hAnsi="Times New Roman"/>
        </w:rPr>
      </w:pPr>
    </w:p>
    <w:p w14:paraId="38A3C554" w14:textId="77777777" w:rsidR="00AF76A0" w:rsidRPr="00AF76A0" w:rsidRDefault="00AF76A0" w:rsidP="00AF76A0">
      <w:pPr>
        <w:pStyle w:val="Titre6"/>
      </w:pPr>
      <w:r w:rsidRPr="00AF76A0">
        <w:t>4.3- Marginalisation sociale extrême</w:t>
      </w:r>
    </w:p>
    <w:p w14:paraId="7DD6027A" w14:textId="77777777" w:rsidR="00AF76A0" w:rsidRPr="00AF76A0" w:rsidRDefault="00AF76A0" w:rsidP="00AF76A0">
      <w:pPr>
        <w:ind w:left="284" w:firstLine="0"/>
        <w:rPr>
          <w:rFonts w:ascii="Times New Roman" w:hAnsi="Times New Roman"/>
        </w:rPr>
      </w:pPr>
    </w:p>
    <w:p w14:paraId="1629EFCB"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Les Mareyeuses anciennement au cœur de l’économie locale en raison de la relative prospérité de leur activité de vente de poissons ne sont l’ombre d’elles-mêmes. Leur paupérisation est massive. Les enfants des anciens villages de pêcheurs ne parviennent plus à prendre le chemin de l’école. Aussi, l’insécurité alimentaire y est chronique.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xml:space="preserve"> est ainsi devenu une poche de pauvreté assistée, dépendante de l’aide humanitaire ou des transferts d’argent de la diaspora pour se nourrir.</w:t>
      </w:r>
    </w:p>
    <w:p w14:paraId="61E100C2" w14:textId="77777777" w:rsidR="00AF76A0" w:rsidRPr="00AF76A0" w:rsidRDefault="00AF76A0" w:rsidP="00AF76A0">
      <w:pPr>
        <w:ind w:left="284" w:firstLine="0"/>
        <w:rPr>
          <w:rFonts w:ascii="Times New Roman" w:hAnsi="Times New Roman"/>
          <w:sz w:val="12"/>
          <w:szCs w:val="12"/>
        </w:rPr>
      </w:pPr>
    </w:p>
    <w:p w14:paraId="0FE6ED4B" w14:textId="61167472" w:rsidR="00AF76A0" w:rsidRPr="00AF76A0" w:rsidRDefault="00AF76A0" w:rsidP="00AF76A0">
      <w:pPr>
        <w:pStyle w:val="Titre5"/>
      </w:pPr>
      <w:r w:rsidRPr="00AF76A0">
        <w:rPr>
          <w:szCs w:val="24"/>
        </w:rPr>
        <w:t xml:space="preserve">5- </w:t>
      </w:r>
      <w:r w:rsidRPr="00AF76A0">
        <w:t xml:space="preserve">Image final </w:t>
      </w:r>
      <w:r w:rsidR="00E9303E">
        <w:t xml:space="preserve">redoutée </w:t>
      </w:r>
      <w:r w:rsidRPr="00AF76A0">
        <w:t xml:space="preserve">à l’horizon 2050  </w:t>
      </w:r>
    </w:p>
    <w:p w14:paraId="292A0F6B" w14:textId="77777777" w:rsidR="00AF76A0" w:rsidRPr="00AF76A0" w:rsidRDefault="00AF76A0" w:rsidP="00AF76A0">
      <w:pPr>
        <w:ind w:firstLine="0"/>
        <w:rPr>
          <w:rFonts w:ascii="Times New Roman" w:hAnsi="Times New Roman"/>
          <w:sz w:val="24"/>
          <w:szCs w:val="24"/>
          <w:lang w:eastAsia="de-DE"/>
        </w:rPr>
      </w:pPr>
    </w:p>
    <w:p w14:paraId="4D9E460D" w14:textId="77777777" w:rsidR="00AF76A0" w:rsidRPr="00AF76A0" w:rsidRDefault="00AF76A0" w:rsidP="00AF76A0">
      <w:pPr>
        <w:spacing w:after="0" w:line="360" w:lineRule="auto"/>
        <w:rPr>
          <w:rFonts w:ascii="Times New Roman" w:hAnsi="Times New Roman"/>
          <w:sz w:val="24"/>
          <w:szCs w:val="24"/>
        </w:rPr>
      </w:pPr>
      <w:r w:rsidRPr="00AF76A0">
        <w:rPr>
          <w:rFonts w:ascii="Times New Roman" w:hAnsi="Times New Roman"/>
          <w:sz w:val="24"/>
          <w:szCs w:val="24"/>
        </w:rPr>
        <w:t xml:space="preserve">En 2050, le canton </w:t>
      </w:r>
      <w:proofErr w:type="spellStart"/>
      <w:r w:rsidRPr="00AF76A0">
        <w:rPr>
          <w:rFonts w:ascii="Times New Roman" w:hAnsi="Times New Roman"/>
          <w:sz w:val="24"/>
          <w:szCs w:val="24"/>
        </w:rPr>
        <w:t>Kôdê</w:t>
      </w:r>
      <w:proofErr w:type="spellEnd"/>
      <w:r w:rsidRPr="00AF76A0">
        <w:rPr>
          <w:rFonts w:ascii="Times New Roman" w:hAnsi="Times New Roman"/>
          <w:sz w:val="24"/>
          <w:szCs w:val="24"/>
        </w:rPr>
        <w:t xml:space="preserve"> se présente comme une oasis de pauvre au visage désolé d’un « paradis perdu ». La mélancolie a remplacé l’animation des débarcadères. Le fleuve, autrefois source de vie « Bandama la mère nourricière », est devenu une source de danger toxicologique. La filière halieutique n’est plus qu’un souvenir historique. L’économie locale est basée sur une rente aurifère volatile et prédatrice qui ne profite qu’à une minorité et qui laissera, une fois le filon épuisé, un désert écologique. Comment parler alors d’autonomisation des femmes ? Ce scénario du pire démontre que sans régulation des usages et sans protection de la ressource, la durabilité n’est pas un acquis. La durabilité est, un investissement qui exige des communautés un entretien, un suivi, donc une conquête permanente.</w:t>
      </w:r>
    </w:p>
    <w:p w14:paraId="4BF233D1" w14:textId="77777777" w:rsidR="00AF76A0" w:rsidRPr="00AF76A0" w:rsidRDefault="00AF76A0" w:rsidP="00AF76A0">
      <w:pPr>
        <w:spacing w:after="0" w:line="360" w:lineRule="auto"/>
        <w:rPr>
          <w:rFonts w:ascii="Times New Roman" w:hAnsi="Times New Roman"/>
          <w:sz w:val="24"/>
          <w:szCs w:val="24"/>
        </w:rPr>
      </w:pPr>
    </w:p>
    <w:sectPr w:rsidR="00AF76A0" w:rsidRPr="00AF76A0" w:rsidSect="007D25E2">
      <w:footerReference w:type="default" r:id="rId6"/>
      <w:pgSz w:w="11920" w:h="16860"/>
      <w:pgMar w:top="1418"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21B3F" w14:textId="77777777" w:rsidR="00DE4532" w:rsidRDefault="00DE4532" w:rsidP="0040130E">
      <w:pPr>
        <w:spacing w:after="0" w:line="240" w:lineRule="auto"/>
      </w:pPr>
      <w:r>
        <w:separator/>
      </w:r>
    </w:p>
  </w:endnote>
  <w:endnote w:type="continuationSeparator" w:id="0">
    <w:p w14:paraId="4B315419" w14:textId="77777777" w:rsidR="00DE4532" w:rsidRDefault="00DE4532" w:rsidP="004013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197254"/>
      <w:docPartObj>
        <w:docPartGallery w:val="Page Numbers (Bottom of Page)"/>
        <w:docPartUnique/>
      </w:docPartObj>
    </w:sdtPr>
    <w:sdtContent>
      <w:sdt>
        <w:sdtPr>
          <w:id w:val="-1769616900"/>
          <w:docPartObj>
            <w:docPartGallery w:val="Page Numbers (Top of Page)"/>
            <w:docPartUnique/>
          </w:docPartObj>
        </w:sdtPr>
        <w:sdtContent>
          <w:p w14:paraId="29CE1417" w14:textId="3A61934F" w:rsidR="00E9303E" w:rsidRDefault="00E9303E">
            <w:pPr>
              <w:pStyle w:val="Pieddepage"/>
              <w:jc w:val="right"/>
            </w:pPr>
            <w:r>
              <w:rPr>
                <w:lang w:val="fr-FR"/>
              </w:rPr>
              <w:t xml:space="preserve">Page </w:t>
            </w:r>
            <w:r>
              <w:rPr>
                <w:b/>
                <w:bCs/>
                <w:sz w:val="24"/>
                <w:szCs w:val="24"/>
              </w:rPr>
              <w:fldChar w:fldCharType="begin"/>
            </w:r>
            <w:r>
              <w:rPr>
                <w:b/>
                <w:bCs/>
              </w:rPr>
              <w:instrText>PAGE</w:instrText>
            </w:r>
            <w:r>
              <w:rPr>
                <w:b/>
                <w:bCs/>
                <w:sz w:val="24"/>
                <w:szCs w:val="24"/>
              </w:rPr>
              <w:fldChar w:fldCharType="separate"/>
            </w:r>
            <w:r>
              <w:rPr>
                <w:b/>
                <w:bCs/>
                <w:lang w:val="fr-FR"/>
              </w:rPr>
              <w:t>2</w:t>
            </w:r>
            <w:r>
              <w:rPr>
                <w:b/>
                <w:bCs/>
                <w:sz w:val="24"/>
                <w:szCs w:val="24"/>
              </w:rPr>
              <w:fldChar w:fldCharType="end"/>
            </w:r>
            <w:r>
              <w:rPr>
                <w:lang w:val="fr-FR"/>
              </w:rPr>
              <w:t xml:space="preserve"> sur </w:t>
            </w:r>
            <w:r>
              <w:rPr>
                <w:b/>
                <w:bCs/>
                <w:sz w:val="24"/>
                <w:szCs w:val="24"/>
              </w:rPr>
              <w:fldChar w:fldCharType="begin"/>
            </w:r>
            <w:r>
              <w:rPr>
                <w:b/>
                <w:bCs/>
              </w:rPr>
              <w:instrText>NUMPAGES</w:instrText>
            </w:r>
            <w:r>
              <w:rPr>
                <w:b/>
                <w:bCs/>
                <w:sz w:val="24"/>
                <w:szCs w:val="24"/>
              </w:rPr>
              <w:fldChar w:fldCharType="separate"/>
            </w:r>
            <w:r>
              <w:rPr>
                <w:b/>
                <w:bCs/>
                <w:lang w:val="fr-FR"/>
              </w:rPr>
              <w:t>2</w:t>
            </w:r>
            <w:r>
              <w:rPr>
                <w:b/>
                <w:bCs/>
                <w:sz w:val="24"/>
                <w:szCs w:val="24"/>
              </w:rPr>
              <w:fldChar w:fldCharType="end"/>
            </w:r>
          </w:p>
        </w:sdtContent>
      </w:sdt>
    </w:sdtContent>
  </w:sdt>
  <w:p w14:paraId="42DA1FD2" w14:textId="77777777" w:rsidR="00E9303E" w:rsidRDefault="00E9303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6D3F2B" w14:textId="77777777" w:rsidR="00DE4532" w:rsidRDefault="00DE4532" w:rsidP="0040130E">
      <w:pPr>
        <w:spacing w:after="0" w:line="240" w:lineRule="auto"/>
      </w:pPr>
      <w:r>
        <w:separator/>
      </w:r>
    </w:p>
  </w:footnote>
  <w:footnote w:type="continuationSeparator" w:id="0">
    <w:p w14:paraId="69B9DD73" w14:textId="77777777" w:rsidR="00DE4532" w:rsidRDefault="00DE4532" w:rsidP="0040130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9C8"/>
    <w:rsid w:val="000639D9"/>
    <w:rsid w:val="00084CED"/>
    <w:rsid w:val="00097261"/>
    <w:rsid w:val="00111D22"/>
    <w:rsid w:val="00112851"/>
    <w:rsid w:val="001275B1"/>
    <w:rsid w:val="001F7E8D"/>
    <w:rsid w:val="00207930"/>
    <w:rsid w:val="0025510A"/>
    <w:rsid w:val="002A3B05"/>
    <w:rsid w:val="002C5940"/>
    <w:rsid w:val="003945FB"/>
    <w:rsid w:val="003A0156"/>
    <w:rsid w:val="003D026C"/>
    <w:rsid w:val="003F6688"/>
    <w:rsid w:val="0040130E"/>
    <w:rsid w:val="004476E6"/>
    <w:rsid w:val="00451653"/>
    <w:rsid w:val="00465032"/>
    <w:rsid w:val="00511ECD"/>
    <w:rsid w:val="00516335"/>
    <w:rsid w:val="00553237"/>
    <w:rsid w:val="00587BA5"/>
    <w:rsid w:val="005A1972"/>
    <w:rsid w:val="005F0A2E"/>
    <w:rsid w:val="006E57CE"/>
    <w:rsid w:val="00734863"/>
    <w:rsid w:val="007639C8"/>
    <w:rsid w:val="007B2D03"/>
    <w:rsid w:val="007C79B5"/>
    <w:rsid w:val="007D25E2"/>
    <w:rsid w:val="00893D88"/>
    <w:rsid w:val="008A70B4"/>
    <w:rsid w:val="008F0720"/>
    <w:rsid w:val="009105FE"/>
    <w:rsid w:val="00945D4A"/>
    <w:rsid w:val="00966F16"/>
    <w:rsid w:val="00A2664C"/>
    <w:rsid w:val="00A61D75"/>
    <w:rsid w:val="00A777CB"/>
    <w:rsid w:val="00AF76A0"/>
    <w:rsid w:val="00B77836"/>
    <w:rsid w:val="00BA1597"/>
    <w:rsid w:val="00BB62D2"/>
    <w:rsid w:val="00C31F91"/>
    <w:rsid w:val="00C36565"/>
    <w:rsid w:val="00CB6BF6"/>
    <w:rsid w:val="00D15A38"/>
    <w:rsid w:val="00DE4532"/>
    <w:rsid w:val="00DF41CB"/>
    <w:rsid w:val="00E111D6"/>
    <w:rsid w:val="00E45AE2"/>
    <w:rsid w:val="00E9303E"/>
    <w:rsid w:val="00EE59AC"/>
    <w:rsid w:val="00EE5CD6"/>
    <w:rsid w:val="00F262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9CA6"/>
  <w15:chartTrackingRefBased/>
  <w15:docId w15:val="{0CFF8EA3-A7FA-41F7-BD90-5C6C13E54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6A0"/>
    <w:pPr>
      <w:ind w:firstLine="284"/>
      <w:jc w:val="both"/>
    </w:pPr>
    <w:rPr>
      <w:rFonts w:ascii="Calibri" w:eastAsia="Calibri" w:hAnsi="Calibri" w:cs="Times New Roman"/>
      <w:kern w:val="0"/>
      <w14:ligatures w14:val="none"/>
    </w:rPr>
  </w:style>
  <w:style w:type="paragraph" w:styleId="Titre4">
    <w:name w:val="heading 4"/>
    <w:basedOn w:val="Normal"/>
    <w:next w:val="Normal"/>
    <w:link w:val="Titre4Car"/>
    <w:uiPriority w:val="9"/>
    <w:unhideWhenUsed/>
    <w:qFormat/>
    <w:rsid w:val="00AF76A0"/>
    <w:pPr>
      <w:keepNext/>
      <w:keepLines/>
      <w:spacing w:after="0" w:line="240" w:lineRule="auto"/>
      <w:ind w:firstLine="0"/>
      <w:outlineLvl w:val="3"/>
    </w:pPr>
    <w:rPr>
      <w:rFonts w:ascii="Times New Roman" w:eastAsia="Times New Roman" w:hAnsi="Times New Roman"/>
      <w:b/>
      <w:iCs/>
      <w:color w:val="000000"/>
      <w:sz w:val="24"/>
    </w:rPr>
  </w:style>
  <w:style w:type="paragraph" w:styleId="Titre5">
    <w:name w:val="heading 5"/>
    <w:basedOn w:val="Normal"/>
    <w:next w:val="Normal"/>
    <w:link w:val="Titre5Car"/>
    <w:uiPriority w:val="9"/>
    <w:unhideWhenUsed/>
    <w:qFormat/>
    <w:rsid w:val="00AF76A0"/>
    <w:pPr>
      <w:keepNext/>
      <w:keepLines/>
      <w:spacing w:after="0" w:line="240" w:lineRule="auto"/>
      <w:ind w:left="284" w:firstLine="0"/>
      <w:outlineLvl w:val="4"/>
    </w:pPr>
    <w:rPr>
      <w:rFonts w:ascii="Times New Roman" w:eastAsia="Times New Roman" w:hAnsi="Times New Roman"/>
      <w:b/>
      <w:color w:val="000000"/>
      <w:sz w:val="24"/>
    </w:rPr>
  </w:style>
  <w:style w:type="paragraph" w:styleId="Titre6">
    <w:name w:val="heading 6"/>
    <w:basedOn w:val="Normal"/>
    <w:next w:val="Normal"/>
    <w:link w:val="Titre6Car"/>
    <w:uiPriority w:val="9"/>
    <w:unhideWhenUsed/>
    <w:qFormat/>
    <w:rsid w:val="00AF76A0"/>
    <w:pPr>
      <w:keepNext/>
      <w:keepLines/>
      <w:spacing w:after="0" w:line="240" w:lineRule="auto"/>
      <w:ind w:left="567" w:firstLine="0"/>
      <w:outlineLvl w:val="5"/>
    </w:pPr>
    <w:rPr>
      <w:rFonts w:ascii="Times New Roman" w:eastAsia="Times New Roman" w:hAnsi="Times New Roman"/>
      <w:b/>
      <w:color w:val="000000"/>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uiPriority w:val="1"/>
    <w:qFormat/>
    <w:rsid w:val="007639C8"/>
    <w:pPr>
      <w:widowControl w:val="0"/>
      <w:autoSpaceDE w:val="0"/>
      <w:autoSpaceDN w:val="0"/>
      <w:spacing w:before="272" w:after="0" w:line="240" w:lineRule="auto"/>
      <w:ind w:firstLine="0"/>
      <w:jc w:val="left"/>
    </w:pPr>
    <w:rPr>
      <w:rFonts w:ascii="Times New Roman" w:eastAsia="Times New Roman" w:hAnsi="Times New Roman"/>
      <w:sz w:val="27"/>
      <w:szCs w:val="27"/>
    </w:rPr>
  </w:style>
  <w:style w:type="character" w:customStyle="1" w:styleId="CorpsdetexteCar">
    <w:name w:val="Corps de texte Car"/>
    <w:basedOn w:val="Policepardfaut"/>
    <w:link w:val="Corpsdetexte"/>
    <w:uiPriority w:val="1"/>
    <w:rsid w:val="007639C8"/>
    <w:rPr>
      <w:rFonts w:ascii="Times New Roman" w:eastAsia="Times New Roman" w:hAnsi="Times New Roman" w:cs="Times New Roman"/>
      <w:kern w:val="0"/>
      <w:sz w:val="27"/>
      <w:szCs w:val="27"/>
      <w14:ligatures w14:val="none"/>
    </w:rPr>
  </w:style>
  <w:style w:type="paragraph" w:styleId="En-tte">
    <w:name w:val="header"/>
    <w:basedOn w:val="Normal"/>
    <w:link w:val="En-tteCar"/>
    <w:uiPriority w:val="99"/>
    <w:unhideWhenUsed/>
    <w:rsid w:val="0040130E"/>
    <w:pPr>
      <w:tabs>
        <w:tab w:val="center" w:pos="4536"/>
        <w:tab w:val="right" w:pos="9072"/>
      </w:tabs>
      <w:spacing w:after="0" w:line="240" w:lineRule="auto"/>
      <w:ind w:firstLine="0"/>
      <w:jc w:val="left"/>
    </w:pPr>
    <w:rPr>
      <w:rFonts w:asciiTheme="minorHAnsi" w:eastAsiaTheme="minorHAnsi" w:hAnsiTheme="minorHAnsi" w:cstheme="minorBidi"/>
      <w:kern w:val="2"/>
      <w:lang w:val="fr-CI"/>
      <w14:ligatures w14:val="standardContextual"/>
    </w:rPr>
  </w:style>
  <w:style w:type="character" w:customStyle="1" w:styleId="En-tteCar">
    <w:name w:val="En-tête Car"/>
    <w:basedOn w:val="Policepardfaut"/>
    <w:link w:val="En-tte"/>
    <w:uiPriority w:val="99"/>
    <w:rsid w:val="0040130E"/>
    <w:rPr>
      <w:lang w:val="fr-CI"/>
    </w:rPr>
  </w:style>
  <w:style w:type="paragraph" w:styleId="Pieddepage">
    <w:name w:val="footer"/>
    <w:basedOn w:val="Normal"/>
    <w:link w:val="PieddepageCar"/>
    <w:uiPriority w:val="99"/>
    <w:unhideWhenUsed/>
    <w:rsid w:val="0040130E"/>
    <w:pPr>
      <w:tabs>
        <w:tab w:val="center" w:pos="4536"/>
        <w:tab w:val="right" w:pos="9072"/>
      </w:tabs>
      <w:spacing w:after="0" w:line="240" w:lineRule="auto"/>
      <w:ind w:firstLine="0"/>
      <w:jc w:val="left"/>
    </w:pPr>
    <w:rPr>
      <w:rFonts w:asciiTheme="minorHAnsi" w:eastAsiaTheme="minorHAnsi" w:hAnsiTheme="minorHAnsi" w:cstheme="minorBidi"/>
      <w:kern w:val="2"/>
      <w:lang w:val="fr-CI"/>
      <w14:ligatures w14:val="standardContextual"/>
    </w:rPr>
  </w:style>
  <w:style w:type="character" w:customStyle="1" w:styleId="PieddepageCar">
    <w:name w:val="Pied de page Car"/>
    <w:basedOn w:val="Policepardfaut"/>
    <w:link w:val="Pieddepage"/>
    <w:uiPriority w:val="99"/>
    <w:rsid w:val="0040130E"/>
    <w:rPr>
      <w:lang w:val="fr-CI"/>
    </w:rPr>
  </w:style>
  <w:style w:type="character" w:customStyle="1" w:styleId="Titre4Car">
    <w:name w:val="Titre 4 Car"/>
    <w:basedOn w:val="Policepardfaut"/>
    <w:link w:val="Titre4"/>
    <w:uiPriority w:val="9"/>
    <w:rsid w:val="00AF76A0"/>
    <w:rPr>
      <w:rFonts w:ascii="Times New Roman" w:eastAsia="Times New Roman" w:hAnsi="Times New Roman" w:cs="Times New Roman"/>
      <w:b/>
      <w:iCs/>
      <w:color w:val="000000"/>
      <w:kern w:val="0"/>
      <w:sz w:val="24"/>
      <w14:ligatures w14:val="none"/>
    </w:rPr>
  </w:style>
  <w:style w:type="character" w:customStyle="1" w:styleId="Titre5Car">
    <w:name w:val="Titre 5 Car"/>
    <w:basedOn w:val="Policepardfaut"/>
    <w:link w:val="Titre5"/>
    <w:uiPriority w:val="9"/>
    <w:rsid w:val="00AF76A0"/>
    <w:rPr>
      <w:rFonts w:ascii="Times New Roman" w:eastAsia="Times New Roman" w:hAnsi="Times New Roman" w:cs="Times New Roman"/>
      <w:b/>
      <w:color w:val="000000"/>
      <w:kern w:val="0"/>
      <w:sz w:val="24"/>
      <w14:ligatures w14:val="none"/>
    </w:rPr>
  </w:style>
  <w:style w:type="character" w:customStyle="1" w:styleId="Titre6Car">
    <w:name w:val="Titre 6 Car"/>
    <w:basedOn w:val="Policepardfaut"/>
    <w:link w:val="Titre6"/>
    <w:uiPriority w:val="9"/>
    <w:rsid w:val="00AF76A0"/>
    <w:rPr>
      <w:rFonts w:ascii="Times New Roman" w:eastAsia="Times New Roman" w:hAnsi="Times New Roman" w:cs="Times New Roman"/>
      <w:b/>
      <w:color w:val="000000"/>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6</Pages>
  <Words>2051</Words>
  <Characters>11283</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 Kouadio ALLA</dc:creator>
  <cp:keywords/>
  <dc:description/>
  <cp:lastModifiedBy>Augustin Kouadio ALLA</cp:lastModifiedBy>
  <cp:revision>3</cp:revision>
  <dcterms:created xsi:type="dcterms:W3CDTF">2026-02-27T15:46:00Z</dcterms:created>
  <dcterms:modified xsi:type="dcterms:W3CDTF">2026-02-27T20:10:00Z</dcterms:modified>
</cp:coreProperties>
</file>