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color w:val="595959"/>
          <w:sz w:val="18"/>
        </w:rPr>
        <w:t>Rahul (2822450) | Rinku (2822306) | Ankit (2822307)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00000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8"/>
              </w:rPr>
              <w:t>ORIGINALITY REPORT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val="clear" w:color="auto" w:fill="C00000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56"/>
              </w:rPr>
              <w:t>7%</w:t>
            </w:r>
          </w:p>
        </w:tc>
        <w:tc>
          <w:tcPr>
            <w:tcW w:type="dxa" w:w="2304"/>
            <w:shd w:val="clear" w:color="auto" w:fill="A6A6A6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56"/>
              </w:rPr>
              <w:t>5%</w:t>
            </w:r>
          </w:p>
        </w:tc>
        <w:tc>
          <w:tcPr>
            <w:tcW w:type="dxa" w:w="2304"/>
            <w:shd w:val="clear" w:color="auto" w:fill="A6A6A6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56"/>
              </w:rPr>
              <w:t>5%</w:t>
            </w:r>
          </w:p>
        </w:tc>
        <w:tc>
          <w:tcPr>
            <w:tcW w:type="dxa" w:w="2304"/>
            <w:shd w:val="clear" w:color="auto" w:fill="A6A6A6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56"/>
              </w:rPr>
              <w:t>3%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595959"/>
                <w:sz w:val="14"/>
              </w:rPr>
              <w:t>SIMILARITY INDEX</w:t>
            </w:r>
          </w:p>
        </w:tc>
        <w:tc>
          <w:tcPr>
            <w:tcW w:type="dxa" w:w="2493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595959"/>
                <w:sz w:val="14"/>
              </w:rPr>
              <w:t>INTERNET SOURCES</w:t>
            </w:r>
          </w:p>
        </w:tc>
        <w:tc>
          <w:tcPr>
            <w:tcW w:type="dxa" w:w="2493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595959"/>
                <w:sz w:val="14"/>
              </w:rPr>
              <w:t>PUBLICATIONS</w:t>
            </w:r>
          </w:p>
        </w:tc>
        <w:tc>
          <w:tcPr>
            <w:tcW w:type="dxa" w:w="2493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595959"/>
                <w:sz w:val="14"/>
              </w:rPr>
              <w:t>STUDENT PAPERS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C00000"/>
          <w:sz w:val="22"/>
        </w:rPr>
        <w:t>PRIMARY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www.mdpi.com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K. V. Sambasivarao, Anasuya Sesha Roopa Devi Bhima. "Artificial Intelligence, Computational Intelligence, and Inclusive Technologies — Proceedings of International Conference on Artificial Intelligence, Computational Intelligence, and Inclusive Technologies (ICRAIC2IT – 2025)",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Pushpa Choudhary, Sambit Satpathy, Arvind Dagur, Dhirendra Kumar Shukla. "Recent Trends in Intelligent Computing and Communication", CRC Press,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www.digitalogy.co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Bal S. Virdee, Tanweer Ali, Jaume Anguera, Suman Lata Tripathy. "Connecting Intelligence: Trends in Computation and Data Communication — Proceedings of First International Conference on Computational Intelligence and Data Communication (ICCIDC 2025)",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app-assets.atlasonline.edu.in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www.technoindiauniversity.ac.in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dokumen.pub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ijisrt.com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University of East London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data.mitsgwalior.in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H L Gururaj, Francesco Flammini, V Ravi Kumar, N S Prema. "Recent Trends in Healthcare Innovation", CRC Press,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ijrpr.com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www.biomedres.us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Shri Ram Murti Smarak Trust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www.coursehero.com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www.ijprems.com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assets-eu.researchsquare.com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iccs.ac.in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www.ijraset.com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Islington College, Nepal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R. Krishnamoorthy, Kazuaki Tanaka, Mohamed S. Soliman. "Artificial Intelligence and Sustainable Networks — Innovations Beyond 5G",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fastercapital.com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ray.yorksj.ac.uk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Karol Przystalski, Maciej J. Ogorzałek, Jan K. Argasiński, Wiesław Chmielnicki. "Pattern Recognition Primer", Springer Science and Business Media LLC,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Deepika Varshney, Preeti Nagrath, Srishti Vashishtha, Victor Hugo C. de Albuquerque. "Generative Artificial Intelligence — Technology and Applications", CRC Press,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media-publisher.eu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Asia Pacific University College of Technology and Innovation (UCTI)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29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Crown Institute of Business and Technology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Ram Kumar Chenthur Pandian, Shanmuga Raju Sekar, Subrata Chowdhury, Muhammad Rukunuddin Ghalib, Kassian T.T. Amesho. "Artificial Intelligence in Detecting Autism",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ijiemr.org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nano-ntp.com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theaspd.com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Bhargav Appasani, Amitkumar Vidyakant Jha. "Engineering Applications of AI for Demand Forecasting",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Harvinder Singh, Priyanka Kaushal, Sarabjeet Kaur. "Advanced Computing and AI for Sustainable Environment, Energy, and Smart Manufacturing — AI-Driven Sustainability Across Environment, Energy, and Industry", CRC Press,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Kean University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Latesh Malik, Sandhya Arora, Urmila Shrawankar. "Artificial Intelligence and Machine Learning for Real-World Applications — A Beginner's Guide with Case Studies", CRC Press,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ijsrem.com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39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thesis.cust.edu.pk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discovery.ucl.ac.uk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jios.foi.hr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scholar.lib.vt.edu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tudr.thapar.edu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University of Wales Institute, Cardiff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eudl.eu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ir.juit.ac.in:8080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objectstorage.ap-dcc-gazipur1.oraclecloud15.com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pdfs.semanticscholar.org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49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www.cys.cic.ipn.mx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Langside College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d197for5662m48.cloudfront.net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datacalculus.com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rjwave.org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uhra.herts.ac.uk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www.classace.io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www.labasservice.com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"Artificial General-Internet of Things (AG-IoT) for Robotics: Advanced Computer Vision Applications and Future Trends", Springer Science and Business Media LLC,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Rashmi Agrawal, Marcin Paprzycki, Neha Gupta. "Big Data, IoT, and Machine Learning — Tools and Applications", CRC Press, 2020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59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T. Mariprasath, Kumar Reddy Cheepati, Marco Rivera. "Practical Guide to Machine Learning, NLP, and Generative AI: Libraries, Algorithms, and Applications", River Publishers, 2024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Submitted to University of Hertfordshire</w:t>
            </w:r>
          </w:p>
        </w:tc>
        <w:tc>
          <w:tcPr>
            <w:tcW w:type="dxa" w:w="1701"/>
            <w:shd w:val="clear" w:color="auto" w:fill="FFF0E6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B44600"/>
                <w:sz w:val="14"/>
              </w:rPr>
              <w:t>Student Paper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comsis.org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dspace.vut.cz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ebin.pub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64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huggingface.co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65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jomss.org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66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jurnal.feb-umi.id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67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nicsforschoolleaders.tpdatscalecoalition.org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studydriver.com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69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www.researchsquare.com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70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www.sysbiosci.com</w:t>
            </w:r>
          </w:p>
        </w:tc>
        <w:tc>
          <w:tcPr>
            <w:tcW w:type="dxa" w:w="1701"/>
            <w:shd w:val="clear" w:color="auto" w:fill="E6F0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46A0"/>
                <w:sz w:val="14"/>
              </w:rPr>
              <w:t>Internet Source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71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A. Vadivel, K. Meena, P. Sumathy, Henry Selvaraj, P. Shanmugavadivu, S. G. Shaila. "Interactive and Dynamic Dashboard — Design Principles", CRC Press, 2024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72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Juraj Hric, Yiping Lin. "Applied Data Science in FinTech — Models, Tools, and Case Studies", Routledge, 2026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  <w:tr>
        <w:tc>
          <w:tcPr>
            <w:tcW w:type="dxa" w:w="567"/>
            <w:shd w:val="clear" w:color="auto" w:fill="C0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73</w:t>
            </w:r>
          </w:p>
        </w:tc>
        <w:tc>
          <w:tcPr>
            <w:tcW w:type="dxa" w:w="652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ind w:left="80"/>
            </w:pPr>
            <w:r>
              <w:rPr>
                <w:b w:val="0"/>
                <w:i w:val="0"/>
                <w:color w:val="000000"/>
                <w:sz w:val="16"/>
              </w:rPr>
              <w:t>Parag Verma, Er. Devarasetty Purna Sankar, Anuj Bhardwaj, Vaibhav Chaudhari, Arnav Pandey, Ankur Dumka. "Handbook of Deep Learning Models — Volume One: Fundamentals", CRC Press, 2025</w:t>
            </w:r>
          </w:p>
        </w:tc>
        <w:tc>
          <w:tcPr>
            <w:tcW w:type="dxa" w:w="1701"/>
            <w:shd w:val="clear" w:color="auto" w:fill="E6F5EC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non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7030"/>
                <w:sz w:val="14"/>
              </w:rPr>
              <w:t>Publication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none" w:sz="4" w:space="0" w:color="CCCCCC"/>
              <w:bottom w:val="single" w:sz="4" w:space="0" w:color="CCCCCC"/>
              <w:right w:val="single" w:sz="4" w:space="0" w:color="CCCCCC"/>
              <w:insideH w:val="none" w:sz="4" w:space="0" w:color="CCCCCC"/>
              <w:insideV w:val="non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C00000"/>
                <w:sz w:val="18"/>
              </w:rPr>
              <w:t>&lt;1%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595959"/>
                <w:sz w:val="16"/>
              </w:rPr>
              <w:t xml:space="preserve">Exclude quotes   </w:t>
            </w:r>
            <w:r>
              <w:rPr>
                <w:b/>
                <w:i w:val="0"/>
                <w:color w:val="000000"/>
                <w:sz w:val="16"/>
              </w:rPr>
              <w:t>Off</w:t>
            </w:r>
          </w:p>
        </w:tc>
        <w:tc>
          <w:tcPr>
            <w:tcW w:type="dxa" w:w="4986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595959"/>
                <w:sz w:val="16"/>
              </w:rPr>
              <w:t xml:space="preserve">Exclude matches   </w:t>
            </w:r>
            <w:r>
              <w:rPr>
                <w:b/>
                <w:i w:val="0"/>
                <w:color w:val="000000"/>
                <w:sz w:val="16"/>
              </w:rPr>
              <w:t>Off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595959"/>
                <w:sz w:val="16"/>
              </w:rPr>
              <w:t xml:space="preserve">Exclude bibliography   </w:t>
            </w:r>
            <w:r>
              <w:rPr>
                <w:b/>
                <w:i w:val="0"/>
                <w:color w:val="000000"/>
                <w:sz w:val="16"/>
              </w:rPr>
              <w:t>Off</w:t>
            </w:r>
          </w:p>
        </w:tc>
        <w:tc>
          <w:tcPr>
            <w:tcW w:type="dxa" w:w="4986"/>
            <w:shd w:val="clear" w:color="auto" w:fill="F2F2F2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  <w:insideH w:val="none" w:sz="4" w:space="0" w:color="auto"/>
              <w:insideV w:val="none" w:sz="4" w:space="0" w:color="auto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595959"/>
                <w:sz w:val="16"/>
              </w:rPr>
              <w:t xml:space="preserve">   </w:t>
            </w:r>
            <w:r>
              <w:rPr>
                <w:b/>
                <w:i w:val="0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