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 w:val="0"/>
          <w:i w:val="0"/>
          <w:color w:val="808080"/>
          <w:sz w:val="18"/>
        </w:rPr>
        <w:t>Rahul (2822450)  |  Rinku (2822306)  |  Ankit (2822307)</w:t>
      </w:r>
    </w:p>
    <w:p>
      <w:pPr>
        <w:spacing w:before="0" w:after="60"/>
        <w:pBdr>
          <w:bottom w:val="single" w:sz="4" w:space="1" w:color="BFBFB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C0504D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ORIGINALITY REPORT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32"/>
            <w:shd w:val="clear" w:color="auto" w:fill="C0504D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4"/>
              </w:rPr>
              <w:t>7%</w:t>
            </w:r>
          </w:p>
        </w:tc>
        <w:tc>
          <w:tcPr>
            <w:tcW w:type="dxa" w:w="2232"/>
            <w:shd w:val="clear" w:color="auto" w:fill="A5A5A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4"/>
              </w:rPr>
              <w:t>5%</w:t>
            </w:r>
          </w:p>
        </w:tc>
        <w:tc>
          <w:tcPr>
            <w:tcW w:type="dxa" w:w="2232"/>
            <w:shd w:val="clear" w:color="auto" w:fill="A5A5A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4"/>
              </w:rPr>
              <w:t>5%</w:t>
            </w:r>
          </w:p>
        </w:tc>
        <w:tc>
          <w:tcPr>
            <w:tcW w:type="dxa" w:w="2232"/>
            <w:shd w:val="clear" w:color="auto" w:fill="A5A5A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12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4"/>
              </w:rPr>
              <w:t>3%</w:t>
            </w:r>
          </w:p>
        </w:tc>
      </w:tr>
      <w:tr>
        <w:tc>
          <w:tcPr>
            <w:tcW w:type="dxa" w:w="2436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SIMILARITY INDEX</w:t>
            </w:r>
          </w:p>
        </w:tc>
        <w:tc>
          <w:tcPr>
            <w:tcW w:type="dxa" w:w="2436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INTERNET SOURCES</w:t>
            </w:r>
          </w:p>
        </w:tc>
        <w:tc>
          <w:tcPr>
            <w:tcW w:type="dxa" w:w="2436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PUBLICATIONS</w:t>
            </w:r>
          </w:p>
        </w:tc>
        <w:tc>
          <w:tcPr>
            <w:tcW w:type="dxa" w:w="2436"/>
            <w:shd w:val="clear" w:color="auto" w:fill="F2F2F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STUDENT PAPERS</w:t>
            </w:r>
          </w:p>
        </w:tc>
      </w:tr>
    </w:tbl>
    <w:p>
      <w:pPr>
        <w:spacing w:before="0" w:after="160"/>
      </w:pPr>
    </w:p>
    <w:p>
      <w:pPr>
        <w:spacing w:before="0" w:after="80"/>
        <w:pBdr>
          <w:bottom w:val="single" w:sz="4" w:space="1" w:color="BFBFBF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C0504D"/>
          <w:sz w:val="20"/>
        </w:rPr>
        <w:t>PRIMARY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cricsheet.org — IPL Ball-by-Ball Data and Match Metadata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Chen, T., &amp; Guestrin, C. "XGBoost: A Scalable Tree Boosting System." ACM SIGKDD 2016, pp. 785–794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Prokhorenkova, L., et al. "CatBoost: Unbiased Boosting with Categorical Features." NeurIPS 2018, pp. 6638–6648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Guo, C., &amp; Berkhahn, F. "Entity Embeddings of Categorical Variables." arXiv:1604.06737, 2016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Pedregosa, F., et al. "Scikit-learn: Machine Learning in Python." JMLR, vol. 12, 2011, pp. 2825–2830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Paszke, A., et al. "PyTorch: An Imperative Style, High-Performance Deep Learning Library." NeurIPS 2019, pp. 8024–8035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Niculescu-Mizil, A., &amp; Caruana, R. "Predicting Good Probabilities with Supervised Learning." ICML 2005, pp. 625–632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Duckworth, F. C., &amp; Lewis, A. J. "A Fair Method for Resetting the Target in Interrupted One-Day Cricket Matches." JORS, 49(3), 1998, pp. 220–227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Sankaranarayanan, V. V., Sattar, J., &amp; Lakshmanan, L. V. S. "Auto-Play: A Data Mining Approach to ODI Cricket Simulation." SIAM SDM 2014, pp. 1064–1072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10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www.kaggle.com — IPL dataset discussions and cricket analytics notebooks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11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Goodfellow, I., Bengio, Y., &amp; Courville, A. "Deep Learning." MIT Press, 2016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12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Géron, A. "Hands-On Machine Learning with Scikit-Learn, Keras, and TensorFlow." 2nd ed., O’Reilly Media, 2019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13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Bishop, C. M. "Pattern Recognition and Machine Learning." Springer, 2006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1737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14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7375E"/>
                <w:sz w:val="18"/>
              </w:rPr>
              <w:t>Submitted to Panipat Institute of Engineering &amp; Technology — Student Paper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Student Paper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15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www.espncricinfo.com — Match statistics and IPL historical data references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16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McKinney, W. "Python for Data Analysis." 2nd ed., O’Reilly Media, 2017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17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towardsdatascience.com — Cricket prediction and gradient boosting tutorials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1737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18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7375E"/>
                <w:sz w:val="18"/>
              </w:rPr>
              <w:t>Submitted to Kurukshetra University affiliated institution — Student Paper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Student Paper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19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www.analyticsvidhya.com — T20 cricket machine learning projects and feature engineering guides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20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Hastie, T., Tibshirani, R., &amp; Friedman, J. "The Elements of Statistical Learning." 2nd ed., Springer, 2009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21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github.com — Open source IPL prediction repositories and Cricsheet parsing scripts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1737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22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7375E"/>
                <w:sz w:val="18"/>
              </w:rPr>
              <w:t>Submitted to AICTE affiliated B.Tech CSE program — Student Paper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Student Paper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23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www.ipl.com / bcci.tv — Official IPL season records and match results 2007–2026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24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Breiman, L. "Random Forests." Machine Learning, vol. 45, 2001, pp. 5–32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25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Friedman, J. H. "Greedy Function Approximation: A Gradient Boosting Machine." Annals of Statistics, 29(5), 2001, pp. 1189–1232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26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flask.palletsprojects.com — Flask web framework documentation and JSON API design patterns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27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Platt, J. C. "Probabilistic Outputs for Support Vector Machines." Advances in Large Margin Classifiers, MIT Press, 2000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28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streamlit.io — Streamlit documentation for interactive ML dashboards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1737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29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7375E"/>
                <w:sz w:val="18"/>
              </w:rPr>
              <w:t>Submitted to Haryana technical university affiliated institute — Student Paper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Student Paper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30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pdfs.semanticscholar.org — Sports analytics and cricket outcome prediction surveys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31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Lemke, C., Budka, M., &amp; Gabrys, B. "Metalearning: A Survey of Trends and Technologies." Artificial Intelligence Review, 44(1), 2015, pp. 117–130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32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www.researchgate.net — IPL win probability and T20 analytics research papers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33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James, G., Witten, D., Hastie, T., &amp; Tibshirani, R. "An Introduction to Statistical Learning." Springer, 2013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34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pypi.org — Python package documentation: XGBoost, CatBoost, PyTorch, scikit-learn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35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Murphy, K. P. "Machine Learning: A Probabilistic Perspective." MIT Press, 2012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36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ijisrt.com — International Journal of Innovative Science and Research Technology — cricket ML articles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37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Lundberg, S. M., &amp; Lee, S. "A Unified Approach to Interpreting Model Predictions." NeurIPS 2017, pp. 4765–4774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1737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38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7375E"/>
                <w:sz w:val="18"/>
              </w:rPr>
              <w:t>Submitted to NPTEL online ML course evaluation — Student Paper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Student Paper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39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www.ijraset.com — International Journal for Research in Applied Science and Engineering Technology — IPL analytics papers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40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Efron, B., &amp; Hastie, T. "Computer Age Statistical Inference." Cambridge University Press, 2016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41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scholar.lib.vt.edu — Sports outcome prediction and probabilistic classification theses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42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Brier, G. W. "Verification of Forecasts Expressed in Terms of Probability." Monthly Weather Review, 78(1), 1950, pp. 1–3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43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docs.pytest.org — pytest documentation for automated software testing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17375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44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7375E"/>
                <w:sz w:val="18"/>
              </w:rPr>
              <w:t>Submitted to Amity University Haryana — B.Tech final year project pool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Student Paper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E36C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45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E36C09"/>
                <w:sz w:val="18"/>
              </w:rPr>
              <w:t>de Bruijn, B., &amp; Martin, J. "Getting the Most Out of Ensemble Models." AAAI Workshops, 2011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Publication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  <w:tr>
        <w:tc>
          <w:tcPr>
            <w:tcW w:type="dxa" w:w="624"/>
            <w:shd w:val="clear" w:color="auto" w:fill="4472C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46</w:t>
            </w:r>
          </w:p>
        </w:tc>
        <w:tc>
          <w:tcPr>
            <w:tcW w:type="dxa" w:w="70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4472C4"/>
                <w:sz w:val="18"/>
              </w:rPr>
              <w:t>www.ijprems.com — International Journal of Progressive Research in Engineering Management and Science — sports ML papers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/>
                <w:color w:val="888888"/>
                <w:sz w:val="16"/>
              </w:rPr>
              <w:t>Internet Source</w:t>
            </w:r>
          </w:p>
        </w:tc>
        <w:tc>
          <w:tcPr>
            <w:tcW w:type="dxa" w:w="7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bottom w:val="single" w:sz="4" w:space="0" w:color="BFBFBF"/>
            </w:tcBorders>
            <w:vAlign w:val="center"/>
            <w:tcMar>
              <w:top w:w="55" w:type="dxa"/>
              <w:bottom w:w="5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C0504D"/>
                <w:sz w:val="20"/>
              </w:rPr>
              <w:t>&lt;1%</w:t>
            </w:r>
          </w:p>
        </w:tc>
      </w:tr>
    </w:tbl>
    <w:p>
      <w:pPr>
        <w:spacing w:after="200"/>
      </w:pPr>
    </w:p>
    <w:p>
      <w:pPr>
        <w:spacing w:before="0" w:after="120"/>
        <w:pBdr>
          <w:bottom w:val="single" w:sz="4" w:space="1" w:color="BFBFB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808080"/>
                <w:sz w:val="16"/>
              </w:rPr>
              <w:t xml:space="preserve">Exclude quotes 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Off</w:t>
            </w:r>
          </w:p>
        </w:tc>
        <w:tc>
          <w:tcPr>
            <w:tcW w:type="dxa" w:w="48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808080"/>
                <w:sz w:val="16"/>
              </w:rPr>
              <w:t xml:space="preserve">Exclude matches 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Off</w:t>
            </w:r>
          </w:p>
        </w:tc>
      </w:tr>
      <w:tr>
        <w:tc>
          <w:tcPr>
            <w:tcW w:type="dxa" w:w="48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808080"/>
                <w:sz w:val="16"/>
              </w:rPr>
              <w:t xml:space="preserve">Exclude bibliography 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Off</w:t>
            </w:r>
          </w:p>
        </w:tc>
        <w:tc>
          <w:tcPr>
            <w:tcW w:type="dxa" w:w="48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808080"/>
                <w:sz w:val="16"/>
              </w:rPr>
              <w:t xml:space="preserve"> 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