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F3864"/>
          <w:sz w:val="26"/>
          <w:szCs w:val="26"/>
        </w:rPr>
        <w:t xml:space="preserve">MATRIZ PARA COMENTARIOS EXTERNOS – CRONOGRAMA FINANZAS ABIERTAS</w:t>
      </w:r>
    </w:p>
    <w:p>
      <w:pPr>
        <w:spacing w:after="100" w:before="0"/>
      </w:pPr>
      <w:r>
        <w:rPr>
          <w:rFonts w:ascii="Arial" w:cs="Arial" w:eastAsia="Arial" w:hAnsi="Arial"/>
          <w:b/>
          <w:bCs/>
          <w:color w:val="1F3864"/>
          <w:sz w:val="22"/>
          <w:szCs w:val="22"/>
        </w:rPr>
        <w:t xml:space="preserve">Identificación del proyecto</w:t>
      </w:r>
    </w:p>
    <w:p>
      <w:pPr>
        <w:spacing w:after="60" w:before="0"/>
      </w:pPr>
      <w:r>
        <w:rPr>
          <w:rFonts w:ascii="Arial" w:cs="Arial" w:eastAsia="Arial" w:hAnsi="Arial"/>
          <w:b/>
          <w:bCs/>
          <w:sz w:val="20"/>
          <w:szCs w:val="20"/>
        </w:rPr>
        <w:t xml:space="preserve">Proyecto de Carta Circular: </w:t>
      </w:r>
      <w:r>
        <w:rPr>
          <w:rFonts w:ascii="Arial" w:cs="Arial" w:eastAsia="Arial" w:hAnsi="Arial"/>
          <w:sz w:val="20"/>
          <w:szCs w:val="20"/>
        </w:rPr>
        <w:t xml:space="preserve">Cronograma para la expedición de estándares de intercambio de información en el sistema de finanzas abiertas.</w:t>
      </w:r>
    </w:p>
    <w:p>
      <w:pPr>
        <w:spacing w:after="60" w:before="0"/>
      </w:pPr>
      <w:r>
        <w:rPr>
          <w:rFonts w:ascii="Arial" w:cs="Arial" w:eastAsia="Arial" w:hAnsi="Arial"/>
          <w:sz w:val="20"/>
          <w:szCs w:val="20"/>
        </w:rPr>
        <w:t xml:space="preserve">Publicado para comentarios desde el 31 de agosto hasta las 5:00 p.m. del 15 de septiembre de 2026.</w:t>
      </w:r>
    </w:p>
    <w:p>
      <w:pPr>
        <w:spacing w:after="240" w:before="0"/>
      </w:pPr>
      <w:r>
        <w:rPr>
          <w:rFonts w:ascii="Arial" w:cs="Arial" w:eastAsia="Arial" w:hAnsi="Arial"/>
          <w:sz w:val="20"/>
          <w:szCs w:val="20"/>
        </w:rPr>
        <w:t xml:space="preserve">Remitir las observaciones en formato WORD al correo finanzasabiertas@superfinanciera.gov.co</w:t>
      </w:r>
    </w:p>
    <w:p>
      <w:pPr>
        <w:spacing w:after="100" w:before="0"/>
      </w:pPr>
      <w:r>
        <w:rPr>
          <w:rFonts w:ascii="Arial" w:cs="Arial" w:eastAsia="Arial" w:hAnsi="Arial"/>
          <w:b/>
          <w:bCs/>
          <w:color w:val="1F3864"/>
          <w:sz w:val="22"/>
          <w:szCs w:val="22"/>
        </w:rPr>
        <w:t xml:space="preserve">Identificación del remitente</w:t>
      </w:r>
    </w:p>
    <w:p>
      <w:pPr>
        <w:spacing w:after="60" w:before="0"/>
      </w:pPr>
      <w:r>
        <w:rPr>
          <w:rFonts w:ascii="Arial" w:cs="Arial" w:eastAsia="Arial" w:hAnsi="Arial"/>
          <w:sz w:val="20"/>
          <w:szCs w:val="20"/>
        </w:rPr>
        <w:t xml:space="preserve">Nombre del remitente: ______________________________________________</w:t>
      </w:r>
    </w:p>
    <w:p>
      <w:pPr>
        <w:spacing w:after="240" w:before="0"/>
      </w:pPr>
      <w:r>
        <w:rPr>
          <w:rFonts w:ascii="Arial" w:cs="Arial" w:eastAsia="Arial" w:hAnsi="Arial"/>
          <w:sz w:val="20"/>
          <w:szCs w:val="20"/>
        </w:rPr>
        <w:t xml:space="preserve">☐  Entidad Pública       ☐  Entidad Vigilada       ☐  Agremiación       ☐  Institución Académica       ☐  Particular       ☐  Otro: ____________________</w:t>
      </w:r>
    </w:p>
    <w:p>
      <w:pPr>
        <w:spacing w:after="100" w:before="0"/>
      </w:pPr>
      <w:r>
        <w:rPr>
          <w:rFonts w:ascii="Arial" w:cs="Arial" w:eastAsia="Arial" w:hAnsi="Arial"/>
          <w:b/>
          <w:bCs/>
          <w:color w:val="1F3864"/>
          <w:sz w:val="22"/>
          <w:szCs w:val="22"/>
        </w:rPr>
        <w:t xml:space="preserve">Comentarios generales</w:t>
      </w:r>
    </w:p>
    <w:p>
      <w:pPr>
        <w:spacing w:after="60" w:before="0"/>
      </w:pPr>
      <w:r>
        <w:rPr>
          <w:rFonts w:ascii="Arial" w:cs="Arial" w:eastAsia="Arial" w:hAnsi="Arial"/>
          <w:sz w:val="20"/>
          <w:szCs w:val="20"/>
        </w:rPr>
        <w:t xml:space="preserve">Se agradece a la Superintendencia Financiera de Colombia la publicación del cronograma de estandarización y el proceso participativo adelantado mediante las mesas técnicas de junio y julio de 2026. La existencia de una hoja de ruta pública es un insumo valioso para la planeación de inversiones del ecosistema.</w:t>
      </w:r>
    </w:p>
    <w:p>
      <w:pPr>
        <w:spacing w:after="60" w:before="0"/>
      </w:pPr>
      <w:r>
        <w:rPr>
          <w:rFonts w:ascii="Arial" w:cs="Arial" w:eastAsia="Arial" w:hAnsi="Arial"/>
          <w:sz w:val="20"/>
          <w:szCs w:val="20"/>
        </w:rPr>
        <w:t xml:space="preserve">Las observaciones que se presentan a continuación se agrupan en tres frentes. El primero es de consistencia normativa: se identifica una posible desalineación entre el plazo previsto para la portabilidad financiera de cartera comercial y el término máximo del artículo 6 del Decreto 977 de 2026. El segundo es de secuencia: se sugiere reordenar el cronograma para adelantar las categorías de menor riesgo —aquellas que no requieren autorización del Titular— y las que soportan de manera más directa el objetivo de inclusión crediticia del literal e) del artículo 88 de la Ley 2294 de 2023. El tercero es de transparencia y verificabilidad: se solicita incorporar hitos intermedios por estándar, precisar el régimen aplicable durante la transición y publicar los resultados del ejercicio de priorización.</w:t>
      </w:r>
    </w:p>
    <w:p>
      <w:pPr>
        <w:spacing w:after="240" w:before="0"/>
      </w:pPr>
      <w:r>
        <w:rPr>
          <w:rFonts w:ascii="Arial" w:cs="Arial" w:eastAsia="Arial" w:hAnsi="Arial"/>
          <w:sz w:val="20"/>
          <w:szCs w:val="20"/>
        </w:rPr>
        <w:t xml:space="preserve">Ninguna de las observaciones cuestiona la facultad de la Superintendencia para definir el cronograma conforme al parágrafo 2 del artículo 3 del Decreto 0368 de 2026, ni desconoce las restricciones de capacidad institucional que el propio proyecto reconoce.</w:t>
      </w:r>
    </w:p>
    <w:p>
      <w:pPr>
        <w:spacing w:after="120" w:before="0"/>
      </w:pPr>
      <w:r>
        <w:rPr>
          <w:rFonts w:ascii="Arial" w:cs="Arial" w:eastAsia="Arial" w:hAnsi="Arial"/>
          <w:b/>
          <w:bCs/>
          <w:color w:val="1F3864"/>
          <w:sz w:val="22"/>
          <w:szCs w:val="22"/>
        </w:rPr>
        <w:t xml:space="preserve">Comentarios al proyecto</w:t>
      </w:r>
    </w:p>
    <w:tbl>
      <w:tblPr>
        <w:tblW w:type="dxa" w:w="12960"/>
        <w:tblBorders>
          <w:top w:val="single" w:color="8EA9DB" w:sz="4"/>
          <w:left w:val="single" w:color="8EA9DB" w:sz="4"/>
          <w:bottom w:val="single" w:color="8EA9DB" w:sz="4"/>
          <w:right w:val="single" w:color="8EA9DB" w:sz="4"/>
          <w:insideH w:val="single" w:color="8EA9DB" w:sz="4"/>
          <w:insideV w:val="single" w:color="8EA9DB" w:sz="4"/>
        </w:tblBorders>
      </w:tblPr>
      <w:tblGrid>
        <w:gridCol w:w="620"/>
        <w:gridCol w:w="1060"/>
        <w:gridCol w:w="2600"/>
        <w:gridCol w:w="5680"/>
        <w:gridCol w:w="1900"/>
        <w:gridCol w:w="1100"/>
      </w:tblGrid>
      <w:tr>
        <w:trPr>
          <w:tblHeader/>
        </w:trPr>
        <w:tc>
          <w:tcPr>
            <w:tcW w:type="dxa" w:w="620"/>
            <w:shd w:fill="D9E2F3" w:color="auto" w:val="clear"/>
            <w:tcMar>
              <w:top w:type="dxa" w:w="80"/>
              <w:left w:type="dxa" w:w="100"/>
              <w:bottom w:type="dxa" w:w="80"/>
              <w:right w:type="dxa" w:w="100"/>
            </w:tcMar>
            <w:vAlign w:val="top"/>
          </w:tcPr>
          <w:p>
            <w:pPr>
              <w:spacing w:after="60" w:before="0"/>
              <w:jc w:val="center"/>
            </w:pPr>
            <w:r>
              <w:rPr>
                <w:rFonts w:ascii="Arial" w:cs="Arial" w:eastAsia="Arial" w:hAnsi="Arial"/>
                <w:b/>
                <w:bCs/>
                <w:color w:val="1F3864"/>
                <w:sz w:val="18"/>
                <w:szCs w:val="18"/>
              </w:rPr>
              <w:t xml:space="preserve">No.</w:t>
            </w:r>
          </w:p>
        </w:tc>
        <w:tc>
          <w:tcPr>
            <w:tcW w:type="dxa" w:w="1060"/>
            <w:shd w:fill="D9E2F3" w:color="auto" w:val="clear"/>
            <w:tcMar>
              <w:top w:type="dxa" w:w="80"/>
              <w:left w:type="dxa" w:w="100"/>
              <w:bottom w:type="dxa" w:w="80"/>
              <w:right w:type="dxa" w:w="100"/>
            </w:tcMar>
            <w:vAlign w:val="top"/>
          </w:tcPr>
          <w:p>
            <w:pPr>
              <w:spacing w:after="60" w:before="0"/>
              <w:jc w:val="center"/>
            </w:pPr>
            <w:r>
              <w:rPr>
                <w:rFonts w:ascii="Arial" w:cs="Arial" w:eastAsia="Arial" w:hAnsi="Arial"/>
                <w:b/>
                <w:bCs/>
                <w:color w:val="1F3864"/>
                <w:sz w:val="18"/>
                <w:szCs w:val="18"/>
              </w:rPr>
              <w:t xml:space="preserve">Origen</w:t>
            </w:r>
          </w:p>
        </w:tc>
        <w:tc>
          <w:tcPr>
            <w:tcW w:type="dxa" w:w="2600"/>
            <w:shd w:fill="D9E2F3" w:color="auto" w:val="clear"/>
            <w:tcMar>
              <w:top w:type="dxa" w:w="80"/>
              <w:left w:type="dxa" w:w="100"/>
              <w:bottom w:type="dxa" w:w="80"/>
              <w:right w:type="dxa" w:w="100"/>
            </w:tcMar>
            <w:vAlign w:val="top"/>
          </w:tcPr>
          <w:p>
            <w:pPr>
              <w:spacing w:after="60" w:before="0"/>
              <w:jc w:val="center"/>
            </w:pPr>
            <w:r>
              <w:rPr>
                <w:rFonts w:ascii="Arial" w:cs="Arial" w:eastAsia="Arial" w:hAnsi="Arial"/>
                <w:b/>
                <w:bCs/>
                <w:color w:val="1F3864"/>
                <w:sz w:val="18"/>
                <w:szCs w:val="18"/>
              </w:rPr>
              <w:t xml:space="preserve">Instrucción objeto de comentario</w:t>
            </w:r>
          </w:p>
        </w:tc>
        <w:tc>
          <w:tcPr>
            <w:tcW w:type="dxa" w:w="5680"/>
            <w:shd w:fill="D9E2F3" w:color="auto" w:val="clear"/>
            <w:tcMar>
              <w:top w:type="dxa" w:w="80"/>
              <w:left w:type="dxa" w:w="100"/>
              <w:bottom w:type="dxa" w:w="80"/>
              <w:right w:type="dxa" w:w="100"/>
            </w:tcMar>
            <w:vAlign w:val="top"/>
          </w:tcPr>
          <w:p>
            <w:pPr>
              <w:spacing w:after="60" w:before="0"/>
              <w:jc w:val="center"/>
            </w:pPr>
            <w:r>
              <w:rPr>
                <w:rFonts w:ascii="Arial" w:cs="Arial" w:eastAsia="Arial" w:hAnsi="Arial"/>
                <w:b/>
                <w:bCs/>
                <w:color w:val="1F3864"/>
                <w:sz w:val="18"/>
                <w:szCs w:val="18"/>
              </w:rPr>
              <w:t xml:space="preserve">Descripción del comentario</w:t>
            </w:r>
          </w:p>
        </w:tc>
        <w:tc>
          <w:tcPr>
            <w:tcW w:type="dxa" w:w="1900"/>
            <w:shd w:fill="D9E2F3" w:color="auto" w:val="clear"/>
            <w:tcMar>
              <w:top w:type="dxa" w:w="80"/>
              <w:left w:type="dxa" w:w="100"/>
              <w:bottom w:type="dxa" w:w="80"/>
              <w:right w:type="dxa" w:w="100"/>
            </w:tcMar>
            <w:vAlign w:val="top"/>
          </w:tcPr>
          <w:p>
            <w:pPr>
              <w:spacing w:after="60" w:before="0"/>
              <w:jc w:val="center"/>
            </w:pPr>
            <w:r>
              <w:rPr>
                <w:rFonts w:ascii="Arial" w:cs="Arial" w:eastAsia="Arial" w:hAnsi="Arial"/>
                <w:b/>
                <w:bCs/>
                <w:color w:val="1F3864"/>
                <w:sz w:val="18"/>
                <w:szCs w:val="18"/>
              </w:rPr>
              <w:t xml:space="preserve">Análisis del comentario</w:t>
            </w:r>
          </w:p>
        </w:tc>
        <w:tc>
          <w:tcPr>
            <w:tcW w:type="dxa" w:w="1100"/>
            <w:shd w:fill="D9E2F3" w:color="auto" w:val="clear"/>
            <w:tcMar>
              <w:top w:type="dxa" w:w="80"/>
              <w:left w:type="dxa" w:w="100"/>
              <w:bottom w:type="dxa" w:w="80"/>
              <w:right w:type="dxa" w:w="100"/>
            </w:tcMar>
            <w:vAlign w:val="top"/>
          </w:tcPr>
          <w:p>
            <w:pPr>
              <w:spacing w:after="60" w:before="0"/>
              <w:jc w:val="center"/>
            </w:pPr>
            <w:r>
              <w:rPr>
                <w:rFonts w:ascii="Arial" w:cs="Arial" w:eastAsia="Arial" w:hAnsi="Arial"/>
                <w:b/>
                <w:bCs/>
                <w:color w:val="1F3864"/>
                <w:sz w:val="18"/>
                <w:szCs w:val="18"/>
              </w:rPr>
              <w:t xml:space="preserve">Procedencia</w:t>
            </w:r>
          </w:p>
        </w:tc>
      </w:tr>
      <w:tr>
        <w:tc>
          <w:tcPr>
            <w:tcW w:type="dxa" w:w="620"/>
            <w:tcMar>
              <w:top w:type="dxa" w:w="80"/>
              <w:left w:type="dxa" w:w="100"/>
              <w:bottom w:type="dxa" w:w="80"/>
              <w:right w:type="dxa" w:w="100"/>
            </w:tcMar>
            <w:vAlign w:val="top"/>
          </w:tcPr>
          <w:p>
            <w:pPr>
              <w:spacing w:after="60" w:before="0"/>
              <w:jc w:val="center"/>
            </w:pPr>
            <w:r>
              <w:rPr>
                <w:rFonts w:ascii="Arial" w:cs="Arial" w:eastAsia="Arial" w:hAnsi="Arial"/>
                <w:b/>
                <w:bCs/>
                <w:sz w:val="18"/>
                <w:szCs w:val="18"/>
              </w:rPr>
              <w:t xml:space="preserve">1</w:t>
            </w:r>
          </w:p>
        </w:tc>
        <w:tc>
          <w:tcPr>
            <w:tcW w:type="dxa" w:w="1060"/>
            <w:tcMar>
              <w:top w:type="dxa" w:w="80"/>
              <w:left w:type="dxa" w:w="100"/>
              <w:bottom w:type="dxa" w:w="80"/>
              <w:right w:type="dxa" w:w="100"/>
            </w:tcMar>
            <w:vAlign w:val="top"/>
          </w:tcPr>
          <w:p>
            <w:pPr>
              <w:spacing w:after="60" w:before="0"/>
            </w:pPr>
            <w:r>
              <w:rPr>
                <w:rFonts w:ascii="Arial" w:cs="Arial" w:eastAsia="Arial" w:hAnsi="Arial"/>
                <w:sz w:val="18"/>
                <w:szCs w:val="18"/>
              </w:rPr>
              <w:t xml:space="preserve">Externo</w:t>
            </w:r>
          </w:p>
        </w:tc>
        <w:tc>
          <w:tcPr>
            <w:tcW w:type="dxa" w:w="260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Tabla del cronograma, fila:</w:t>
            </w:r>
          </w:p>
          <w:p>
            <w:pPr>
              <w:spacing w:after="60" w:before="0"/>
            </w:pPr>
            <w:r>
              <w:rPr>
                <w:rFonts w:ascii="Arial" w:cs="Arial" w:eastAsia="Arial" w:hAnsi="Arial"/>
                <w:sz w:val="18"/>
                <w:szCs w:val="18"/>
              </w:rPr>
              <w:t xml:space="preserve">«Portabilidad financiera crédito comercial» — 24 meses</w:t>
            </w:r>
          </w:p>
        </w:tc>
        <w:tc>
          <w:tcPr>
            <w:tcW w:type="dxa" w:w="568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Posible desalineación con el artículo 6 del Decreto 977 de 2026. </w:t>
            </w:r>
            <w:r>
              <w:rPr>
                <w:rFonts w:ascii="Arial" w:cs="Arial" w:eastAsia="Arial" w:hAnsi="Arial"/>
                <w:sz w:val="18"/>
                <w:szCs w:val="18"/>
              </w:rPr>
              <w:t xml:space="preserve">Esa norma ordena a la SFC publicar los estándares del artículo 2.35.8.8.9 del Decreto 2555 de 2010 —el certificado de portabilidad financiera— en un plazo máximo de veinticuatro (24) meses contados desde la entrada en vigencia de ese decreto, esto es, hacia el 5 de agosto de 2028.</w:t>
            </w:r>
          </w:p>
          <w:p>
            <w:pPr>
              <w:spacing w:after="60" w:before="0"/>
            </w:pPr>
            <w:r>
              <w:rPr>
                <w:rFonts w:ascii="Arial" w:cs="Arial" w:eastAsia="Arial" w:hAnsi="Arial"/>
                <w:sz w:val="18"/>
                <w:szCs w:val="18"/>
              </w:rPr>
              <w:t xml:space="preserve">Si el cronograma se publica en la fecha límite prevista en el numeral 1 del artículo 4 del Decreto 0368 de 2026 (10 de octubre de 2026), el plazo de 24 meses de esta fila vencería hacia el 10 de octubre de 2028, es decir, con posterioridad al término máximo fijado por su propia norma habilitante.</w:t>
            </w:r>
          </w:p>
          <w:p>
            <w:pPr>
              <w:spacing w:after="60" w:before="0"/>
            </w:pPr>
            <w:r>
              <w:rPr>
                <w:rFonts w:ascii="Arial" w:cs="Arial" w:eastAsia="Arial" w:hAnsi="Arial"/>
                <w:b/>
                <w:bCs/>
                <w:sz w:val="18"/>
                <w:szCs w:val="18"/>
              </w:rPr>
              <w:t xml:space="preserve">Propuesta: </w:t>
            </w:r>
            <w:r>
              <w:rPr>
                <w:rFonts w:ascii="Arial" w:cs="Arial" w:eastAsia="Arial" w:hAnsi="Arial"/>
                <w:sz w:val="18"/>
                <w:szCs w:val="18"/>
              </w:rPr>
              <w:t xml:space="preserve">ajustar el plazo de esta fila a un término que garantice la expedición del estándar del certificado de portabilidad antes del vencimiento del artículo 6 del Decreto 977 de 2026, o precisar en el cuerpo de la Carta Circular que dicho estándar se expedirá como pieza única dentro de ese término y que los plazos por tipo de cartera corresponden a desarrollos complementarios.</w:t>
            </w:r>
          </w:p>
        </w:tc>
        <w:tc>
          <w:tcPr>
            <w:tcW w:type="dxa" w:w="19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c>
          <w:tcPr>
            <w:tcW w:type="dxa" w:w="11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r>
      <w:tr>
        <w:tc>
          <w:tcPr>
            <w:tcW w:type="dxa" w:w="620"/>
            <w:tcMar>
              <w:top w:type="dxa" w:w="80"/>
              <w:left w:type="dxa" w:w="100"/>
              <w:bottom w:type="dxa" w:w="80"/>
              <w:right w:type="dxa" w:w="100"/>
            </w:tcMar>
            <w:vAlign w:val="top"/>
          </w:tcPr>
          <w:p>
            <w:pPr>
              <w:spacing w:after="60" w:before="0"/>
              <w:jc w:val="center"/>
            </w:pPr>
            <w:r>
              <w:rPr>
                <w:rFonts w:ascii="Arial" w:cs="Arial" w:eastAsia="Arial" w:hAnsi="Arial"/>
                <w:b/>
                <w:bCs/>
                <w:sz w:val="18"/>
                <w:szCs w:val="18"/>
              </w:rPr>
              <w:t xml:space="preserve">2</w:t>
            </w:r>
          </w:p>
        </w:tc>
        <w:tc>
          <w:tcPr>
            <w:tcW w:type="dxa" w:w="1060"/>
            <w:tcMar>
              <w:top w:type="dxa" w:w="80"/>
              <w:left w:type="dxa" w:w="100"/>
              <w:bottom w:type="dxa" w:w="80"/>
              <w:right w:type="dxa" w:w="100"/>
            </w:tcMar>
            <w:vAlign w:val="top"/>
          </w:tcPr>
          <w:p>
            <w:pPr>
              <w:spacing w:after="60" w:before="0"/>
            </w:pPr>
            <w:r>
              <w:rPr>
                <w:rFonts w:ascii="Arial" w:cs="Arial" w:eastAsia="Arial" w:hAnsi="Arial"/>
                <w:sz w:val="18"/>
                <w:szCs w:val="18"/>
              </w:rPr>
              <w:t xml:space="preserve">Externo</w:t>
            </w:r>
          </w:p>
        </w:tc>
        <w:tc>
          <w:tcPr>
            <w:tcW w:type="dxa" w:w="260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Tabla del cronograma, fila:</w:t>
            </w:r>
          </w:p>
          <w:p>
            <w:pPr>
              <w:spacing w:after="60" w:before="0"/>
            </w:pPr>
            <w:r>
              <w:rPr>
                <w:rFonts w:ascii="Arial" w:cs="Arial" w:eastAsia="Arial" w:hAnsi="Arial"/>
                <w:sz w:val="18"/>
                <w:szCs w:val="18"/>
              </w:rPr>
              <w:t xml:space="preserve">«Servicios de iniciación de pagos» — 132 meses</w:t>
            </w:r>
          </w:p>
        </w:tc>
        <w:tc>
          <w:tcPr>
            <w:tcW w:type="dxa" w:w="568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La actividad de iniciación de pagos ya se encuentra habilitada y en operación. </w:t>
            </w:r>
            <w:r>
              <w:rPr>
                <w:rFonts w:ascii="Arial" w:cs="Arial" w:eastAsia="Arial" w:hAnsi="Arial"/>
                <w:sz w:val="18"/>
                <w:szCs w:val="18"/>
              </w:rPr>
              <w:t xml:space="preserve">El Título 4 del Libro 17 de la Parte 2 del Decreto 2555 de 2010, adicionado por el artículo 4 del Decreto 1297 de 2022, permite que la desarrollen los establecimientos de crédito, las SEDPE, las entidades administradoras de sistemas de pago de bajo valor y sociedades no vigiladas por la SFC, con derecho de acceso a los sistemas de pago (artículo 2.17.4.1.2).</w:t>
            </w:r>
          </w:p>
          <w:p>
            <w:pPr>
              <w:spacing w:after="60" w:before="0"/>
            </w:pPr>
            <w:r>
              <w:rPr>
                <w:rFonts w:ascii="Arial" w:cs="Arial" w:eastAsia="Arial" w:hAnsi="Arial"/>
                <w:sz w:val="18"/>
                <w:szCs w:val="18"/>
              </w:rPr>
              <w:t xml:space="preserve">En consecuencia, el plazo de 132 meses no difiere la actividad, pero sí posterga la estandarización. Ello genera tres efectos: (i) fragmentación, porque cada entidad administradora define reglas operativas, técnicas y de seguridad propias en su reglamento (numeral 4 del artículo 2.17.4.1.2), obligando a los iniciadores a integrarse por separado con cada una; (ii) ausencia de un marco común para los pagos recurrentes, pese a que el artículo 2 del Decreto 0368 de 2026 amplió expresamente el mandato a servicios «recurrentes o no recurrentes»; y (iii) falta de reglas comunes de autenticación, dado que el numeral 3 del artículo 2.17.4.1.3 remite a instrucciones de la SFC aún no expedidas.</w:t>
            </w:r>
          </w:p>
          <w:p>
            <w:pPr>
              <w:spacing w:after="60" w:before="0"/>
            </w:pPr>
            <w:r>
              <w:rPr>
                <w:rFonts w:ascii="Arial" w:cs="Arial" w:eastAsia="Arial" w:hAnsi="Arial"/>
                <w:b/>
                <w:bCs/>
                <w:sz w:val="18"/>
                <w:szCs w:val="18"/>
              </w:rPr>
              <w:t xml:space="preserve">Propuesta: </w:t>
            </w:r>
            <w:r>
              <w:rPr>
                <w:rFonts w:ascii="Arial" w:cs="Arial" w:eastAsia="Arial" w:hAnsi="Arial"/>
                <w:sz w:val="18"/>
                <w:szCs w:val="18"/>
              </w:rPr>
              <w:t xml:space="preserve">desagregar esta fila en dos entregables con plazos diferenciados y sustancialmente anteriores: (a) las reglas de autenticación del ordenante y de confirmación del resultado de la operación previstas en el numeral 3 del artículo 2.17.4.1.3; y (b) los estándares aplicables a los servicios de iniciación de pagos recurrentes.</w:t>
            </w:r>
          </w:p>
        </w:tc>
        <w:tc>
          <w:tcPr>
            <w:tcW w:type="dxa" w:w="19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c>
          <w:tcPr>
            <w:tcW w:type="dxa" w:w="11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r>
      <w:tr>
        <w:tc>
          <w:tcPr>
            <w:tcW w:type="dxa" w:w="620"/>
            <w:tcMar>
              <w:top w:type="dxa" w:w="80"/>
              <w:left w:type="dxa" w:w="100"/>
              <w:bottom w:type="dxa" w:w="80"/>
              <w:right w:type="dxa" w:w="100"/>
            </w:tcMar>
            <w:vAlign w:val="top"/>
          </w:tcPr>
          <w:p>
            <w:pPr>
              <w:spacing w:after="60" w:before="0"/>
              <w:jc w:val="center"/>
            </w:pPr>
            <w:r>
              <w:rPr>
                <w:rFonts w:ascii="Arial" w:cs="Arial" w:eastAsia="Arial" w:hAnsi="Arial"/>
                <w:b/>
                <w:bCs/>
                <w:sz w:val="18"/>
                <w:szCs w:val="18"/>
              </w:rPr>
              <w:t xml:space="preserve">3</w:t>
            </w:r>
          </w:p>
        </w:tc>
        <w:tc>
          <w:tcPr>
            <w:tcW w:type="dxa" w:w="1060"/>
            <w:tcMar>
              <w:top w:type="dxa" w:w="80"/>
              <w:left w:type="dxa" w:w="100"/>
              <w:bottom w:type="dxa" w:w="80"/>
              <w:right w:type="dxa" w:w="100"/>
            </w:tcMar>
            <w:vAlign w:val="top"/>
          </w:tcPr>
          <w:p>
            <w:pPr>
              <w:spacing w:after="60" w:before="0"/>
            </w:pPr>
            <w:r>
              <w:rPr>
                <w:rFonts w:ascii="Arial" w:cs="Arial" w:eastAsia="Arial" w:hAnsi="Arial"/>
                <w:sz w:val="18"/>
                <w:szCs w:val="18"/>
              </w:rPr>
              <w:t xml:space="preserve">Externo</w:t>
            </w:r>
          </w:p>
        </w:tc>
        <w:tc>
          <w:tcPr>
            <w:tcW w:type="dxa" w:w="260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Tabla del cronograma, filas:</w:t>
            </w:r>
          </w:p>
          <w:p>
            <w:pPr>
              <w:spacing w:after="60" w:before="0"/>
            </w:pPr>
            <w:r>
              <w:rPr>
                <w:rFonts w:ascii="Arial" w:cs="Arial" w:eastAsia="Arial" w:hAnsi="Arial"/>
                <w:sz w:val="18"/>
                <w:szCs w:val="18"/>
              </w:rPr>
              <w:t xml:space="preserve">«Características generales de los productos y servicios de crédito / de captación / de seguros / de inversión» — 36, 48, 60 y 72 meses</w:t>
            </w:r>
          </w:p>
        </w:tc>
        <w:tc>
          <w:tcPr>
            <w:tcW w:type="dxa" w:w="568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Se sugiere adelantar estas cuatro filas por tratarse de la categoría de menor riesgo del sistema. </w:t>
            </w:r>
            <w:r>
              <w:rPr>
                <w:rFonts w:ascii="Arial" w:cs="Arial" w:eastAsia="Arial" w:hAnsi="Arial"/>
                <w:sz w:val="18"/>
                <w:szCs w:val="18"/>
              </w:rPr>
              <w:t xml:space="preserve">Conforme al parágrafo del artículo 2.35.8.3.2 del Decreto 2555 de 2010, la información del numeral 3 del artículo 2.35.8.2.1 no requiere autorización previa del Titular, por lo que su circulación no involucra tratamiento de datos personales.</w:t>
            </w:r>
          </w:p>
          <w:p>
            <w:pPr>
              <w:spacing w:after="60" w:before="0"/>
            </w:pPr>
            <w:r>
              <w:rPr>
                <w:rFonts w:ascii="Arial" w:cs="Arial" w:eastAsia="Arial" w:hAnsi="Arial"/>
                <w:sz w:val="18"/>
                <w:szCs w:val="18"/>
              </w:rPr>
              <w:t xml:space="preserve">Esto permite que el ecosistema ejercite el directorio de participantes, los protocolos de intercambio y el espacio de pruebas del artículo 2.35.8.4.2 sobre información no personal, antes de habilitar categorías que sí comprometen datos del Titular. Es el orden que siguió Brasil, cuya primera fase se limitó a datos abiertos de productos y canales.</w:t>
            </w:r>
          </w:p>
          <w:p>
            <w:pPr>
              <w:spacing w:after="60" w:before="0"/>
            </w:pPr>
            <w:r>
              <w:rPr>
                <w:rFonts w:ascii="Arial" w:cs="Arial" w:eastAsia="Arial" w:hAnsi="Arial"/>
                <w:sz w:val="18"/>
                <w:szCs w:val="18"/>
              </w:rPr>
              <w:t xml:space="preserve">Adicionalmente, estas categorías materializan de forma directa el derecho del literal b) del artículo 5 y la obligación del artículo 9 de la Ley 1328 de 2009, así como el numeral 1 del artículo 97 del Estatuto Orgánico del Sistema Financiero, al habilitar comparadores de oferta para el consumidor financiero.</w:t>
            </w:r>
          </w:p>
          <w:p>
            <w:pPr>
              <w:spacing w:after="60" w:before="0"/>
            </w:pPr>
            <w:r>
              <w:rPr>
                <w:rFonts w:ascii="Arial" w:cs="Arial" w:eastAsia="Arial" w:hAnsi="Arial"/>
                <w:b/>
                <w:bCs/>
                <w:sz w:val="18"/>
                <w:szCs w:val="18"/>
              </w:rPr>
              <w:t xml:space="preserve">Propuesta: </w:t>
            </w:r>
            <w:r>
              <w:rPr>
                <w:rFonts w:ascii="Arial" w:cs="Arial" w:eastAsia="Arial" w:hAnsi="Arial"/>
                <w:sz w:val="18"/>
                <w:szCs w:val="18"/>
              </w:rPr>
              <w:t xml:space="preserve">reubicar estas cuatro filas en los primeros tramos del cronograma, de forma escalonada y sin desplazar los estándares de portabilidad financiera.</w:t>
            </w:r>
          </w:p>
        </w:tc>
        <w:tc>
          <w:tcPr>
            <w:tcW w:type="dxa" w:w="19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c>
          <w:tcPr>
            <w:tcW w:type="dxa" w:w="11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r>
      <w:tr>
        <w:tc>
          <w:tcPr>
            <w:tcW w:type="dxa" w:w="620"/>
            <w:tcMar>
              <w:top w:type="dxa" w:w="80"/>
              <w:left w:type="dxa" w:w="100"/>
              <w:bottom w:type="dxa" w:w="80"/>
              <w:right w:type="dxa" w:w="100"/>
            </w:tcMar>
            <w:vAlign w:val="top"/>
          </w:tcPr>
          <w:p>
            <w:pPr>
              <w:spacing w:after="60" w:before="0"/>
              <w:jc w:val="center"/>
            </w:pPr>
            <w:r>
              <w:rPr>
                <w:rFonts w:ascii="Arial" w:cs="Arial" w:eastAsia="Arial" w:hAnsi="Arial"/>
                <w:b/>
                <w:bCs/>
                <w:sz w:val="18"/>
                <w:szCs w:val="18"/>
              </w:rPr>
              <w:t xml:space="preserve">4</w:t>
            </w:r>
          </w:p>
        </w:tc>
        <w:tc>
          <w:tcPr>
            <w:tcW w:type="dxa" w:w="1060"/>
            <w:tcMar>
              <w:top w:type="dxa" w:w="80"/>
              <w:left w:type="dxa" w:w="100"/>
              <w:bottom w:type="dxa" w:w="80"/>
              <w:right w:type="dxa" w:w="100"/>
            </w:tcMar>
            <w:vAlign w:val="top"/>
          </w:tcPr>
          <w:p>
            <w:pPr>
              <w:spacing w:after="60" w:before="0"/>
            </w:pPr>
            <w:r>
              <w:rPr>
                <w:rFonts w:ascii="Arial" w:cs="Arial" w:eastAsia="Arial" w:hAnsi="Arial"/>
                <w:sz w:val="18"/>
                <w:szCs w:val="18"/>
              </w:rPr>
              <w:t xml:space="preserve">Externo</w:t>
            </w:r>
          </w:p>
        </w:tc>
        <w:tc>
          <w:tcPr>
            <w:tcW w:type="dxa" w:w="260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Tabla del cronograma, filas:</w:t>
            </w:r>
          </w:p>
          <w:p>
            <w:pPr>
              <w:spacing w:after="60" w:before="0"/>
            </w:pPr>
            <w:r>
              <w:rPr>
                <w:rFonts w:ascii="Arial" w:cs="Arial" w:eastAsia="Arial" w:hAnsi="Arial"/>
                <w:sz w:val="18"/>
                <w:szCs w:val="18"/>
              </w:rPr>
              <w:t xml:space="preserve">«Historial transaccional de depósitos a la vista» — 96 meses y «Historial transaccional de productos de crédito» — 84 meses</w:t>
            </w:r>
          </w:p>
        </w:tc>
        <w:tc>
          <w:tcPr>
            <w:tcW w:type="dxa" w:w="568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Estas dos categorías son el insumo central del objetivo de política que sustenta el decreto. </w:t>
            </w:r>
            <w:r>
              <w:rPr>
                <w:rFonts w:ascii="Arial" w:cs="Arial" w:eastAsia="Arial" w:hAnsi="Arial"/>
                <w:sz w:val="18"/>
                <w:szCs w:val="18"/>
              </w:rPr>
              <w:t xml:space="preserve">El literal e) del artículo 88 de la Ley 2294 de 2023 encomienda promover la inclusión financiera y crediticia de la Economía Popular y de las Pyme «a través de una mayor disponibilidad de información para su caracterización y perfilamiento crediticio». El historial transaccional es, precisamente, la fuente alternativa de información que permite evaluar capacidad de pago de quien carece de historial crediticio tradicional.</w:t>
            </w:r>
          </w:p>
          <w:p>
            <w:pPr>
              <w:spacing w:after="60" w:before="0"/>
            </w:pPr>
            <w:r>
              <w:rPr>
                <w:rFonts w:ascii="Arial" w:cs="Arial" w:eastAsia="Arial" w:hAnsi="Arial"/>
                <w:sz w:val="18"/>
                <w:szCs w:val="18"/>
              </w:rPr>
              <w:t xml:space="preserve">Sumado al plazo de habilitación de doce (12) meses del artículo 2.35.8.3.7, prorrogable por seis (6), el beneficio para la población objetivo se materializaría hacia 2035 o 2036.</w:t>
            </w:r>
          </w:p>
          <w:p>
            <w:pPr>
              <w:spacing w:after="60" w:before="0"/>
            </w:pPr>
            <w:r>
              <w:rPr>
                <w:rFonts w:ascii="Arial" w:cs="Arial" w:eastAsia="Arial" w:hAnsi="Arial"/>
                <w:b/>
                <w:bCs/>
                <w:sz w:val="18"/>
                <w:szCs w:val="18"/>
              </w:rPr>
              <w:t xml:space="preserve">Propuesta: </w:t>
            </w:r>
            <w:r>
              <w:rPr>
                <w:rFonts w:ascii="Arial" w:cs="Arial" w:eastAsia="Arial" w:hAnsi="Arial"/>
                <w:sz w:val="18"/>
                <w:szCs w:val="18"/>
              </w:rPr>
              <w:t xml:space="preserve">adelantar de forma significativa ambas filas, o considerar un alcance inicial acotado —por ejemplo, un subconjunto de campos suficiente para el perfilamiento crediticio— con expedición temprana y ampliación posterior por versiones del estándar.</w:t>
            </w:r>
          </w:p>
        </w:tc>
        <w:tc>
          <w:tcPr>
            <w:tcW w:type="dxa" w:w="19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c>
          <w:tcPr>
            <w:tcW w:type="dxa" w:w="11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r>
      <w:tr>
        <w:tc>
          <w:tcPr>
            <w:tcW w:type="dxa" w:w="620"/>
            <w:tcMar>
              <w:top w:type="dxa" w:w="80"/>
              <w:left w:type="dxa" w:w="100"/>
              <w:bottom w:type="dxa" w:w="80"/>
              <w:right w:type="dxa" w:w="100"/>
            </w:tcMar>
            <w:vAlign w:val="top"/>
          </w:tcPr>
          <w:p>
            <w:pPr>
              <w:spacing w:after="60" w:before="0"/>
              <w:jc w:val="center"/>
            </w:pPr>
            <w:r>
              <w:rPr>
                <w:rFonts w:ascii="Arial" w:cs="Arial" w:eastAsia="Arial" w:hAnsi="Arial"/>
                <w:b/>
                <w:bCs/>
                <w:sz w:val="18"/>
                <w:szCs w:val="18"/>
              </w:rPr>
              <w:t xml:space="preserve">5</w:t>
            </w:r>
          </w:p>
        </w:tc>
        <w:tc>
          <w:tcPr>
            <w:tcW w:type="dxa" w:w="1060"/>
            <w:tcMar>
              <w:top w:type="dxa" w:w="80"/>
              <w:left w:type="dxa" w:w="100"/>
              <w:bottom w:type="dxa" w:w="80"/>
              <w:right w:type="dxa" w:w="100"/>
            </w:tcMar>
            <w:vAlign w:val="top"/>
          </w:tcPr>
          <w:p>
            <w:pPr>
              <w:spacing w:after="60" w:before="0"/>
            </w:pPr>
            <w:r>
              <w:rPr>
                <w:rFonts w:ascii="Arial" w:cs="Arial" w:eastAsia="Arial" w:hAnsi="Arial"/>
                <w:sz w:val="18"/>
                <w:szCs w:val="18"/>
              </w:rPr>
              <w:t xml:space="preserve">Externo</w:t>
            </w:r>
          </w:p>
        </w:tc>
        <w:tc>
          <w:tcPr>
            <w:tcW w:type="dxa" w:w="260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Cuerpo de la Carta Circular</w:t>
            </w:r>
          </w:p>
          <w:p>
            <w:pPr>
              <w:spacing w:after="60" w:before="0"/>
            </w:pPr>
            <w:r>
              <w:rPr>
                <w:rFonts w:ascii="Arial" w:cs="Arial" w:eastAsia="Arial" w:hAnsi="Arial"/>
                <w:sz w:val="18"/>
                <w:szCs w:val="18"/>
              </w:rPr>
              <w:t xml:space="preserve">Estructura del cronograma</w:t>
            </w:r>
          </w:p>
        </w:tc>
        <w:tc>
          <w:tcPr>
            <w:tcW w:type="dxa" w:w="568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El cronograma fija únicamente una fecha tope por categoría, sin hitos intermedios verificables. </w:t>
            </w:r>
            <w:r>
              <w:rPr>
                <w:rFonts w:ascii="Arial" w:cs="Arial" w:eastAsia="Arial" w:hAnsi="Arial"/>
                <w:sz w:val="18"/>
                <w:szCs w:val="18"/>
              </w:rPr>
              <w:t xml:space="preserve">Ello dificulta que los participantes planifiquen inversiones y asignen capacidad técnica con anticipación, que es justamente el propósito de planeación e información que el propio proyecto reconoce.</w:t>
            </w:r>
          </w:p>
          <w:p>
            <w:pPr>
              <w:spacing w:after="60" w:before="0"/>
            </w:pPr>
            <w:r>
              <w:rPr>
                <w:rFonts w:ascii="Arial" w:cs="Arial" w:eastAsia="Arial" w:hAnsi="Arial"/>
                <w:b/>
                <w:bCs/>
                <w:sz w:val="18"/>
                <w:szCs w:val="18"/>
              </w:rPr>
              <w:t xml:space="preserve">Propuesta: </w:t>
            </w:r>
            <w:r>
              <w:rPr>
                <w:rFonts w:ascii="Arial" w:cs="Arial" w:eastAsia="Arial" w:hAnsi="Arial"/>
                <w:sz w:val="18"/>
                <w:szCs w:val="18"/>
              </w:rPr>
              <w:t xml:space="preserve">incorporar para cada estándar, al menos, cuatro hitos: (i) publicación del borrador para comentarios; (ii) cierre de comentarios; (iii) versión candidata; y (iv) expedición de la versión final. Los esquemas de gobernanza de Brasil y el Data Standards Body de Australia publican calendarios con este nivel de detalle.</w:t>
            </w:r>
          </w:p>
        </w:tc>
        <w:tc>
          <w:tcPr>
            <w:tcW w:type="dxa" w:w="19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c>
          <w:tcPr>
            <w:tcW w:type="dxa" w:w="11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r>
      <w:tr>
        <w:tc>
          <w:tcPr>
            <w:tcW w:type="dxa" w:w="620"/>
            <w:tcMar>
              <w:top w:type="dxa" w:w="80"/>
              <w:left w:type="dxa" w:w="100"/>
              <w:bottom w:type="dxa" w:w="80"/>
              <w:right w:type="dxa" w:w="100"/>
            </w:tcMar>
            <w:vAlign w:val="top"/>
          </w:tcPr>
          <w:p>
            <w:pPr>
              <w:spacing w:after="60" w:before="0"/>
              <w:jc w:val="center"/>
            </w:pPr>
            <w:r>
              <w:rPr>
                <w:rFonts w:ascii="Arial" w:cs="Arial" w:eastAsia="Arial" w:hAnsi="Arial"/>
                <w:b/>
                <w:bCs/>
                <w:sz w:val="18"/>
                <w:szCs w:val="18"/>
              </w:rPr>
              <w:t xml:space="preserve">6</w:t>
            </w:r>
          </w:p>
        </w:tc>
        <w:tc>
          <w:tcPr>
            <w:tcW w:type="dxa" w:w="1060"/>
            <w:tcMar>
              <w:top w:type="dxa" w:w="80"/>
              <w:left w:type="dxa" w:w="100"/>
              <w:bottom w:type="dxa" w:w="80"/>
              <w:right w:type="dxa" w:w="100"/>
            </w:tcMar>
            <w:vAlign w:val="top"/>
          </w:tcPr>
          <w:p>
            <w:pPr>
              <w:spacing w:after="60" w:before="0"/>
            </w:pPr>
            <w:r>
              <w:rPr>
                <w:rFonts w:ascii="Arial" w:cs="Arial" w:eastAsia="Arial" w:hAnsi="Arial"/>
                <w:sz w:val="18"/>
                <w:szCs w:val="18"/>
              </w:rPr>
              <w:t xml:space="preserve">Externo</w:t>
            </w:r>
          </w:p>
        </w:tc>
        <w:tc>
          <w:tcPr>
            <w:tcW w:type="dxa" w:w="260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Cuerpo de la Carta Circular</w:t>
            </w:r>
          </w:p>
          <w:p>
            <w:pPr>
              <w:spacing w:after="60" w:before="0"/>
            </w:pPr>
            <w:r>
              <w:rPr>
                <w:rFonts w:ascii="Arial" w:cs="Arial" w:eastAsia="Arial" w:hAnsi="Arial"/>
                <w:sz w:val="18"/>
                <w:szCs w:val="18"/>
              </w:rPr>
              <w:t xml:space="preserve">Espacio de pruebas y certificación de conformidad</w:t>
            </w:r>
          </w:p>
        </w:tc>
        <w:tc>
          <w:tcPr>
            <w:tcW w:type="dxa" w:w="5680"/>
            <w:tcMar>
              <w:top w:type="dxa" w:w="80"/>
              <w:left w:type="dxa" w:w="100"/>
              <w:bottom w:type="dxa" w:w="80"/>
              <w:right w:type="dxa" w:w="100"/>
            </w:tcMar>
            <w:vAlign w:val="top"/>
          </w:tcPr>
          <w:p>
            <w:pPr>
              <w:spacing w:after="60" w:before="0"/>
            </w:pPr>
            <w:r>
              <w:rPr>
                <w:rFonts w:ascii="Arial" w:cs="Arial" w:eastAsia="Arial" w:hAnsi="Arial"/>
                <w:b w:val="false"/>
                <w:bCs w:val="false"/>
                <w:sz w:val="18"/>
                <w:szCs w:val="18"/>
              </w:rPr>
              <w:t xml:space="preserve">El artículo 2.35.8.5.4 del Decreto 2555 de 2010 exige a la SFC verificar, previo a la inscripción en el directorio, el cumplimiento de los estándares y el adecuado funcionamiento de los protocolos de intercambio automático de información. Sin embargo, el artículo 2.35.8.4.2 configura el espacio de pruebas como una facultad («podrá habilitar»), sin que se defina el mecanismo operativo de esa verificación.</w:t>
            </w:r>
          </w:p>
          <w:p>
            <w:pPr>
              <w:spacing w:after="60" w:before="0"/>
            </w:pPr>
            <w:r>
              <w:rPr>
                <w:rFonts w:ascii="Arial" w:cs="Arial" w:eastAsia="Arial" w:hAnsi="Arial"/>
                <w:sz w:val="18"/>
                <w:szCs w:val="18"/>
              </w:rPr>
              <w:t xml:space="preserve">La experiencia comparada indica que, sin pruebas de conformidad obligatorias previas a producción, la interoperabilidad efectiva no se materializa. Brasil y Australia exigen certificación antes del ingreso al ecosistema.</w:t>
            </w:r>
          </w:p>
          <w:p>
            <w:pPr>
              <w:spacing w:after="60" w:before="0"/>
            </w:pPr>
            <w:r>
              <w:rPr>
                <w:rFonts w:ascii="Arial" w:cs="Arial" w:eastAsia="Arial" w:hAnsi="Arial"/>
                <w:b/>
                <w:bCs/>
                <w:sz w:val="18"/>
                <w:szCs w:val="18"/>
              </w:rPr>
              <w:t xml:space="preserve">Propuesta: </w:t>
            </w:r>
            <w:r>
              <w:rPr>
                <w:rFonts w:ascii="Arial" w:cs="Arial" w:eastAsia="Arial" w:hAnsi="Arial"/>
                <w:sz w:val="18"/>
                <w:szCs w:val="18"/>
              </w:rPr>
              <w:t xml:space="preserve">incluir en el cronograma la fecha de habilitación del espacio de pruebas del artículo 2.35.8.4.2, y anunciar que la certificación de conformidad —incluida la del perfil de seguridad FAPI 2.0 exigido por el literal a) del subnumeral 3.2.3 del Capítulo IX— constituirá requisito para la inscripción en el directorio de participantes.</w:t>
            </w:r>
          </w:p>
        </w:tc>
        <w:tc>
          <w:tcPr>
            <w:tcW w:type="dxa" w:w="19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c>
          <w:tcPr>
            <w:tcW w:type="dxa" w:w="11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r>
      <w:tr>
        <w:tc>
          <w:tcPr>
            <w:tcW w:type="dxa" w:w="620"/>
            <w:tcMar>
              <w:top w:type="dxa" w:w="80"/>
              <w:left w:type="dxa" w:w="100"/>
              <w:bottom w:type="dxa" w:w="80"/>
              <w:right w:type="dxa" w:w="100"/>
            </w:tcMar>
            <w:vAlign w:val="top"/>
          </w:tcPr>
          <w:p>
            <w:pPr>
              <w:spacing w:after="60" w:before="0"/>
              <w:jc w:val="center"/>
            </w:pPr>
            <w:r>
              <w:rPr>
                <w:rFonts w:ascii="Arial" w:cs="Arial" w:eastAsia="Arial" w:hAnsi="Arial"/>
                <w:b/>
                <w:bCs/>
                <w:sz w:val="18"/>
                <w:szCs w:val="18"/>
              </w:rPr>
              <w:t xml:space="preserve">7</w:t>
            </w:r>
          </w:p>
        </w:tc>
        <w:tc>
          <w:tcPr>
            <w:tcW w:type="dxa" w:w="1060"/>
            <w:tcMar>
              <w:top w:type="dxa" w:w="80"/>
              <w:left w:type="dxa" w:w="100"/>
              <w:bottom w:type="dxa" w:w="80"/>
              <w:right w:type="dxa" w:w="100"/>
            </w:tcMar>
            <w:vAlign w:val="top"/>
          </w:tcPr>
          <w:p>
            <w:pPr>
              <w:spacing w:after="60" w:before="0"/>
            </w:pPr>
            <w:r>
              <w:rPr>
                <w:rFonts w:ascii="Arial" w:cs="Arial" w:eastAsia="Arial" w:hAnsi="Arial"/>
                <w:sz w:val="18"/>
                <w:szCs w:val="18"/>
              </w:rPr>
              <w:t xml:space="preserve">Externo</w:t>
            </w:r>
          </w:p>
        </w:tc>
        <w:tc>
          <w:tcPr>
            <w:tcW w:type="dxa" w:w="260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Cuerpo de la Carta Circular</w:t>
            </w:r>
          </w:p>
          <w:p>
            <w:pPr>
              <w:spacing w:after="60" w:before="0"/>
            </w:pPr>
            <w:r>
              <w:rPr>
                <w:rFonts w:ascii="Arial" w:cs="Arial" w:eastAsia="Arial" w:hAnsi="Arial"/>
                <w:sz w:val="18"/>
                <w:szCs w:val="18"/>
              </w:rPr>
              <w:t xml:space="preserve">Articulación con la Circular Externa 004 de 2024</w:t>
            </w:r>
          </w:p>
        </w:tc>
        <w:tc>
          <w:tcPr>
            <w:tcW w:type="dxa" w:w="568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Se solicita precisar el régimen aplicable en el período de transición. </w:t>
            </w:r>
            <w:r>
              <w:rPr>
                <w:rFonts w:ascii="Arial" w:cs="Arial" w:eastAsia="Arial" w:hAnsi="Arial"/>
                <w:sz w:val="18"/>
                <w:szCs w:val="18"/>
              </w:rPr>
              <w:t xml:space="preserve">El plazo de la instrucción SEXTA de la Circular Externa 004 de 2024, prorrogado por la Circular Externa 009 de 2025 y por la Circular Externa 001 de 2026, venció el 7 de agosto de 2026. A la fecha de esta comunicación no se ha expedido la circular externa que subroga el Capítulo IX del Título I de la Parte I de la Circular Básica Jurídica, publicada para comentarios entre el 24 de julio y el 11 de agosto de 2026.</w:t>
            </w:r>
          </w:p>
          <w:p>
            <w:pPr>
              <w:spacing w:after="60" w:before="0"/>
            </w:pPr>
            <w:r>
              <w:rPr>
                <w:rFonts w:ascii="Arial" w:cs="Arial" w:eastAsia="Arial" w:hAnsi="Arial"/>
                <w:sz w:val="18"/>
                <w:szCs w:val="18"/>
              </w:rPr>
              <w:t xml:space="preserve">Adicionalmente, la Circular Externa 004 de 2024 se expidió en desarrollo del artículo 2.35.10.1.1 del Decreto 2555 de 2010, disposición contenida en el Título 10 del Libro 35 de la Parte 2, que fue derogado por el artículo 5 del Decreto 0368 de 2026.</w:t>
            </w:r>
          </w:p>
          <w:p>
            <w:pPr>
              <w:spacing w:after="60" w:before="0"/>
            </w:pPr>
            <w:r>
              <w:rPr>
                <w:rFonts w:ascii="Arial" w:cs="Arial" w:eastAsia="Arial" w:hAnsi="Arial"/>
                <w:b/>
                <w:bCs/>
                <w:sz w:val="18"/>
                <w:szCs w:val="18"/>
              </w:rPr>
              <w:t xml:space="preserve">Propuesta: </w:t>
            </w:r>
            <w:r>
              <w:rPr>
                <w:rFonts w:ascii="Arial" w:cs="Arial" w:eastAsia="Arial" w:hAnsi="Arial"/>
                <w:sz w:val="18"/>
                <w:szCs w:val="18"/>
              </w:rPr>
              <w:t xml:space="preserve">aclarar en el cuerpo de la Carta Circular qué instrucciones resultan exigibles durante el intervalo entre el vencimiento del régimen de transición y la expedición del nuevo Capítulo IX, e indicar la fecha estimada de expedición de esa circular.</w:t>
            </w:r>
          </w:p>
        </w:tc>
        <w:tc>
          <w:tcPr>
            <w:tcW w:type="dxa" w:w="19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c>
          <w:tcPr>
            <w:tcW w:type="dxa" w:w="11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r>
      <w:tr>
        <w:tc>
          <w:tcPr>
            <w:tcW w:type="dxa" w:w="620"/>
            <w:tcMar>
              <w:top w:type="dxa" w:w="80"/>
              <w:left w:type="dxa" w:w="100"/>
              <w:bottom w:type="dxa" w:w="80"/>
              <w:right w:type="dxa" w:w="100"/>
            </w:tcMar>
            <w:vAlign w:val="top"/>
          </w:tcPr>
          <w:p>
            <w:pPr>
              <w:spacing w:after="60" w:before="0"/>
              <w:jc w:val="center"/>
            </w:pPr>
            <w:r>
              <w:rPr>
                <w:rFonts w:ascii="Arial" w:cs="Arial" w:eastAsia="Arial" w:hAnsi="Arial"/>
                <w:b/>
                <w:bCs/>
                <w:sz w:val="18"/>
                <w:szCs w:val="18"/>
              </w:rPr>
              <w:t xml:space="preserve">8</w:t>
            </w:r>
          </w:p>
        </w:tc>
        <w:tc>
          <w:tcPr>
            <w:tcW w:type="dxa" w:w="1060"/>
            <w:tcMar>
              <w:top w:type="dxa" w:w="80"/>
              <w:left w:type="dxa" w:w="100"/>
              <w:bottom w:type="dxa" w:w="80"/>
              <w:right w:type="dxa" w:w="100"/>
            </w:tcMar>
            <w:vAlign w:val="top"/>
          </w:tcPr>
          <w:p>
            <w:pPr>
              <w:spacing w:after="60" w:before="0"/>
            </w:pPr>
            <w:r>
              <w:rPr>
                <w:rFonts w:ascii="Arial" w:cs="Arial" w:eastAsia="Arial" w:hAnsi="Arial"/>
                <w:sz w:val="18"/>
                <w:szCs w:val="18"/>
              </w:rPr>
              <w:t xml:space="preserve">Externo</w:t>
            </w:r>
          </w:p>
        </w:tc>
        <w:tc>
          <w:tcPr>
            <w:tcW w:type="dxa" w:w="2600"/>
            <w:tcMar>
              <w:top w:type="dxa" w:w="80"/>
              <w:left w:type="dxa" w:w="100"/>
              <w:bottom w:type="dxa" w:w="80"/>
              <w:right w:type="dxa" w:w="100"/>
            </w:tcMar>
            <w:vAlign w:val="top"/>
          </w:tcPr>
          <w:p>
            <w:pPr>
              <w:spacing w:after="60" w:before="0"/>
            </w:pPr>
            <w:r>
              <w:rPr>
                <w:rFonts w:ascii="Arial" w:cs="Arial" w:eastAsia="Arial" w:hAnsi="Arial"/>
                <w:b/>
                <w:bCs/>
                <w:sz w:val="18"/>
                <w:szCs w:val="18"/>
              </w:rPr>
              <w:t xml:space="preserve">Cuerpo de la Carta Circular</w:t>
            </w:r>
          </w:p>
          <w:p>
            <w:pPr>
              <w:spacing w:after="60" w:before="0"/>
            </w:pPr>
            <w:r>
              <w:rPr>
                <w:rFonts w:ascii="Arial" w:cs="Arial" w:eastAsia="Arial" w:hAnsi="Arial"/>
                <w:sz w:val="18"/>
                <w:szCs w:val="18"/>
              </w:rPr>
              <w:t xml:space="preserve">Resultados del ejercicio de priorización (metodología IGO)</w:t>
            </w:r>
          </w:p>
        </w:tc>
        <w:tc>
          <w:tcPr>
            <w:tcW w:type="dxa" w:w="5680"/>
            <w:tcMar>
              <w:top w:type="dxa" w:w="80"/>
              <w:left w:type="dxa" w:w="100"/>
              <w:bottom w:type="dxa" w:w="80"/>
              <w:right w:type="dxa" w:w="100"/>
            </w:tcMar>
            <w:vAlign w:val="top"/>
          </w:tcPr>
          <w:p>
            <w:pPr>
              <w:spacing w:after="60" w:before="0"/>
            </w:pPr>
            <w:r>
              <w:rPr>
                <w:rFonts w:ascii="Arial" w:cs="Arial" w:eastAsia="Arial" w:hAnsi="Arial"/>
                <w:b w:val="false"/>
                <w:bCs w:val="false"/>
                <w:sz w:val="18"/>
                <w:szCs w:val="18"/>
              </w:rPr>
              <w:t xml:space="preserve">La Carta Circular informa que la priorización se sustentó en siete mesas técnicas con 157 entidades y en la aplicación de la metodología de Importancia y Gobernabilidad (IGO), pero no publica los resultados de ese ejercicio.</w:t>
            </w:r>
          </w:p>
          <w:p>
            <w:pPr>
              <w:spacing w:after="60" w:before="0"/>
            </w:pPr>
            <w:r>
              <w:rPr>
                <w:rFonts w:ascii="Arial" w:cs="Arial" w:eastAsia="Arial" w:hAnsi="Arial"/>
                <w:sz w:val="18"/>
                <w:szCs w:val="18"/>
              </w:rPr>
              <w:t xml:space="preserve">La publicación de dichos resultados permitiría a los participantes contrastar el orden propuesto con la valoración agregada del sector y formular observaciones sobre bases verificables, fortaleciendo la legitimidad técnica del cronograma.</w:t>
            </w:r>
          </w:p>
          <w:p>
            <w:pPr>
              <w:spacing w:after="60" w:before="0"/>
            </w:pPr>
            <w:r>
              <w:rPr>
                <w:rFonts w:ascii="Arial" w:cs="Arial" w:eastAsia="Arial" w:hAnsi="Arial"/>
                <w:b/>
                <w:bCs/>
                <w:sz w:val="18"/>
                <w:szCs w:val="18"/>
              </w:rPr>
              <w:t xml:space="preserve">Propuesta: </w:t>
            </w:r>
            <w:r>
              <w:rPr>
                <w:rFonts w:ascii="Arial" w:cs="Arial" w:eastAsia="Arial" w:hAnsi="Arial"/>
                <w:sz w:val="18"/>
                <w:szCs w:val="18"/>
              </w:rPr>
              <w:t xml:space="preserve">publicar, como anexo de la Carta Circular o como documento técnico independiente, la matriz de resultados del ejercicio IGO y los criterios con los que la SFC incorporó las necesidades de supervisión y capacidades institucionales conforme al parágrafo 2 del artículo 3 del Decreto 0368 de 2026.</w:t>
            </w:r>
          </w:p>
        </w:tc>
        <w:tc>
          <w:tcPr>
            <w:tcW w:type="dxa" w:w="19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c>
          <w:tcPr>
            <w:tcW w:type="dxa" w:w="1100"/>
            <w:shd w:fill="F2F2F2" w:color="auto" w:val="clear"/>
            <w:tcMar>
              <w:top w:type="dxa" w:w="80"/>
              <w:left w:type="dxa" w:w="100"/>
              <w:bottom w:type="dxa" w:w="80"/>
              <w:right w:type="dxa" w:w="100"/>
            </w:tcMar>
            <w:vAlign w:val="top"/>
          </w:tcPr>
          <w:p>
            <w:pPr>
              <w:spacing w:after="60" w:before="0"/>
            </w:pPr>
            <w:r>
              <w:rPr>
                <w:rFonts w:ascii="Arial" w:cs="Arial" w:eastAsia="Arial" w:hAnsi="Arial"/>
                <w:sz w:val="18"/>
                <w:szCs w:val="18"/>
              </w:rPr>
              <w:t xml:space="preserve"/>
            </w:r>
          </w:p>
        </w:tc>
      </w:tr>
    </w:tbl>
    <w:p>
      <w:pPr>
        <w:spacing w:before="240"/>
      </w:pPr>
      <w:r>
        <w:rPr>
          <w:rFonts w:ascii="Arial" w:cs="Arial" w:eastAsia="Arial" w:hAnsi="Arial"/>
          <w:i/>
          <w:iCs/>
          <w:color w:val="595959"/>
          <w:sz w:val="16"/>
          <w:szCs w:val="16"/>
        </w:rPr>
        <w:t xml:space="preserve">Las columnas «Análisis del comentario» y «Procedencia» corresponden al diligenciamiento de la Superintendencia Financiera de Colombia.</w:t>
      </w:r>
    </w:p>
    <w:sectPr>
      <w:pgSz w:w="15840" w:h="12240" w:orient="landscape"/>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para comentarios externos - Cronograma finanzas abiertas</dc:title>
  <cp:lastModifiedBy>Un-named</cp:lastModifiedBy>
  <cp:revision>1</cp:revision>
  <dcterms:created xsi:type="dcterms:W3CDTF">2026-09-10T18:03:32.139Z</dcterms:created>
  <dcterms:modified xsi:type="dcterms:W3CDTF">2026-09-10T18:03:32.140Z</dcterms:modified>
</cp:coreProperties>
</file>

<file path=docProps/custom.xml><?xml version="1.0" encoding="utf-8"?>
<Properties xmlns="http://schemas.openxmlformats.org/officeDocument/2006/custom-properties" xmlns:vt="http://schemas.openxmlformats.org/officeDocument/2006/docPropsVTypes"/>
</file>